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8C054" w14:textId="39071C33" w:rsidR="00ED4E38" w:rsidRPr="00ED4E38" w:rsidRDefault="00ED4E38" w:rsidP="00E930F2">
      <w:pPr>
        <w:spacing w:line="360" w:lineRule="auto"/>
        <w:rPr>
          <w:rFonts w:ascii="Verdana" w:hAnsi="Verdana" w:cstheme="minorHAnsi"/>
        </w:rPr>
      </w:pPr>
    </w:p>
    <w:p w14:paraId="207A858F" w14:textId="59E08EB8" w:rsidR="00ED4E38" w:rsidRPr="00592F52" w:rsidRDefault="00ED4E38" w:rsidP="00E930F2">
      <w:pPr>
        <w:spacing w:line="360" w:lineRule="auto"/>
        <w:jc w:val="center"/>
        <w:rPr>
          <w:rFonts w:ascii="Verdana" w:hAnsi="Verdana" w:cs="Times New Roman"/>
          <w:b/>
          <w:bCs/>
        </w:rPr>
      </w:pPr>
      <w:r w:rsidRPr="00592F52">
        <w:rPr>
          <w:rFonts w:ascii="Verdana" w:eastAsia="Verdana" w:hAnsi="Verdana" w:cs="Times New Roman"/>
          <w:b/>
          <w:bCs/>
        </w:rPr>
        <w:t xml:space="preserve">Uchwała nr </w:t>
      </w:r>
      <w:r w:rsidR="00DC1E4D">
        <w:rPr>
          <w:rFonts w:ascii="Verdana" w:eastAsia="Verdana" w:hAnsi="Verdana" w:cs="Times New Roman"/>
          <w:b/>
          <w:bCs/>
        </w:rPr>
        <w:t>213</w:t>
      </w:r>
      <w:r w:rsidRPr="00592F52">
        <w:rPr>
          <w:rFonts w:ascii="Verdana" w:eastAsia="Verdana" w:hAnsi="Verdana" w:cs="Times New Roman"/>
          <w:b/>
          <w:bCs/>
        </w:rPr>
        <w:br/>
        <w:t>Rady Działalności Pożytku Publicznego</w:t>
      </w:r>
      <w:r w:rsidRPr="00592F52">
        <w:rPr>
          <w:rFonts w:ascii="Verdana" w:eastAsia="Verdana" w:hAnsi="Verdana" w:cs="Times New Roman"/>
          <w:b/>
          <w:bCs/>
        </w:rPr>
        <w:br/>
        <w:t xml:space="preserve">z dnia </w:t>
      </w:r>
      <w:bookmarkStart w:id="0" w:name="_GoBack"/>
      <w:r w:rsidR="00DC1E4D">
        <w:rPr>
          <w:rFonts w:ascii="Verdana" w:eastAsia="Verdana" w:hAnsi="Verdana"/>
          <w:b/>
          <w:bCs/>
        </w:rPr>
        <w:t>8 października</w:t>
      </w:r>
      <w:r w:rsidRPr="00592F52">
        <w:rPr>
          <w:rFonts w:ascii="Verdana" w:eastAsia="Verdana" w:hAnsi="Verdana" w:cs="Times New Roman"/>
          <w:b/>
          <w:bCs/>
        </w:rPr>
        <w:t xml:space="preserve"> </w:t>
      </w:r>
      <w:bookmarkEnd w:id="0"/>
      <w:r w:rsidRPr="00592F52">
        <w:rPr>
          <w:rFonts w:ascii="Verdana" w:eastAsia="Verdana" w:hAnsi="Verdana" w:cs="Times New Roman"/>
          <w:b/>
          <w:bCs/>
        </w:rPr>
        <w:t xml:space="preserve">2021 r. </w:t>
      </w:r>
      <w:r w:rsidRPr="00592F52">
        <w:rPr>
          <w:rFonts w:ascii="Verdana" w:eastAsia="Verdana" w:hAnsi="Verdana" w:cs="Times New Roman"/>
          <w:b/>
          <w:bCs/>
        </w:rPr>
        <w:br/>
        <w:t xml:space="preserve">w sprawie </w:t>
      </w:r>
      <w:bookmarkStart w:id="1" w:name="_Hlk83878172"/>
      <w:r w:rsidRPr="00592F52">
        <w:rPr>
          <w:rFonts w:ascii="Verdana" w:eastAsia="Verdana" w:hAnsi="Verdana" w:cs="Times New Roman"/>
          <w:b/>
          <w:bCs/>
        </w:rPr>
        <w:t xml:space="preserve">projektu Programu </w:t>
      </w:r>
      <w:r w:rsidR="00DA6F25" w:rsidRPr="00592F52">
        <w:rPr>
          <w:rFonts w:ascii="Verdana" w:hAnsi="Verdana" w:cs="Times New Roman"/>
          <w:b/>
          <w:bCs/>
        </w:rPr>
        <w:t>Fundusze Europejskie dla Rozwoju Społecznego</w:t>
      </w:r>
      <w:bookmarkEnd w:id="1"/>
      <w:r w:rsidR="0042498C" w:rsidRPr="00592F52">
        <w:rPr>
          <w:rFonts w:ascii="Verdana" w:hAnsi="Verdana" w:cs="Times New Roman"/>
          <w:b/>
          <w:bCs/>
        </w:rPr>
        <w:t xml:space="preserve"> oraz Funduszy Europejskich dla Społeczeństwa Obywatelskiego</w:t>
      </w:r>
    </w:p>
    <w:p w14:paraId="38E8FED6" w14:textId="7F402E09" w:rsidR="00ED4E38" w:rsidRDefault="00ED4E38" w:rsidP="00E930F2">
      <w:pPr>
        <w:spacing w:before="120" w:line="360" w:lineRule="auto"/>
        <w:rPr>
          <w:rFonts w:ascii="Verdana" w:eastAsia="Verdana" w:hAnsi="Verdana" w:cs="Verdana"/>
        </w:rPr>
      </w:pPr>
    </w:p>
    <w:p w14:paraId="5C331BC2" w14:textId="77777777" w:rsidR="00F608D8" w:rsidRPr="00ED4E38" w:rsidRDefault="00F608D8" w:rsidP="00E930F2">
      <w:pPr>
        <w:spacing w:before="120" w:line="360" w:lineRule="auto"/>
        <w:rPr>
          <w:rFonts w:ascii="Verdana" w:eastAsia="Verdana" w:hAnsi="Verdana" w:cs="Verdana"/>
        </w:rPr>
      </w:pPr>
    </w:p>
    <w:p w14:paraId="79BDBDD0" w14:textId="747A1F25" w:rsidR="00F608D8" w:rsidRPr="00592F52" w:rsidRDefault="00ED4E38" w:rsidP="00592F52">
      <w:pPr>
        <w:spacing w:before="120" w:line="360" w:lineRule="auto"/>
        <w:rPr>
          <w:rFonts w:ascii="Verdana" w:eastAsia="Verdana" w:hAnsi="Verdana" w:cs="Times New Roman"/>
        </w:rPr>
      </w:pPr>
      <w:r w:rsidRPr="00592F52">
        <w:rPr>
          <w:rFonts w:ascii="Verdana" w:eastAsia="Verdana" w:hAnsi="Verdana" w:cs="Times New Roman"/>
        </w:rPr>
        <w:t>Na podstawie § 10 rozporządzenia Przewodniczącego Komitetu do spraw Pożytku Publicznego z dnia 24 października 2018 r. w sprawie Rady Działalności Pożytku Publicznego (Dz. U. poz. 2052) oraz art. 35 ust. 2 ustawy z dnia 24 kwietnia 2003 r. o działalności p</w:t>
      </w:r>
      <w:r w:rsidR="00E930F2" w:rsidRPr="00592F52">
        <w:rPr>
          <w:rFonts w:ascii="Verdana" w:eastAsia="Verdana" w:hAnsi="Verdana" w:cs="Times New Roman"/>
        </w:rPr>
        <w:t>ożytku publicznego i o </w:t>
      </w:r>
      <w:r w:rsidRPr="00592F52">
        <w:rPr>
          <w:rFonts w:ascii="Verdana" w:eastAsia="Verdana" w:hAnsi="Verdana" w:cs="Times New Roman"/>
        </w:rPr>
        <w:t xml:space="preserve">wolontariacie (Dz. U. z 2020 r. poz. 1057), uchwala się </w:t>
      </w:r>
      <w:r w:rsidR="00B55D61" w:rsidRPr="00592F52">
        <w:rPr>
          <w:rFonts w:ascii="Verdana" w:eastAsia="Verdana" w:hAnsi="Verdana" w:cs="Times New Roman"/>
        </w:rPr>
        <w:t>opinię</w:t>
      </w:r>
      <w:r w:rsidRPr="00592F52">
        <w:rPr>
          <w:rFonts w:ascii="Verdana" w:eastAsia="Verdana" w:hAnsi="Verdana" w:cs="Times New Roman"/>
        </w:rPr>
        <w:t xml:space="preserve"> Rady Działalności Pożytku Publicznego w sprawie projektu Programu </w:t>
      </w:r>
      <w:r w:rsidR="00DA6F25" w:rsidRPr="00592F52">
        <w:rPr>
          <w:rFonts w:ascii="Verdana" w:eastAsia="Verdana" w:hAnsi="Verdana" w:cs="Times New Roman"/>
        </w:rPr>
        <w:t>projektu Programu Fundusze Europejskie dla Rozwoju Społecznego</w:t>
      </w:r>
      <w:r w:rsidR="0042498C" w:rsidRPr="00592F52">
        <w:rPr>
          <w:rFonts w:ascii="Verdana" w:eastAsia="Verdana" w:hAnsi="Verdana" w:cs="Times New Roman"/>
        </w:rPr>
        <w:t xml:space="preserve"> oraz Funduszy Europejskich dla Społeczeństwa Obywatelskiego</w:t>
      </w:r>
      <w:r w:rsidRPr="00592F52">
        <w:rPr>
          <w:rFonts w:ascii="Verdana" w:eastAsia="Verdana" w:hAnsi="Verdana" w:cs="Times New Roman"/>
        </w:rPr>
        <w:t>.</w:t>
      </w:r>
    </w:p>
    <w:p w14:paraId="291C6432" w14:textId="2FBCD17F" w:rsidR="000A04CF" w:rsidRPr="00592F52" w:rsidRDefault="000A04CF" w:rsidP="00E930F2">
      <w:pPr>
        <w:spacing w:before="36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592F52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§ </w:t>
      </w:r>
      <w:r w:rsidR="00ED4E38" w:rsidRPr="00592F52">
        <w:rPr>
          <w:rFonts w:ascii="Verdana" w:eastAsia="Times New Roman" w:hAnsi="Verdana" w:cs="Times New Roman"/>
          <w:b/>
          <w:bCs/>
          <w:color w:val="000000"/>
          <w:lang w:eastAsia="pl-PL"/>
        </w:rPr>
        <w:t>1</w:t>
      </w:r>
    </w:p>
    <w:p w14:paraId="01A8A323" w14:textId="436A0EE9" w:rsidR="00983208" w:rsidRPr="00592F52" w:rsidRDefault="009E7CF6" w:rsidP="00592F52">
      <w:pPr>
        <w:pStyle w:val="Akapitzlist"/>
        <w:spacing w:before="360" w:line="360" w:lineRule="auto"/>
        <w:ind w:left="0"/>
        <w:contextualSpacing w:val="0"/>
        <w:textAlignment w:val="baseline"/>
        <w:rPr>
          <w:rFonts w:ascii="Verdana" w:hAnsi="Verdana" w:cs="Times New Roman"/>
        </w:rPr>
      </w:pPr>
      <w:r w:rsidRPr="00592F52">
        <w:rPr>
          <w:rFonts w:ascii="Verdana" w:hAnsi="Verdana" w:cs="Times New Roman"/>
        </w:rPr>
        <w:t xml:space="preserve">Rada pozytywnie opiniuje program </w:t>
      </w:r>
      <w:r w:rsidR="00DA6F25" w:rsidRPr="00592F52">
        <w:rPr>
          <w:rFonts w:ascii="Verdana" w:hAnsi="Verdana" w:cs="Times New Roman"/>
        </w:rPr>
        <w:t>projektu Programu Fundusze Europejskie dla Rozwoju Społecznego</w:t>
      </w:r>
      <w:r w:rsidR="000A04CF" w:rsidRPr="00592F52">
        <w:rPr>
          <w:rFonts w:ascii="Verdana" w:hAnsi="Verdana" w:cs="Times New Roman"/>
        </w:rPr>
        <w:t xml:space="preserve">. </w:t>
      </w:r>
    </w:p>
    <w:p w14:paraId="56CADF47" w14:textId="3FE49071" w:rsidR="00B32F51" w:rsidRPr="00592F52" w:rsidRDefault="00B32F51" w:rsidP="00592F52">
      <w:pPr>
        <w:pStyle w:val="Akapitzlist"/>
        <w:spacing w:before="360" w:line="360" w:lineRule="auto"/>
        <w:ind w:left="0"/>
        <w:contextualSpacing w:val="0"/>
        <w:textAlignment w:val="baseline"/>
        <w:rPr>
          <w:rFonts w:ascii="Verdana" w:hAnsi="Verdana" w:cstheme="minorHAnsi"/>
        </w:rPr>
      </w:pPr>
    </w:p>
    <w:p w14:paraId="05636E38" w14:textId="10D412CF" w:rsidR="00B32F51" w:rsidRPr="00592F52" w:rsidRDefault="00B32F51" w:rsidP="00592F52">
      <w:pPr>
        <w:pStyle w:val="Akapitzlist"/>
        <w:spacing w:before="360" w:line="360" w:lineRule="auto"/>
        <w:ind w:left="0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Rada Działalności Pożytku Publicznego po analizie propozycji interwencji publicznej w ramach Europejskiego Funduszu Społecznego+ zaplanowanych w ramach programu krajowego Fundusze Europejskie dla Rozwoju Społecznego (FERS), jak również Programów Regionalnych stwierdza, co następuje</w:t>
      </w:r>
      <w:r w:rsidR="00C31805" w:rsidRPr="00592F52">
        <w:rPr>
          <w:rFonts w:ascii="Verdana" w:eastAsia="Times New Roman" w:hAnsi="Verdana" w:cs="Times New Roman"/>
          <w:lang w:eastAsia="pl-PL"/>
        </w:rPr>
        <w:t>:</w:t>
      </w:r>
    </w:p>
    <w:p w14:paraId="21187603" w14:textId="14CD2795" w:rsidR="00C31805" w:rsidRPr="00592F52" w:rsidRDefault="00C31805" w:rsidP="00592F52">
      <w:pPr>
        <w:pStyle w:val="Akapitzlist"/>
        <w:numPr>
          <w:ilvl w:val="0"/>
          <w:numId w:val="11"/>
        </w:numPr>
        <w:spacing w:before="360" w:line="360" w:lineRule="auto"/>
        <w:ind w:left="851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hAnsi="Verdana" w:cs="Times New Roman"/>
        </w:rPr>
        <w:t>Pozytywnie opiniuje program projektu Programu Fundusze Europejskie dla Rozwoju Społecznego.</w:t>
      </w:r>
    </w:p>
    <w:p w14:paraId="528819CF" w14:textId="6477CDF4" w:rsidR="00B32F51" w:rsidRPr="00592F52" w:rsidRDefault="00B32F51" w:rsidP="00592F52">
      <w:pPr>
        <w:pStyle w:val="Akapitzlist"/>
        <w:numPr>
          <w:ilvl w:val="0"/>
          <w:numId w:val="11"/>
        </w:numPr>
        <w:spacing w:before="360" w:line="360" w:lineRule="auto"/>
        <w:ind w:left="851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lastRenderedPageBreak/>
        <w:t xml:space="preserve">W zakresie praw osób ze szczególnymi potrzebami, w tym osób </w:t>
      </w:r>
      <w:r w:rsidR="005B44A1" w:rsidRPr="00592F52">
        <w:rPr>
          <w:rFonts w:ascii="Verdana" w:eastAsia="Times New Roman" w:hAnsi="Verdana" w:cs="Times New Roman"/>
          <w:lang w:eastAsia="pl-PL"/>
        </w:rPr>
        <w:br/>
      </w:r>
      <w:r w:rsidRPr="00592F52">
        <w:rPr>
          <w:rFonts w:ascii="Verdana" w:eastAsia="Times New Roman" w:hAnsi="Verdana" w:cs="Times New Roman"/>
          <w:lang w:eastAsia="pl-PL"/>
        </w:rPr>
        <w:t>z niepełnosprawnościami:</w:t>
      </w:r>
    </w:p>
    <w:p w14:paraId="4A52EE45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a.</w:t>
      </w:r>
      <w:r w:rsidRPr="00592F52">
        <w:rPr>
          <w:rFonts w:ascii="Verdana" w:eastAsia="Times New Roman" w:hAnsi="Verdana" w:cs="Times New Roman"/>
          <w:lang w:eastAsia="pl-PL"/>
        </w:rPr>
        <w:tab/>
        <w:t xml:space="preserve">Rada docenia zaproponowane interwencje dotyczące: zatrudnienia wspomaganego, modelu wspieranego podejmowania decyzji, zintegrowanego systemu orzekania o niepełnosprawności, koordynacji opieki zdrowotnej czy dostępności (kilka działań). Jednocześnie w dokumencie brakuje działań dotyczących </w:t>
      </w:r>
      <w:proofErr w:type="spellStart"/>
      <w:r w:rsidRPr="00592F52">
        <w:rPr>
          <w:rFonts w:ascii="Verdana" w:eastAsia="Times New Roman" w:hAnsi="Verdana" w:cs="Times New Roman"/>
          <w:lang w:eastAsia="pl-PL"/>
        </w:rPr>
        <w:t>deinstytucjonalizacji</w:t>
      </w:r>
      <w:proofErr w:type="spellEnd"/>
      <w:r w:rsidRPr="00592F52">
        <w:rPr>
          <w:rFonts w:ascii="Verdana" w:eastAsia="Times New Roman" w:hAnsi="Verdana" w:cs="Times New Roman"/>
          <w:lang w:eastAsia="pl-PL"/>
        </w:rPr>
        <w:t xml:space="preserve"> (poza sferą usług medycznych), usług społecznych – przede wszystkim takich jak usługi asystenckie, usługa </w:t>
      </w:r>
      <w:proofErr w:type="spellStart"/>
      <w:r w:rsidRPr="00592F52">
        <w:rPr>
          <w:rFonts w:ascii="Verdana" w:eastAsia="Times New Roman" w:hAnsi="Verdana" w:cs="Times New Roman"/>
          <w:lang w:eastAsia="pl-PL"/>
        </w:rPr>
        <w:t>wytchnieniowa</w:t>
      </w:r>
      <w:proofErr w:type="spellEnd"/>
      <w:r w:rsidRPr="00592F52">
        <w:rPr>
          <w:rFonts w:ascii="Verdana" w:eastAsia="Times New Roman" w:hAnsi="Verdana" w:cs="Times New Roman"/>
          <w:lang w:eastAsia="pl-PL"/>
        </w:rPr>
        <w:t xml:space="preserve"> itp.</w:t>
      </w:r>
    </w:p>
    <w:p w14:paraId="6A8B9F43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b.</w:t>
      </w:r>
      <w:r w:rsidRPr="00592F52">
        <w:rPr>
          <w:rFonts w:ascii="Verdana" w:eastAsia="Times New Roman" w:hAnsi="Verdana" w:cs="Times New Roman"/>
          <w:lang w:eastAsia="pl-PL"/>
        </w:rPr>
        <w:tab/>
        <w:t>Zwracamy uwagę, że konieczne jest realizacja szerokiego katalogu różnych usług społecznych, w tym aktywizacji społecznej i zawodowej, wykorzystywanych adekwatnie do potrzeb i potencjału osób z niepełnosprawnościami (osób ze szczególnymi potrzebami.</w:t>
      </w:r>
    </w:p>
    <w:p w14:paraId="0969B126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c.</w:t>
      </w:r>
      <w:r w:rsidRPr="00592F52">
        <w:rPr>
          <w:rFonts w:ascii="Verdana" w:eastAsia="Times New Roman" w:hAnsi="Verdana" w:cs="Times New Roman"/>
          <w:lang w:eastAsia="pl-PL"/>
        </w:rPr>
        <w:tab/>
        <w:t>Naturalnym i realnym aktorem aktywnym w tym obszarze jest sektor organizacji obywatelskich, które od kilkudziesięciu lat wypracowują i realizują na dużą skalę skuteczne, często autorskie modele aktywizacji zawodowej wobec tej grupy osób. Nie jest to wystarczająco wyartykułowane w dokumencie. W przypadku niektórych interwencji – jak aktywizacja zawodowa – pomija się wprost organizacje.</w:t>
      </w:r>
    </w:p>
    <w:p w14:paraId="36BDB02F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d.</w:t>
      </w:r>
      <w:r w:rsidRPr="00592F52">
        <w:rPr>
          <w:rFonts w:ascii="Verdana" w:eastAsia="Times New Roman" w:hAnsi="Verdana" w:cs="Times New Roman"/>
          <w:lang w:eastAsia="pl-PL"/>
        </w:rPr>
        <w:tab/>
        <w:t>Warto jasno wyodrębnić grupę działań służących bezpośrednio wdrożeniu Konwencji ONZ o Prawach Osób z Niepełnosprawnościami i gwarantujących skalę efektów założoną w Strategii na rzecz Osób z Niepełnosprawnościami 2021-2030. Odpowiednikiem tego w Programie Operacyjnym Wiedza Edukacja i Rozwój (POWER) jest działanie 2.6.</w:t>
      </w:r>
    </w:p>
    <w:p w14:paraId="261CC973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W Programie Konwencja pojawia się wyłącznie w kontekście jedynie 2 działań. Należy to poprawić w opisie większej liczby działań.</w:t>
      </w:r>
    </w:p>
    <w:p w14:paraId="39691A78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e.</w:t>
      </w:r>
      <w:r w:rsidRPr="00592F52">
        <w:rPr>
          <w:rFonts w:ascii="Verdana" w:eastAsia="Times New Roman" w:hAnsi="Verdana" w:cs="Times New Roman"/>
          <w:lang w:eastAsia="pl-PL"/>
        </w:rPr>
        <w:tab/>
        <w:t xml:space="preserve">Należy zdecydowanie poszerzyć projekt interwencji odnoszący się do modelu wsparcia dla rodzin z osobą z niepełnosprawnością na działania bardziej aktywne i bezpośrednio wspierające możliwości realizacji wsparcia niż tylko działania </w:t>
      </w:r>
      <w:proofErr w:type="spellStart"/>
      <w:r w:rsidRPr="00592F52">
        <w:rPr>
          <w:rFonts w:ascii="Verdana" w:eastAsia="Times New Roman" w:hAnsi="Verdana" w:cs="Times New Roman"/>
          <w:lang w:eastAsia="pl-PL"/>
        </w:rPr>
        <w:t>edukacyjno</w:t>
      </w:r>
      <w:proofErr w:type="spellEnd"/>
      <w:r w:rsidRPr="00592F52">
        <w:rPr>
          <w:rFonts w:ascii="Verdana" w:eastAsia="Times New Roman" w:hAnsi="Verdana" w:cs="Times New Roman"/>
          <w:lang w:eastAsia="pl-PL"/>
        </w:rPr>
        <w:t xml:space="preserve"> doradcze.</w:t>
      </w:r>
    </w:p>
    <w:p w14:paraId="10293155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f.</w:t>
      </w:r>
      <w:r w:rsidRPr="00592F52">
        <w:rPr>
          <w:rFonts w:ascii="Verdana" w:eastAsia="Times New Roman" w:hAnsi="Verdana" w:cs="Times New Roman"/>
          <w:lang w:eastAsia="pl-PL"/>
        </w:rPr>
        <w:tab/>
        <w:t xml:space="preserve">W zakresie aktywizacji zawodowej osób z niepełnosprawnościami dokument zakłada realizację zadań przez publiczne służby zatrudnienia. </w:t>
      </w:r>
      <w:r w:rsidRPr="00592F52">
        <w:rPr>
          <w:rFonts w:ascii="Verdana" w:eastAsia="Times New Roman" w:hAnsi="Verdana" w:cs="Times New Roman"/>
          <w:lang w:eastAsia="pl-PL"/>
        </w:rPr>
        <w:lastRenderedPageBreak/>
        <w:t>Tymczasem badania bezspornie wskazują wyższą efektywność działań podejmowanych przez sektor pozarządowy w porównaniu z publicznymi służbami zatrudnienia. Dotychczasowe działania (w POWER-ze, jak i POKL-u) potwierdzają to – na przykład działanie 1.5 POWER. Warto je kontynuować. Należy także – zgodnie z zasadą pomocniczości (i efektywności) zadania te przekierować do wykonania podmiotom społeczeństwa obywatelskiego.</w:t>
      </w:r>
    </w:p>
    <w:p w14:paraId="17564526" w14:textId="1F008B94" w:rsidR="00B32F51" w:rsidRPr="00592F52" w:rsidRDefault="00B32F51" w:rsidP="00592F52">
      <w:pPr>
        <w:pStyle w:val="Akapitzlist"/>
        <w:numPr>
          <w:ilvl w:val="0"/>
          <w:numId w:val="11"/>
        </w:numPr>
        <w:spacing w:before="360" w:line="360" w:lineRule="auto"/>
        <w:ind w:left="851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W zakresie dostępności:</w:t>
      </w:r>
    </w:p>
    <w:p w14:paraId="63A79047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a.</w:t>
      </w:r>
      <w:r w:rsidRPr="00592F52">
        <w:rPr>
          <w:rFonts w:ascii="Verdana" w:eastAsia="Times New Roman" w:hAnsi="Verdana" w:cs="Times New Roman"/>
          <w:lang w:eastAsia="pl-PL"/>
        </w:rPr>
        <w:tab/>
        <w:t>Rada zauważa, że zasady horyzontalne, w tym zasada dostępności (dla osób ze szczególnymi potrzebami, w tym osób z niepełnosprawnościami), są fundamentalne dla FERS-u (dla programowania i wdrażania).</w:t>
      </w:r>
    </w:p>
    <w:p w14:paraId="2E56ECF4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b.</w:t>
      </w:r>
      <w:r w:rsidRPr="00592F52">
        <w:rPr>
          <w:rFonts w:ascii="Verdana" w:eastAsia="Times New Roman" w:hAnsi="Verdana" w:cs="Times New Roman"/>
          <w:lang w:eastAsia="pl-PL"/>
        </w:rPr>
        <w:tab/>
        <w:t>Ze względu na Konstytucję (między innymi art. 32), unijne i krajowe przepisy antydyskryminacyjne, Konwencję o prawach osób z niepełnosprawnościami, ustawę o zapewnianiu dostępności osobom ze szczególnymi potrzebami, ustawę o dostępności cyfrowej stron internetowych i aplikacji mobilnych podmiotów publicznych itp. zasady horyzontalne muszą być bezwzględnie uwzględniane w Programie Krajowym i Programach Regionalnych. Na to wszystko nakłada się perspektywa społeczna i demograficzna Polski, w tym starzejące się społeczeństwo.</w:t>
      </w:r>
    </w:p>
    <w:p w14:paraId="57CD1B77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c.</w:t>
      </w:r>
      <w:r w:rsidRPr="00592F52">
        <w:rPr>
          <w:rFonts w:ascii="Verdana" w:eastAsia="Times New Roman" w:hAnsi="Verdana" w:cs="Times New Roman"/>
          <w:lang w:eastAsia="pl-PL"/>
        </w:rPr>
        <w:tab/>
        <w:t>Rada docenia ujęcie zasad horyzontalnych w dokumencie, wnosi jednak o wzmocnienie adekwatnych zapisów.</w:t>
      </w:r>
    </w:p>
    <w:p w14:paraId="72A3815D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d.</w:t>
      </w:r>
      <w:r w:rsidRPr="00592F52">
        <w:rPr>
          <w:rFonts w:ascii="Verdana" w:eastAsia="Times New Roman" w:hAnsi="Verdana" w:cs="Times New Roman"/>
          <w:lang w:eastAsia="pl-PL"/>
        </w:rPr>
        <w:tab/>
        <w:t xml:space="preserve">W rozdziałach „Działania zapewniające równość, włączenie i niedyskryminację” w kontekście zasady równości szans i niedyskryminacji czasem pojawia się także dostępność dla osób z niepełnosprawnościami, a niekiedy dostępność jest pomijana – nie występuje w kontekście zasad horyzontalnych. Z tego powodu – w szczególności – należy wprost traktować dostępność jako zasadę horyzontalną, w tym uwzględnić dostępność w tytule. W tytule należy zastąpić termin „integracja” terminem „włączenie” (jak w projektach </w:t>
      </w:r>
      <w:r w:rsidRPr="00592F52">
        <w:rPr>
          <w:rFonts w:ascii="Verdana" w:eastAsia="Times New Roman" w:hAnsi="Verdana" w:cs="Times New Roman"/>
          <w:lang w:eastAsia="pl-PL"/>
        </w:rPr>
        <w:lastRenderedPageBreak/>
        <w:t>innych programów). Tytuł zatem powinien brzmieć: „Działania na rzecz równości, włączenia, niedyskryminacji i dostępności”.</w:t>
      </w:r>
    </w:p>
    <w:p w14:paraId="05A6C486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e.</w:t>
      </w:r>
      <w:r w:rsidRPr="00592F52">
        <w:rPr>
          <w:rFonts w:ascii="Verdana" w:eastAsia="Times New Roman" w:hAnsi="Verdana" w:cs="Times New Roman"/>
          <w:lang w:eastAsia="pl-PL"/>
        </w:rPr>
        <w:tab/>
        <w:t>W tych rozdziałach należy także odwołać się do Konwencji o prawach osób z niepełnosprawnościami oraz dyrektywy w sprawie wymogów dostępności produktów i usług. Warto także dookreślić standardy dostępności jako „Standardy dostępności dla polityki spójności 2021-2027”.</w:t>
      </w:r>
    </w:p>
    <w:p w14:paraId="69CE0658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f.</w:t>
      </w:r>
      <w:r w:rsidRPr="00592F52">
        <w:rPr>
          <w:rFonts w:ascii="Verdana" w:eastAsia="Times New Roman" w:hAnsi="Verdana" w:cs="Times New Roman"/>
          <w:lang w:eastAsia="pl-PL"/>
        </w:rPr>
        <w:tab/>
        <w:t>Należy tam przywołać także uniwersalne projektowanie (jako domyślny sposób zapewniania dostępności) – na przykład wzorem art. 4 ust. 4 Ustawy o zapewnianiu dostępności osobom ze szczególnymi potrzebami.</w:t>
      </w:r>
    </w:p>
    <w:p w14:paraId="1FD64A9E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g.</w:t>
      </w:r>
      <w:r w:rsidRPr="00592F52">
        <w:rPr>
          <w:rFonts w:ascii="Verdana" w:eastAsia="Times New Roman" w:hAnsi="Verdana" w:cs="Times New Roman"/>
          <w:lang w:eastAsia="pl-PL"/>
        </w:rPr>
        <w:tab/>
        <w:t>Analogicznie w Wytycznych równościowych (projektowanych „Wytycznych w zakresie realizacji zasady równości szans i niedyskryminacji, w tym dostępności dla osób z niepełnosprawnościami oraz zasady równości szans kobiet i mężczyzn w ramach funduszy unijnych na lata 2014-2020”) należy wyodrębnić zasadę dostępności od zasady równości szans i niedyskryminacji. Będzie to zgodne z Konwencją o prawach osób z niepełnosprawnościami. W art. 3 (Zasady ogólne) Konwencji dostępność (lit. f) jest odrębną zasadą od równości szans (lit. e).</w:t>
      </w:r>
    </w:p>
    <w:p w14:paraId="7AF95168" w14:textId="5A4B1EEC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h.</w:t>
      </w:r>
      <w:r w:rsidRPr="00592F52">
        <w:rPr>
          <w:rFonts w:ascii="Verdana" w:eastAsia="Times New Roman" w:hAnsi="Verdana" w:cs="Times New Roman"/>
          <w:lang w:eastAsia="pl-PL"/>
        </w:rPr>
        <w:tab/>
        <w:t>Należy wskazać wymóg dostępności wprost do opisu interwencji szczególnie wrażliwych na dostępność.</w:t>
      </w:r>
    </w:p>
    <w:p w14:paraId="49B503F5" w14:textId="0EEE3BC6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i.</w:t>
      </w:r>
      <w:r w:rsidRPr="00592F52">
        <w:rPr>
          <w:rFonts w:ascii="Verdana" w:eastAsia="Times New Roman" w:hAnsi="Verdana" w:cs="Times New Roman"/>
          <w:lang w:eastAsia="pl-PL"/>
        </w:rPr>
        <w:tab/>
        <w:t>Należy uwzględnić projektowanie uniwersalne w opisach interwencji szczególnie podatnych na projektowanie uniwersalne jako obowiązkową metodę realizacji tych interwencji.</w:t>
      </w:r>
    </w:p>
    <w:p w14:paraId="4065AD8A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j.</w:t>
      </w:r>
      <w:r w:rsidRPr="00592F52">
        <w:rPr>
          <w:rFonts w:ascii="Verdana" w:eastAsia="Times New Roman" w:hAnsi="Verdana" w:cs="Times New Roman"/>
          <w:lang w:eastAsia="pl-PL"/>
        </w:rPr>
        <w:tab/>
        <w:t xml:space="preserve">Należy uwzględnić w opisach interwencji wymogi dyrektywy </w:t>
      </w:r>
      <w:proofErr w:type="spellStart"/>
      <w:r w:rsidRPr="00592F52">
        <w:rPr>
          <w:rFonts w:ascii="Verdana" w:eastAsia="Times New Roman" w:hAnsi="Verdana" w:cs="Times New Roman"/>
          <w:lang w:eastAsia="pl-PL"/>
        </w:rPr>
        <w:t>dostępnościowej</w:t>
      </w:r>
      <w:proofErr w:type="spellEnd"/>
      <w:r w:rsidRPr="00592F52">
        <w:rPr>
          <w:rFonts w:ascii="Verdana" w:eastAsia="Times New Roman" w:hAnsi="Verdana" w:cs="Times New Roman"/>
          <w:lang w:eastAsia="pl-PL"/>
        </w:rPr>
        <w:t xml:space="preserve"> (dyrektywy w sprawie wymogów dostępności produktów i usług). Dotyczy to wszystkich działań, a zwłaszcza tych, których beneficjentami mogą być przedsiębiorstwa i organizacje pozarządowe.</w:t>
      </w:r>
    </w:p>
    <w:p w14:paraId="17BF5151" w14:textId="2C5D7EB8" w:rsidR="00B32F51" w:rsidRPr="00592F52" w:rsidRDefault="00B32F51" w:rsidP="00592F52">
      <w:pPr>
        <w:pStyle w:val="Akapitzlist"/>
        <w:numPr>
          <w:ilvl w:val="0"/>
          <w:numId w:val="11"/>
        </w:numPr>
        <w:spacing w:before="360" w:line="360" w:lineRule="auto"/>
        <w:ind w:left="851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 xml:space="preserve">W zakresie procesu </w:t>
      </w:r>
      <w:proofErr w:type="spellStart"/>
      <w:r w:rsidRPr="00592F52">
        <w:rPr>
          <w:rFonts w:ascii="Verdana" w:eastAsia="Times New Roman" w:hAnsi="Verdana" w:cs="Times New Roman"/>
          <w:lang w:eastAsia="pl-PL"/>
        </w:rPr>
        <w:t>deinstytucjonalizacji</w:t>
      </w:r>
      <w:proofErr w:type="spellEnd"/>
      <w:r w:rsidRPr="00592F52">
        <w:rPr>
          <w:rFonts w:ascii="Verdana" w:eastAsia="Times New Roman" w:hAnsi="Verdana" w:cs="Times New Roman"/>
          <w:lang w:eastAsia="pl-PL"/>
        </w:rPr>
        <w:t xml:space="preserve"> w dokumencie (Programie Krajowym i Programach Regionalnych) niezbędne jest:</w:t>
      </w:r>
    </w:p>
    <w:p w14:paraId="219F3D29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lastRenderedPageBreak/>
        <w:t>a.</w:t>
      </w:r>
      <w:r w:rsidRPr="00592F52">
        <w:rPr>
          <w:rFonts w:ascii="Verdana" w:eastAsia="Times New Roman" w:hAnsi="Verdana" w:cs="Times New Roman"/>
          <w:lang w:eastAsia="pl-PL"/>
        </w:rPr>
        <w:tab/>
        <w:t>Poszerzenie interwencji w zakresie podnoszenia kompetencji pracowników instytucji regionalnych zajmujących się planowaniem oraz wdrażaniem polityki z zakresu usług społecznych na poziomie regionu oraz stworzenie platformy wymiany doświadczeń na rzecz tych instytucji, również na przedstawicieli organizacji obywatelskich działających na poziomie regionalnym.</w:t>
      </w:r>
    </w:p>
    <w:p w14:paraId="74FA123A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b.</w:t>
      </w:r>
      <w:r w:rsidRPr="00592F52">
        <w:rPr>
          <w:rFonts w:ascii="Verdana" w:eastAsia="Times New Roman" w:hAnsi="Verdana" w:cs="Times New Roman"/>
          <w:lang w:eastAsia="pl-PL"/>
        </w:rPr>
        <w:tab/>
        <w:t>Stworzenie nowych typów wsparcia, w tym białej księgi stanu zatrudnienia oraz planu przeciwdziałania niedoborom kadr w zawodach niezbędnych do świadczenia i zarządzania usługami społecznymi wraz z zachętami do kształcenia w zawodach pomocowych zarówno w sektorze publicznym, społecznym i prywatnych. Zwracamy uwagę, że ta kwestia może być jednym z kluczowych kwestii blikujących rozwój usług społecznych w Polsce.</w:t>
      </w:r>
    </w:p>
    <w:p w14:paraId="389A2E16" w14:textId="77777777" w:rsidR="00B32F51" w:rsidRPr="00592F52" w:rsidRDefault="00B32F51" w:rsidP="00592F52">
      <w:pPr>
        <w:pStyle w:val="Akapitzlist"/>
        <w:spacing w:before="360" w:line="360" w:lineRule="auto"/>
        <w:ind w:left="142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c.</w:t>
      </w:r>
      <w:r w:rsidRPr="00592F52">
        <w:rPr>
          <w:rFonts w:ascii="Verdana" w:eastAsia="Times New Roman" w:hAnsi="Verdana" w:cs="Times New Roman"/>
          <w:lang w:eastAsia="pl-PL"/>
        </w:rPr>
        <w:tab/>
        <w:t>Doprecyzowanie wspólnie z przedstawicielami organizacji obywatelskich propozycji odnoszącej się do interwencji na budowę i rozwój potencjału instytucjonalnego organizacji pozarządowych do świadczenia usług publicznych.</w:t>
      </w:r>
    </w:p>
    <w:p w14:paraId="0DE6D4F1" w14:textId="2A2C5300" w:rsidR="00B32F51" w:rsidRPr="00592F52" w:rsidRDefault="00B32F51" w:rsidP="00592F52">
      <w:pPr>
        <w:pStyle w:val="Akapitzlist"/>
        <w:numPr>
          <w:ilvl w:val="0"/>
          <w:numId w:val="11"/>
        </w:numPr>
        <w:spacing w:before="360" w:line="360" w:lineRule="auto"/>
        <w:ind w:left="851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W zakresie rozwoju usług społecznych i zdrowotnych w Programach Regionalnych Rada z satysfakcją przyjmuje, iż rekomendacje Ministra Funduszy i Polityki Regionalnego „Włączenie społeczne w Programach Regionalnych” z 21 lipca 2021 r. w znaczący sposób uwzględniają rolę organizacji obywatelskich. Zwracamy jednak uwagę, że w podobny sposób należy potraktować organizacje w sferze ochrony zdrowia. Ponadto w zakresie regionalnych planów na rzecz rozwoju usług należy bardzo wyraźnie wskazać współudział organizacji obywatelskich w przygotowywaniu tych planów</w:t>
      </w:r>
    </w:p>
    <w:p w14:paraId="6B83D7F2" w14:textId="0C9D3DF1" w:rsidR="00B32F51" w:rsidRPr="00592F52" w:rsidRDefault="00B32F51" w:rsidP="00592F52">
      <w:pPr>
        <w:pStyle w:val="Akapitzlist"/>
        <w:numPr>
          <w:ilvl w:val="0"/>
          <w:numId w:val="11"/>
        </w:numPr>
        <w:spacing w:before="360" w:line="360" w:lineRule="auto"/>
        <w:ind w:left="709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W zakresie rozwoju ekonomii społecznej niezbędne jest:</w:t>
      </w:r>
    </w:p>
    <w:p w14:paraId="3C005A2C" w14:textId="77777777" w:rsidR="00B32F51" w:rsidRPr="00592F52" w:rsidRDefault="00B32F51" w:rsidP="00592F52">
      <w:pPr>
        <w:pStyle w:val="Akapitzlist"/>
        <w:spacing w:before="360" w:line="360" w:lineRule="auto"/>
        <w:ind w:left="0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a.</w:t>
      </w:r>
      <w:r w:rsidRPr="00592F52">
        <w:rPr>
          <w:rFonts w:ascii="Verdana" w:eastAsia="Times New Roman" w:hAnsi="Verdana" w:cs="Times New Roman"/>
          <w:lang w:eastAsia="pl-PL"/>
        </w:rPr>
        <w:tab/>
        <w:t xml:space="preserve">Znaczące zwiększenie interwencji w zakresie wsparcia finansowego dla jednostek samorządu terytorialnego zlecających lub powierzających podmiotom ekonomii społecznej, w tym ekonomii społecznej usługi </w:t>
      </w:r>
      <w:r w:rsidRPr="00592F52">
        <w:rPr>
          <w:rFonts w:ascii="Verdana" w:eastAsia="Times New Roman" w:hAnsi="Verdana" w:cs="Times New Roman"/>
          <w:lang w:eastAsia="pl-PL"/>
        </w:rPr>
        <w:lastRenderedPageBreak/>
        <w:t>społeczne. Zdaniem Rady niezbędne jest zobowiązanie administracji do wypracowania w szerokiej dyskusji ram prawnych.</w:t>
      </w:r>
    </w:p>
    <w:p w14:paraId="3E861D3C" w14:textId="74901C2E" w:rsidR="00B32F51" w:rsidRPr="00592F52" w:rsidRDefault="00B32F51" w:rsidP="00592F52">
      <w:pPr>
        <w:pStyle w:val="Akapitzlist"/>
        <w:spacing w:before="360" w:line="360" w:lineRule="auto"/>
        <w:ind w:left="0"/>
        <w:contextualSpacing w:val="0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b.</w:t>
      </w:r>
      <w:r w:rsidRPr="00592F52">
        <w:rPr>
          <w:rFonts w:ascii="Verdana" w:eastAsia="Times New Roman" w:hAnsi="Verdana" w:cs="Times New Roman"/>
          <w:lang w:eastAsia="pl-PL"/>
        </w:rPr>
        <w:tab/>
        <w:t>Poszerzenie możliwości interwencji w zakresie wspierania tworzenia oraz rozpoczynania działalności przez sieci branżowe, łańcuchy produkcji i usług, systemy franczyzy społecznej zrzeszające podmioty ekonomii społecznej na poziomie ponadregionalnym.</w:t>
      </w:r>
    </w:p>
    <w:p w14:paraId="085ED9CB" w14:textId="79B963C9" w:rsidR="000A04CF" w:rsidRPr="00592F52" w:rsidRDefault="000A04CF" w:rsidP="005B44A1">
      <w:pPr>
        <w:pStyle w:val="Akapitzlist"/>
        <w:spacing w:before="360" w:line="360" w:lineRule="auto"/>
        <w:ind w:left="0"/>
        <w:contextualSpacing w:val="0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592F52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§ </w:t>
      </w:r>
      <w:r w:rsidR="00ED4E38" w:rsidRPr="00592F52">
        <w:rPr>
          <w:rFonts w:ascii="Verdana" w:eastAsia="Times New Roman" w:hAnsi="Verdana" w:cs="Times New Roman"/>
          <w:b/>
          <w:bCs/>
          <w:color w:val="000000"/>
          <w:lang w:eastAsia="pl-PL"/>
        </w:rPr>
        <w:t>2</w:t>
      </w:r>
    </w:p>
    <w:p w14:paraId="4DCDCEC7" w14:textId="77777777" w:rsidR="00B652E5" w:rsidRPr="00592F52" w:rsidRDefault="00B652E5" w:rsidP="00592F52">
      <w:pPr>
        <w:pStyle w:val="Tekstkomentarza"/>
        <w:keepNext/>
        <w:numPr>
          <w:ilvl w:val="0"/>
          <w:numId w:val="13"/>
        </w:numPr>
        <w:tabs>
          <w:tab w:val="left" w:pos="567"/>
        </w:tabs>
        <w:spacing w:before="120" w:line="360" w:lineRule="auto"/>
        <w:ind w:left="567" w:hanging="567"/>
        <w:jc w:val="left"/>
        <w:rPr>
          <w:rFonts w:ascii="Verdana" w:eastAsia="Gulim" w:hAnsi="Verdana" w:cs="Times New Roman"/>
          <w:sz w:val="24"/>
          <w:szCs w:val="24"/>
        </w:rPr>
      </w:pPr>
      <w:r w:rsidRPr="00592F52">
        <w:rPr>
          <w:rFonts w:ascii="Verdana" w:eastAsia="Gulim" w:hAnsi="Verdana" w:cs="Times New Roman"/>
          <w:sz w:val="24"/>
          <w:szCs w:val="24"/>
        </w:rPr>
        <w:t xml:space="preserve">Rada wskazuje na potrzebę </w:t>
      </w:r>
      <w:r w:rsidRPr="00592F52">
        <w:rPr>
          <w:rFonts w:ascii="Verdana" w:eastAsia="Gulim" w:hAnsi="Verdana" w:cs="Times New Roman"/>
          <w:b/>
          <w:sz w:val="24"/>
          <w:szCs w:val="24"/>
        </w:rPr>
        <w:t>uwzględnienia organizacji społeczeństwa obywatelskiego</w:t>
      </w:r>
      <w:r w:rsidRPr="00592F52">
        <w:rPr>
          <w:rFonts w:ascii="Verdana" w:eastAsia="Gulim" w:hAnsi="Verdana" w:cs="Times New Roman"/>
          <w:sz w:val="24"/>
          <w:szCs w:val="24"/>
        </w:rPr>
        <w:t xml:space="preserve">, w tym organizacji pozarządowych, </w:t>
      </w:r>
      <w:r w:rsidRPr="00592F52">
        <w:rPr>
          <w:rFonts w:ascii="Verdana" w:eastAsia="Gulim" w:hAnsi="Verdana" w:cs="Times New Roman"/>
          <w:b/>
          <w:sz w:val="24"/>
          <w:szCs w:val="24"/>
        </w:rPr>
        <w:t>jako beneficjentów</w:t>
      </w:r>
      <w:r w:rsidRPr="00592F52">
        <w:rPr>
          <w:rFonts w:ascii="Verdana" w:eastAsia="Gulim" w:hAnsi="Verdana" w:cs="Times New Roman"/>
          <w:sz w:val="24"/>
          <w:szCs w:val="24"/>
        </w:rPr>
        <w:t xml:space="preserve"> we wszystkich osiach, interwencjach oraz działaniach przewidzianych do realizacji w dokumencie (w ramach Programu Krajowego i Programów Regionalnych) – dla zapewnienia lepszej spójności społecznej.</w:t>
      </w:r>
    </w:p>
    <w:p w14:paraId="6B8289C6" w14:textId="51B3A26A" w:rsidR="00B652E5" w:rsidRPr="00592F52" w:rsidRDefault="00B652E5" w:rsidP="00592F52">
      <w:pPr>
        <w:pStyle w:val="Tekstkomentarza"/>
        <w:keepNext/>
        <w:numPr>
          <w:ilvl w:val="0"/>
          <w:numId w:val="13"/>
        </w:numPr>
        <w:tabs>
          <w:tab w:val="left" w:pos="567"/>
        </w:tabs>
        <w:spacing w:before="120" w:line="360" w:lineRule="auto"/>
        <w:ind w:left="567" w:hanging="567"/>
        <w:jc w:val="left"/>
        <w:rPr>
          <w:rFonts w:ascii="Verdana" w:eastAsia="Gulim" w:hAnsi="Verdana" w:cs="Times New Roman"/>
          <w:sz w:val="24"/>
          <w:szCs w:val="24"/>
        </w:rPr>
      </w:pPr>
      <w:r w:rsidRPr="00592F52">
        <w:rPr>
          <w:rFonts w:ascii="Verdana" w:eastAsia="Gulim" w:hAnsi="Verdana" w:cs="Times New Roman"/>
          <w:sz w:val="24"/>
          <w:szCs w:val="24"/>
        </w:rPr>
        <w:t xml:space="preserve">W przypadku każdego działania, dla którego wśród beneficjentów wymienia się przedsiębiorstwa, </w:t>
      </w:r>
      <w:r w:rsidRPr="00592F52">
        <w:rPr>
          <w:rFonts w:ascii="Verdana" w:eastAsia="Gulim" w:hAnsi="Verdana" w:cs="Times New Roman"/>
          <w:b/>
          <w:sz w:val="24"/>
          <w:szCs w:val="24"/>
        </w:rPr>
        <w:t>należy także uwzględnić podmioty społeczeństwa obywatelskiego</w:t>
      </w:r>
      <w:r w:rsidR="005B44A1" w:rsidRPr="00592F52">
        <w:rPr>
          <w:rFonts w:ascii="Verdana" w:eastAsia="Gulim" w:hAnsi="Verdana" w:cs="Times New Roman"/>
          <w:sz w:val="24"/>
          <w:szCs w:val="24"/>
        </w:rPr>
        <w:t xml:space="preserve"> (jak organizacje pozarządowe). </w:t>
      </w:r>
      <w:r w:rsidRPr="00592F52">
        <w:rPr>
          <w:rFonts w:ascii="Verdana" w:eastAsia="Gulim" w:hAnsi="Verdana" w:cs="Times New Roman"/>
          <w:sz w:val="24"/>
          <w:szCs w:val="24"/>
        </w:rPr>
        <w:t xml:space="preserve">Wiele innowacji społecznych, technologicznych itp. kluczowych dla funkcjonowania świata obecnie jest prowadzonych przez organizacje pozarządowe, a nie tylko przez przedsiębiorstwa (na przykład Linux Foundation, Mozilla Foundation, </w:t>
      </w:r>
      <w:proofErr w:type="spellStart"/>
      <w:r w:rsidRPr="00592F52">
        <w:rPr>
          <w:rFonts w:ascii="Verdana" w:eastAsia="Gulim" w:hAnsi="Verdana" w:cs="Times New Roman"/>
          <w:sz w:val="24"/>
          <w:szCs w:val="24"/>
        </w:rPr>
        <w:t>Wordpress</w:t>
      </w:r>
      <w:proofErr w:type="spellEnd"/>
      <w:r w:rsidRPr="00592F52">
        <w:rPr>
          <w:rFonts w:ascii="Verdana" w:eastAsia="Gulim" w:hAnsi="Verdana" w:cs="Times New Roman"/>
          <w:sz w:val="24"/>
          <w:szCs w:val="24"/>
        </w:rPr>
        <w:t xml:space="preserve"> Foundation czy NVDIA Foundation). Organizacje mogą realizować usługi lub produkcję w ramach działalności statutowej (a nie gospodarczej) i nie są przedsiębiorstwami w rozumieniu przepisów.</w:t>
      </w:r>
    </w:p>
    <w:p w14:paraId="09EC56D6" w14:textId="77777777" w:rsidR="00B652E5" w:rsidRPr="00592F52" w:rsidRDefault="00B652E5" w:rsidP="00592F52">
      <w:pPr>
        <w:pStyle w:val="Tekstkomentarza"/>
        <w:keepNext/>
        <w:numPr>
          <w:ilvl w:val="0"/>
          <w:numId w:val="13"/>
        </w:numPr>
        <w:tabs>
          <w:tab w:val="left" w:pos="567"/>
        </w:tabs>
        <w:spacing w:before="120" w:line="360" w:lineRule="auto"/>
        <w:ind w:left="567" w:hanging="567"/>
        <w:jc w:val="left"/>
        <w:rPr>
          <w:rFonts w:ascii="Verdana" w:eastAsia="Gulim" w:hAnsi="Verdana" w:cs="Times New Roman"/>
          <w:sz w:val="24"/>
          <w:szCs w:val="24"/>
        </w:rPr>
      </w:pPr>
      <w:r w:rsidRPr="00592F52">
        <w:rPr>
          <w:rFonts w:ascii="Verdana" w:eastAsia="Gulim" w:hAnsi="Verdana" w:cs="Times New Roman"/>
          <w:sz w:val="24"/>
          <w:szCs w:val="24"/>
        </w:rPr>
        <w:t>Ilekroć w dokumencie jest mowa o partnerach społeczno</w:t>
      </w:r>
      <w:r w:rsidRPr="00592F52">
        <w:rPr>
          <w:rFonts w:ascii="Verdana" w:eastAsia="Gulim" w:hAnsi="Verdana" w:cs="Times New Roman"/>
          <w:sz w:val="24"/>
          <w:szCs w:val="24"/>
        </w:rPr>
        <w:noBreakHyphen/>
        <w:t xml:space="preserve">gospodarczych, otoczeniu społeczno-gospodarczym, </w:t>
      </w:r>
      <w:r w:rsidRPr="00592F52">
        <w:rPr>
          <w:rFonts w:ascii="Verdana" w:eastAsia="Gulim" w:hAnsi="Verdana" w:cs="Times New Roman"/>
          <w:b/>
          <w:sz w:val="24"/>
          <w:szCs w:val="24"/>
        </w:rPr>
        <w:t>należy go uzupełnić o kontekst podmiotów społeczeństwa obywatelskiego</w:t>
      </w:r>
      <w:r w:rsidRPr="00592F52">
        <w:rPr>
          <w:rFonts w:ascii="Verdana" w:eastAsia="Gulim" w:hAnsi="Verdana" w:cs="Times New Roman"/>
          <w:sz w:val="24"/>
          <w:szCs w:val="24"/>
        </w:rPr>
        <w:t xml:space="preserve"> – na przykład dodając „</w:t>
      </w:r>
      <w:r w:rsidRPr="00592F52">
        <w:rPr>
          <w:rFonts w:ascii="Verdana" w:eastAsia="Gulim" w:hAnsi="Verdana" w:cs="Times New Roman"/>
          <w:b/>
          <w:sz w:val="24"/>
          <w:szCs w:val="24"/>
        </w:rPr>
        <w:t>partnerów reprezentujących społeczeństwo obywatelskie</w:t>
      </w:r>
      <w:r w:rsidRPr="00592F52">
        <w:rPr>
          <w:rFonts w:ascii="Verdana" w:eastAsia="Gulim" w:hAnsi="Verdana" w:cs="Times New Roman"/>
          <w:sz w:val="24"/>
          <w:szCs w:val="24"/>
        </w:rPr>
        <w:t>”.</w:t>
      </w:r>
    </w:p>
    <w:p w14:paraId="6E728F80" w14:textId="1F55BCE0" w:rsidR="00B652E5" w:rsidRDefault="00B652E5" w:rsidP="00B652E5">
      <w:pPr>
        <w:pStyle w:val="Akapitzlist"/>
        <w:spacing w:before="360" w:line="360" w:lineRule="auto"/>
        <w:ind w:left="284"/>
        <w:contextualSpacing w:val="0"/>
        <w:textAlignment w:val="baseline"/>
        <w:rPr>
          <w:rFonts w:ascii="Verdana" w:eastAsia="Times New Roman" w:hAnsi="Verdana" w:cstheme="minorHAnsi"/>
          <w:lang w:eastAsia="pl-PL"/>
        </w:rPr>
      </w:pPr>
    </w:p>
    <w:p w14:paraId="373BB1D2" w14:textId="0BEF7109" w:rsidR="00B652E5" w:rsidRPr="00592F52" w:rsidRDefault="00B652E5" w:rsidP="00B652E5">
      <w:pPr>
        <w:pStyle w:val="Akapitzlist"/>
        <w:spacing w:before="360" w:line="360" w:lineRule="auto"/>
        <w:ind w:left="0"/>
        <w:contextualSpacing w:val="0"/>
        <w:jc w:val="center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b/>
          <w:bCs/>
          <w:color w:val="000000"/>
          <w:lang w:eastAsia="pl-PL"/>
        </w:rPr>
        <w:lastRenderedPageBreak/>
        <w:t>§ 3</w:t>
      </w:r>
    </w:p>
    <w:p w14:paraId="5FE4F5CB" w14:textId="5E1533D6" w:rsidR="00426173" w:rsidRPr="00592F52" w:rsidRDefault="003B67E0" w:rsidP="00592F52">
      <w:pPr>
        <w:pStyle w:val="Akapitzlist"/>
        <w:numPr>
          <w:ilvl w:val="0"/>
          <w:numId w:val="9"/>
        </w:numPr>
        <w:spacing w:before="360" w:line="360" w:lineRule="auto"/>
        <w:ind w:left="284"/>
        <w:contextualSpacing w:val="0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 xml:space="preserve">Efektywna i skuteczna realizacja działań wspieranych z EFS+ w Programie zależy od dobrego zarządzania i partnerstwa między wszystkimi podmiotami na stosownych szczeblach terytorialnych a podmiotami społeczno-gospodarczymi, w szczególności partnerami - organizacjami społeczeństwa obywatelskiego. Niezbędne jest zatem, przeznaczyć odpowiednią kwotę zasobów z Programu na zapewnienie znaczącego udziału partnerów z organizacji społeczeństwa obywatelskiego we wdrażaniu komponentu EFS+ w ramach zarządzania dzielonego. Udział ten powinien obejmować odpowiednie podmioty reprezentujące społeczeństwo obywatelskie. </w:t>
      </w:r>
    </w:p>
    <w:p w14:paraId="730C5FD2" w14:textId="6C01D810" w:rsidR="00426173" w:rsidRPr="00592F52" w:rsidRDefault="00426173" w:rsidP="00592F52">
      <w:pPr>
        <w:pStyle w:val="Akapitzlist"/>
        <w:numPr>
          <w:ilvl w:val="0"/>
          <w:numId w:val="9"/>
        </w:numPr>
        <w:spacing w:before="360" w:line="360" w:lineRule="auto"/>
        <w:ind w:left="284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 xml:space="preserve">Rozporządzenie Parlamentu Europejskiego </w:t>
      </w:r>
      <w:r w:rsidR="0016767C" w:rsidRPr="00592F52">
        <w:rPr>
          <w:rFonts w:ascii="Verdana" w:eastAsia="Times New Roman" w:hAnsi="Verdana" w:cs="Times New Roman"/>
          <w:lang w:eastAsia="pl-PL"/>
        </w:rPr>
        <w:t>i</w:t>
      </w:r>
      <w:r w:rsidRPr="00592F52">
        <w:rPr>
          <w:rFonts w:ascii="Verdana" w:eastAsia="Times New Roman" w:hAnsi="Verdana" w:cs="Times New Roman"/>
          <w:lang w:eastAsia="pl-PL"/>
        </w:rPr>
        <w:t xml:space="preserve"> Rady (U</w:t>
      </w:r>
      <w:r w:rsidR="0016767C" w:rsidRPr="00592F52">
        <w:rPr>
          <w:rFonts w:ascii="Verdana" w:eastAsia="Times New Roman" w:hAnsi="Verdana" w:cs="Times New Roman"/>
          <w:lang w:eastAsia="pl-PL"/>
        </w:rPr>
        <w:t>E</w:t>
      </w:r>
      <w:r w:rsidRPr="00592F52">
        <w:rPr>
          <w:rFonts w:ascii="Verdana" w:eastAsia="Times New Roman" w:hAnsi="Verdana" w:cs="Times New Roman"/>
          <w:lang w:eastAsia="pl-PL"/>
        </w:rPr>
        <w:t>) 2021/1057</w:t>
      </w:r>
    </w:p>
    <w:p w14:paraId="0E7AC37E" w14:textId="77777777" w:rsidR="001447FE" w:rsidRPr="00592F52" w:rsidRDefault="00426173" w:rsidP="00592F52">
      <w:pPr>
        <w:pStyle w:val="Akapitzlist"/>
        <w:spacing w:before="360" w:line="360" w:lineRule="auto"/>
        <w:ind w:left="284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 xml:space="preserve">z dnia 24 czerwca 2021 r. ustanawiające Europejski Fundusz Społeczny Plus (EFS+) wskazuje, że </w:t>
      </w:r>
      <w:r w:rsidR="003B67E0" w:rsidRPr="00592F52">
        <w:rPr>
          <w:rFonts w:ascii="Verdana" w:eastAsia="Times New Roman" w:hAnsi="Verdana" w:cs="Times New Roman"/>
          <w:lang w:eastAsia="pl-PL"/>
        </w:rPr>
        <w:t xml:space="preserve"> powinny przeznaczyć na ten cel </w:t>
      </w:r>
      <w:r w:rsidR="003B67E0" w:rsidRPr="00592F52">
        <w:rPr>
          <w:rFonts w:ascii="Verdana" w:eastAsia="Times New Roman" w:hAnsi="Verdana" w:cs="Times New Roman"/>
          <w:b/>
          <w:bCs/>
          <w:lang w:eastAsia="pl-PL"/>
        </w:rPr>
        <w:t>co najmniej</w:t>
      </w:r>
      <w:r w:rsidR="003B67E0" w:rsidRPr="00592F52">
        <w:rPr>
          <w:rFonts w:ascii="Verdana" w:eastAsia="Times New Roman" w:hAnsi="Verdana" w:cs="Times New Roman"/>
          <w:lang w:eastAsia="pl-PL"/>
        </w:rPr>
        <w:t xml:space="preserve"> 0,25 % swoich zasobów z komponentu EFS+ w ramach zarządzania dzielonego ze względu na szczególne potrzeby, jakie mają w tym obszarze.</w:t>
      </w:r>
      <w:r w:rsidRPr="00592F52">
        <w:rPr>
          <w:rFonts w:ascii="Verdana" w:eastAsia="Times New Roman" w:hAnsi="Verdana" w:cs="Times New Roman"/>
          <w:lang w:eastAsia="pl-PL"/>
        </w:rPr>
        <w:t xml:space="preserve"> </w:t>
      </w:r>
    </w:p>
    <w:p w14:paraId="583620B6" w14:textId="23B9BECD" w:rsidR="003B67E0" w:rsidRPr="00592F52" w:rsidRDefault="00426173" w:rsidP="00592F52">
      <w:pPr>
        <w:pStyle w:val="Akapitzlist"/>
        <w:spacing w:before="360" w:line="360" w:lineRule="auto"/>
        <w:ind w:left="284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>Dlatego</w:t>
      </w:r>
      <w:r w:rsidR="001447FE" w:rsidRPr="00592F52">
        <w:rPr>
          <w:rFonts w:ascii="Verdana" w:eastAsia="Times New Roman" w:hAnsi="Verdana" w:cs="Times New Roman"/>
          <w:lang w:eastAsia="pl-PL"/>
        </w:rPr>
        <w:t xml:space="preserve"> Rada postuluje, żeby dokument przewidywał zwiększoną alokację – 1 % – przeznaczoną na budowanie i rozwój potencjału organizacji społeczeństwa obywatelskiego (więcej niż minimum 0,25 %). Rada jest przekonana, że skoro analogiczne rozwiązanie zostało wdrożone w przypadku podatku od osób fizycznych, to uda się je wdrożyć w programach wykorzystujących EFS+ – z korzyścią dla Polski, społeczeństwa i finansów publicznych.</w:t>
      </w:r>
    </w:p>
    <w:p w14:paraId="315920AC" w14:textId="221F70E0" w:rsidR="0016767C" w:rsidRPr="00592F52" w:rsidRDefault="0016767C" w:rsidP="00592F52">
      <w:pPr>
        <w:pStyle w:val="Akapitzlist"/>
        <w:numPr>
          <w:ilvl w:val="0"/>
          <w:numId w:val="9"/>
        </w:numPr>
        <w:spacing w:before="360" w:line="360" w:lineRule="auto"/>
        <w:ind w:left="284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 xml:space="preserve">Rada </w:t>
      </w:r>
      <w:r w:rsidR="00163CC2" w:rsidRPr="00592F52">
        <w:rPr>
          <w:rFonts w:ascii="Verdana" w:eastAsia="Times New Roman" w:hAnsi="Verdana" w:cs="Times New Roman"/>
          <w:lang w:eastAsia="pl-PL"/>
        </w:rPr>
        <w:t xml:space="preserve">rekomenduje typy projektów, które powinny zostać objęte wsparciem w tym komponencie (załącznik do uchwały). </w:t>
      </w:r>
    </w:p>
    <w:p w14:paraId="2B39F467" w14:textId="57F88180" w:rsidR="00163CC2" w:rsidRPr="00592F52" w:rsidRDefault="00163CC2" w:rsidP="00592F52">
      <w:pPr>
        <w:pStyle w:val="Akapitzlist"/>
        <w:numPr>
          <w:ilvl w:val="0"/>
          <w:numId w:val="9"/>
        </w:numPr>
        <w:spacing w:before="360" w:line="360" w:lineRule="auto"/>
        <w:ind w:left="284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t xml:space="preserve">Rada pragnie przypomnieć, że zgodnie za art. </w:t>
      </w:r>
      <w:r w:rsidR="00817976" w:rsidRPr="00592F52">
        <w:rPr>
          <w:rFonts w:ascii="Verdana" w:eastAsia="Times New Roman" w:hAnsi="Verdana" w:cs="Times New Roman"/>
          <w:lang w:eastAsia="pl-PL"/>
        </w:rPr>
        <w:t>9 Rozporządzenia nr 1296/2013</w:t>
      </w:r>
      <w:r w:rsidR="000C29E8" w:rsidRPr="00592F52">
        <w:rPr>
          <w:rFonts w:ascii="Verdana" w:eastAsia="Times New Roman" w:hAnsi="Verdana" w:cs="Times New Roman"/>
          <w:lang w:eastAsia="pl-PL"/>
        </w:rPr>
        <w:t xml:space="preserve"> wsparcie budowania potencjału społeczeństwa obywatelskiego </w:t>
      </w:r>
      <w:r w:rsidR="00817976" w:rsidRPr="00592F52">
        <w:rPr>
          <w:rFonts w:ascii="Verdana" w:eastAsia="Times New Roman" w:hAnsi="Verdana" w:cs="Times New Roman"/>
          <w:lang w:eastAsia="pl-PL"/>
        </w:rPr>
        <w:t xml:space="preserve">powinno dotyczyć </w:t>
      </w:r>
      <w:r w:rsidR="00817976" w:rsidRPr="00592F52">
        <w:rPr>
          <w:rFonts w:ascii="Verdana" w:eastAsia="Times New Roman" w:hAnsi="Verdana" w:cs="Times New Roman"/>
          <w:b/>
          <w:bCs/>
          <w:lang w:eastAsia="pl-PL"/>
        </w:rPr>
        <w:t>każdego</w:t>
      </w:r>
      <w:r w:rsidR="00817976" w:rsidRPr="00592F52">
        <w:rPr>
          <w:rFonts w:ascii="Verdana" w:eastAsia="Times New Roman" w:hAnsi="Verdana" w:cs="Times New Roman"/>
          <w:lang w:eastAsia="pl-PL"/>
        </w:rPr>
        <w:t xml:space="preserve"> programu z komponentem EFS+</w:t>
      </w:r>
      <w:r w:rsidR="00224BA0" w:rsidRPr="00592F52">
        <w:rPr>
          <w:rFonts w:ascii="Verdana" w:eastAsia="Times New Roman" w:hAnsi="Verdana" w:cs="Times New Roman"/>
          <w:lang w:eastAsia="pl-PL"/>
        </w:rPr>
        <w:t>.</w:t>
      </w:r>
    </w:p>
    <w:p w14:paraId="10486709" w14:textId="37D4570C" w:rsidR="0016767C" w:rsidRPr="00592F52" w:rsidRDefault="00224BA0" w:rsidP="00592F52">
      <w:pPr>
        <w:pStyle w:val="Akapitzlist"/>
        <w:numPr>
          <w:ilvl w:val="0"/>
          <w:numId w:val="9"/>
        </w:numPr>
        <w:spacing w:before="360" w:line="360" w:lineRule="auto"/>
        <w:ind w:left="284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Times New Roman" w:hAnsi="Verdana" w:cs="Times New Roman"/>
          <w:lang w:eastAsia="pl-PL"/>
        </w:rPr>
        <w:lastRenderedPageBreak/>
        <w:t>Rada zauważa również, że środki te ni</w:t>
      </w:r>
      <w:r w:rsidR="00F608D8" w:rsidRPr="00592F52">
        <w:rPr>
          <w:rFonts w:ascii="Verdana" w:eastAsia="Times New Roman" w:hAnsi="Verdana" w:cs="Times New Roman"/>
          <w:lang w:eastAsia="pl-PL"/>
        </w:rPr>
        <w:t>e</w:t>
      </w:r>
      <w:r w:rsidRPr="00592F52">
        <w:rPr>
          <w:rFonts w:ascii="Verdana" w:eastAsia="Times New Roman" w:hAnsi="Verdana" w:cs="Times New Roman"/>
          <w:lang w:eastAsia="pl-PL"/>
        </w:rPr>
        <w:t xml:space="preserve"> mogą być przeznaczane na </w:t>
      </w:r>
      <w:r w:rsidR="00F608D8" w:rsidRPr="00592F52">
        <w:rPr>
          <w:rFonts w:ascii="Verdana" w:eastAsia="Times New Roman" w:hAnsi="Verdana" w:cs="Times New Roman"/>
          <w:lang w:eastAsia="pl-PL"/>
        </w:rPr>
        <w:t>rozwój</w:t>
      </w:r>
      <w:r w:rsidRPr="00592F52">
        <w:rPr>
          <w:rFonts w:ascii="Verdana" w:eastAsia="Times New Roman" w:hAnsi="Verdana" w:cs="Times New Roman"/>
          <w:lang w:eastAsia="pl-PL"/>
        </w:rPr>
        <w:t xml:space="preserve"> administracji publicznej lub jednostek od nich zależnych oraz nie są to środki dedykowane na budowanie </w:t>
      </w:r>
      <w:r w:rsidR="00F608D8" w:rsidRPr="00592F52">
        <w:rPr>
          <w:rFonts w:ascii="Verdana" w:eastAsia="Times New Roman" w:hAnsi="Verdana" w:cs="Times New Roman"/>
          <w:lang w:eastAsia="pl-PL"/>
        </w:rPr>
        <w:t>bezpośrednio</w:t>
      </w:r>
      <w:r w:rsidRPr="00592F52">
        <w:rPr>
          <w:rFonts w:ascii="Verdana" w:eastAsia="Times New Roman" w:hAnsi="Verdana" w:cs="Times New Roman"/>
          <w:lang w:eastAsia="pl-PL"/>
        </w:rPr>
        <w:t xml:space="preserve"> potencjału beneficjentów środków z funduszy europejskich – służyć temu powinny fundusze z pomocy technicznej. </w:t>
      </w:r>
    </w:p>
    <w:p w14:paraId="497F445A" w14:textId="77777777" w:rsidR="00B652E5" w:rsidRPr="00592F52" w:rsidRDefault="00B652E5" w:rsidP="00592F52">
      <w:pPr>
        <w:pStyle w:val="Tekstkomentarza"/>
        <w:keepNext/>
        <w:numPr>
          <w:ilvl w:val="0"/>
          <w:numId w:val="9"/>
        </w:numPr>
        <w:tabs>
          <w:tab w:val="left" w:pos="567"/>
        </w:tabs>
        <w:spacing w:before="120" w:line="360" w:lineRule="auto"/>
        <w:ind w:left="284"/>
        <w:jc w:val="left"/>
        <w:rPr>
          <w:rFonts w:ascii="Verdana" w:eastAsia="Gulim" w:hAnsi="Verdana" w:cs="Times New Roman"/>
          <w:sz w:val="24"/>
          <w:szCs w:val="24"/>
        </w:rPr>
      </w:pPr>
      <w:r w:rsidRPr="00592F52">
        <w:rPr>
          <w:rFonts w:ascii="Verdana" w:eastAsia="Gulim" w:hAnsi="Verdana" w:cs="Times New Roman"/>
          <w:sz w:val="24"/>
          <w:szCs w:val="24"/>
        </w:rPr>
        <w:t xml:space="preserve">Rada Działalności wyraża jednocześnie swój niepokój, odnośnie działań Instytucji Zarządzających Programami Regionalnymi, które </w:t>
      </w:r>
      <w:r w:rsidRPr="00592F52">
        <w:rPr>
          <w:rFonts w:ascii="Verdana" w:eastAsia="Gulim" w:hAnsi="Verdana" w:cs="Times New Roman"/>
          <w:b/>
          <w:sz w:val="24"/>
          <w:szCs w:val="24"/>
        </w:rPr>
        <w:t>nie respektują zasady wyodrębnienia stosownych środków (nawet 0,25 % wydatków)</w:t>
      </w:r>
      <w:r w:rsidRPr="00592F52">
        <w:rPr>
          <w:rFonts w:ascii="Verdana" w:eastAsia="Gulim" w:hAnsi="Verdana" w:cs="Times New Roman"/>
          <w:sz w:val="24"/>
          <w:szCs w:val="24"/>
        </w:rPr>
        <w:t xml:space="preserve"> na wsparcie instytucjonalne organizacji obywatelskich. Pojawiają się próby przeniesienia tych środków na działania instytucji publicznych lub innych działań przewidzianych celami szczegółowymi.</w:t>
      </w:r>
    </w:p>
    <w:p w14:paraId="3CDAA46A" w14:textId="4242101B" w:rsidR="00B652E5" w:rsidRPr="00592F52" w:rsidRDefault="00B652E5" w:rsidP="00592F52">
      <w:pPr>
        <w:pStyle w:val="Tekstkomentarza"/>
        <w:keepNext/>
        <w:numPr>
          <w:ilvl w:val="0"/>
          <w:numId w:val="9"/>
        </w:numPr>
        <w:tabs>
          <w:tab w:val="left" w:pos="567"/>
        </w:tabs>
        <w:spacing w:before="360" w:line="360" w:lineRule="auto"/>
        <w:ind w:left="284"/>
        <w:jc w:val="left"/>
        <w:textAlignment w:val="baseline"/>
        <w:rPr>
          <w:rFonts w:ascii="Verdana" w:eastAsia="Times New Roman" w:hAnsi="Verdana" w:cs="Times New Roman"/>
          <w:lang w:eastAsia="pl-PL"/>
        </w:rPr>
      </w:pPr>
      <w:r w:rsidRPr="00592F52">
        <w:rPr>
          <w:rFonts w:ascii="Verdana" w:eastAsia="Gulim" w:hAnsi="Verdana" w:cs="Times New Roman"/>
          <w:sz w:val="24"/>
          <w:szCs w:val="24"/>
        </w:rPr>
        <w:t xml:space="preserve">Rada zwraca się do Ministerstwa Funduszy i Polityki Regionalnej (dalej „MFiPR”) o jasne wskazanie województwom, iż działania takie stanowią naruszenia zapisów rozporządzeń Parlamentu i Rady UE oraz – jak również – postanowień Umowy Partnerstwa. Rada zwraca się do MFiPR o wnioskowanie do samorządów województw o powołanie w tej sprawie grup roboczych z udziałem organizacji obywatelskich. Wnosimy również o przekazanie samorządom województw, wypracowanego w ramach grupy roboczej na poziomie Rady materiału o możliwych kierunkach interwencji. Materiał ten stanowi załącznik nr 1 do uchwały. </w:t>
      </w:r>
    </w:p>
    <w:p w14:paraId="375A3722" w14:textId="7B41917E" w:rsidR="009E7CF6" w:rsidRPr="00592F52" w:rsidRDefault="000A04CF" w:rsidP="00E930F2">
      <w:pPr>
        <w:spacing w:before="360" w:line="360" w:lineRule="auto"/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592F52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§ </w:t>
      </w:r>
      <w:r w:rsidR="00B652E5" w:rsidRPr="00592F52">
        <w:rPr>
          <w:rFonts w:ascii="Verdana" w:eastAsia="Times New Roman" w:hAnsi="Verdana" w:cs="Times New Roman"/>
          <w:b/>
          <w:bCs/>
          <w:color w:val="000000"/>
          <w:lang w:eastAsia="pl-PL"/>
        </w:rPr>
        <w:t>4</w:t>
      </w:r>
    </w:p>
    <w:p w14:paraId="0FCEC0CE" w14:textId="77777777" w:rsidR="00ED4E38" w:rsidRPr="00592F52" w:rsidRDefault="00ED4E38" w:rsidP="00592F52">
      <w:pPr>
        <w:spacing w:line="360" w:lineRule="auto"/>
        <w:rPr>
          <w:rFonts w:ascii="Verdana" w:hAnsi="Verdana" w:cs="Times New Roman"/>
        </w:rPr>
      </w:pPr>
      <w:bookmarkStart w:id="2" w:name="_Hlk83880366"/>
      <w:r w:rsidRPr="00592F52">
        <w:rPr>
          <w:rFonts w:ascii="Verdana" w:hAnsi="Verdana" w:cs="Times New Roman"/>
        </w:rPr>
        <w:t>Rada wnosi o przekazanie niniejszej uchwały:</w:t>
      </w:r>
    </w:p>
    <w:p w14:paraId="09C75131" w14:textId="77777777" w:rsidR="00ED4E38" w:rsidRPr="00592F52" w:rsidRDefault="00ED4E38" w:rsidP="00592F52">
      <w:pPr>
        <w:numPr>
          <w:ilvl w:val="1"/>
          <w:numId w:val="1"/>
        </w:numPr>
        <w:spacing w:line="360" w:lineRule="auto"/>
        <w:ind w:left="567" w:hanging="567"/>
        <w:rPr>
          <w:rFonts w:ascii="Verdana" w:eastAsia="Verdana" w:hAnsi="Verdana" w:cs="Times New Roman"/>
          <w:color w:val="222222"/>
        </w:rPr>
      </w:pPr>
      <w:r w:rsidRPr="00592F52">
        <w:rPr>
          <w:rFonts w:ascii="Verdana" w:eastAsia="Verdana" w:hAnsi="Verdana" w:cs="Times New Roman"/>
          <w:color w:val="222222"/>
        </w:rPr>
        <w:t>Prezesowi</w:t>
      </w:r>
      <w:r w:rsidRPr="00592F52">
        <w:rPr>
          <w:rFonts w:ascii="Verdana" w:hAnsi="Verdana" w:cs="Times New Roman"/>
        </w:rPr>
        <w:t xml:space="preserve"> </w:t>
      </w:r>
      <w:r w:rsidRPr="00592F52">
        <w:rPr>
          <w:rFonts w:ascii="Verdana" w:eastAsia="Verdana" w:hAnsi="Verdana" w:cs="Times New Roman"/>
          <w:color w:val="222222"/>
        </w:rPr>
        <w:t>Rady Ministrów;</w:t>
      </w:r>
    </w:p>
    <w:p w14:paraId="3E827AAD" w14:textId="77777777" w:rsidR="00ED4E38" w:rsidRPr="00592F52" w:rsidRDefault="00ED4E38" w:rsidP="00592F52">
      <w:pPr>
        <w:numPr>
          <w:ilvl w:val="1"/>
          <w:numId w:val="1"/>
        </w:numPr>
        <w:spacing w:line="360" w:lineRule="auto"/>
        <w:ind w:left="567" w:hanging="567"/>
        <w:rPr>
          <w:rFonts w:ascii="Verdana" w:eastAsia="Verdana" w:hAnsi="Verdana" w:cs="Times New Roman"/>
          <w:color w:val="222222"/>
        </w:rPr>
      </w:pPr>
      <w:r w:rsidRPr="00592F52">
        <w:rPr>
          <w:rFonts w:ascii="Verdana" w:eastAsia="Verdana" w:hAnsi="Verdana" w:cs="Times New Roman"/>
          <w:color w:val="222222"/>
        </w:rPr>
        <w:t>Ministrowi Finansów, Funduszy i Polityki Regionalnej;</w:t>
      </w:r>
    </w:p>
    <w:p w14:paraId="2EA90954" w14:textId="7C9DC53F" w:rsidR="00ED4E38" w:rsidRPr="00592F52" w:rsidRDefault="00ED4E38" w:rsidP="00592F52">
      <w:pPr>
        <w:numPr>
          <w:ilvl w:val="1"/>
          <w:numId w:val="1"/>
        </w:numPr>
        <w:spacing w:line="360" w:lineRule="auto"/>
        <w:ind w:left="567" w:hanging="567"/>
        <w:rPr>
          <w:rFonts w:ascii="Verdana" w:eastAsia="Verdana" w:hAnsi="Verdana" w:cs="Times New Roman"/>
          <w:color w:val="222222"/>
        </w:rPr>
      </w:pPr>
      <w:r w:rsidRPr="00592F52">
        <w:rPr>
          <w:rFonts w:ascii="Verdana" w:eastAsia="Verdana" w:hAnsi="Verdana" w:cs="Times New Roman"/>
          <w:color w:val="222222"/>
        </w:rPr>
        <w:t>Komisji Europejskiej oraz Przedstaw</w:t>
      </w:r>
      <w:r w:rsidR="005B44A1" w:rsidRPr="00592F52">
        <w:rPr>
          <w:rFonts w:ascii="Verdana" w:eastAsia="Verdana" w:hAnsi="Verdana" w:cs="Times New Roman"/>
          <w:color w:val="222222"/>
        </w:rPr>
        <w:t xml:space="preserve">icielstwu Komisji Europejskiej </w:t>
      </w:r>
      <w:r w:rsidRPr="00592F52">
        <w:rPr>
          <w:rFonts w:ascii="Verdana" w:eastAsia="Verdana" w:hAnsi="Verdana" w:cs="Times New Roman"/>
          <w:color w:val="222222"/>
        </w:rPr>
        <w:t>w Polsce;</w:t>
      </w:r>
    </w:p>
    <w:p w14:paraId="25D7A420" w14:textId="77777777" w:rsidR="00ED4E38" w:rsidRPr="00592F52" w:rsidRDefault="00ED4E38" w:rsidP="00592F52">
      <w:pPr>
        <w:numPr>
          <w:ilvl w:val="1"/>
          <w:numId w:val="1"/>
        </w:numPr>
        <w:spacing w:line="360" w:lineRule="auto"/>
        <w:ind w:left="567" w:hanging="567"/>
        <w:rPr>
          <w:rFonts w:ascii="Verdana" w:eastAsia="Verdana" w:hAnsi="Verdana" w:cs="Times New Roman"/>
          <w:color w:val="222222"/>
        </w:rPr>
      </w:pPr>
      <w:r w:rsidRPr="00592F52">
        <w:rPr>
          <w:rFonts w:ascii="Verdana" w:eastAsia="Verdana" w:hAnsi="Verdana" w:cs="Times New Roman"/>
          <w:color w:val="222222"/>
        </w:rPr>
        <w:t>Przewodniczącemu Podkomitetu ds. Realizacji Rozwoju Partnerstwa;</w:t>
      </w:r>
    </w:p>
    <w:p w14:paraId="5CC01379" w14:textId="77777777" w:rsidR="00ED4E38" w:rsidRPr="00592F52" w:rsidRDefault="00ED4E38" w:rsidP="00592F52">
      <w:pPr>
        <w:numPr>
          <w:ilvl w:val="1"/>
          <w:numId w:val="1"/>
        </w:numPr>
        <w:spacing w:line="360" w:lineRule="auto"/>
        <w:ind w:left="567" w:hanging="567"/>
        <w:rPr>
          <w:rFonts w:ascii="Verdana" w:eastAsia="Verdana" w:hAnsi="Verdana" w:cs="Times New Roman"/>
          <w:color w:val="222222"/>
        </w:rPr>
      </w:pPr>
      <w:r w:rsidRPr="00592F52">
        <w:rPr>
          <w:rFonts w:ascii="Verdana" w:eastAsia="Verdana" w:hAnsi="Verdana" w:cs="Times New Roman"/>
          <w:color w:val="222222"/>
        </w:rPr>
        <w:t>polskim członkom Europejskiego Komitetu Ekonomiczno-Społecznego;</w:t>
      </w:r>
    </w:p>
    <w:p w14:paraId="4FB7FD78" w14:textId="77777777" w:rsidR="00ED4E38" w:rsidRPr="00592F52" w:rsidRDefault="00ED4E38" w:rsidP="00592F52">
      <w:pPr>
        <w:numPr>
          <w:ilvl w:val="1"/>
          <w:numId w:val="1"/>
        </w:numPr>
        <w:spacing w:line="360" w:lineRule="auto"/>
        <w:ind w:left="567" w:hanging="567"/>
        <w:rPr>
          <w:rFonts w:ascii="Verdana" w:eastAsia="Verdana" w:hAnsi="Verdana" w:cs="Times New Roman"/>
          <w:color w:val="222222"/>
        </w:rPr>
      </w:pPr>
      <w:r w:rsidRPr="00592F52">
        <w:rPr>
          <w:rFonts w:ascii="Verdana" w:eastAsia="Verdana" w:hAnsi="Verdana" w:cs="Times New Roman"/>
          <w:color w:val="222222"/>
        </w:rPr>
        <w:lastRenderedPageBreak/>
        <w:t>Komitetowi Umowy Partnerstwa oraz Podkomitetowi ds. rozwoju partnerstwa.</w:t>
      </w:r>
    </w:p>
    <w:p w14:paraId="6083CFBD" w14:textId="77777777" w:rsidR="00ED4E38" w:rsidRPr="00592F52" w:rsidRDefault="00ED4E38" w:rsidP="00E930F2">
      <w:pPr>
        <w:spacing w:before="360" w:line="360" w:lineRule="auto"/>
        <w:jc w:val="center"/>
        <w:rPr>
          <w:rFonts w:ascii="Verdana" w:eastAsia="Verdana" w:hAnsi="Verdana" w:cs="Times New Roman"/>
          <w:b/>
          <w:bCs/>
        </w:rPr>
      </w:pPr>
      <w:r w:rsidRPr="00592F52">
        <w:rPr>
          <w:rFonts w:ascii="Verdana" w:eastAsia="Verdana" w:hAnsi="Verdana" w:cs="Times New Roman"/>
          <w:b/>
          <w:bCs/>
        </w:rPr>
        <w:t>§ 5</w:t>
      </w:r>
    </w:p>
    <w:p w14:paraId="3BC57C1F" w14:textId="77777777" w:rsidR="00ED4E38" w:rsidRPr="00592F52" w:rsidRDefault="00ED4E38" w:rsidP="00592F52">
      <w:pPr>
        <w:spacing w:line="360" w:lineRule="auto"/>
        <w:rPr>
          <w:rFonts w:ascii="Verdana" w:eastAsia="Verdana" w:hAnsi="Verdana" w:cs="Times New Roman"/>
        </w:rPr>
      </w:pPr>
      <w:r w:rsidRPr="00592F52">
        <w:rPr>
          <w:rFonts w:ascii="Verdana" w:eastAsia="Verdana" w:hAnsi="Verdana" w:cs="Times New Roman"/>
        </w:rPr>
        <w:t>Uchwała wchodzi w życie z dniem podjęcia.</w:t>
      </w:r>
    </w:p>
    <w:bookmarkEnd w:id="2"/>
    <w:p w14:paraId="66A463AD" w14:textId="77777777" w:rsidR="00ED4E38" w:rsidRPr="00ED4E38" w:rsidRDefault="00ED4E38" w:rsidP="00E930F2">
      <w:pPr>
        <w:spacing w:line="360" w:lineRule="auto"/>
        <w:rPr>
          <w:rFonts w:ascii="Verdana" w:hAnsi="Verdana" w:cstheme="minorHAnsi"/>
        </w:rPr>
      </w:pPr>
    </w:p>
    <w:sectPr w:rsidR="00ED4E38" w:rsidRPr="00ED4E38" w:rsidSect="00E36F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FD9"/>
    <w:multiLevelType w:val="hybridMultilevel"/>
    <w:tmpl w:val="B0DC5EE2"/>
    <w:lvl w:ilvl="0" w:tplc="3E3E2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643D"/>
    <w:multiLevelType w:val="hybridMultilevel"/>
    <w:tmpl w:val="B496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379"/>
    <w:multiLevelType w:val="multilevel"/>
    <w:tmpl w:val="8AECE9C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E70C3B"/>
    <w:multiLevelType w:val="hybridMultilevel"/>
    <w:tmpl w:val="B496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7100"/>
    <w:multiLevelType w:val="hybridMultilevel"/>
    <w:tmpl w:val="0EBA7718"/>
    <w:lvl w:ilvl="0" w:tplc="01FA2DFA">
      <w:start w:val="1"/>
      <w:numFmt w:val="decimal"/>
      <w:lvlText w:val="%1."/>
      <w:lvlJc w:val="left"/>
      <w:pPr>
        <w:ind w:left="1118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F9A1A95"/>
    <w:multiLevelType w:val="hybridMultilevel"/>
    <w:tmpl w:val="AD24E3BC"/>
    <w:lvl w:ilvl="0" w:tplc="599C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2056"/>
    <w:multiLevelType w:val="multilevel"/>
    <w:tmpl w:val="8AECE9C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645CAA"/>
    <w:multiLevelType w:val="hybridMultilevel"/>
    <w:tmpl w:val="F4F8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C7C95"/>
    <w:multiLevelType w:val="hybridMultilevel"/>
    <w:tmpl w:val="7A3485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865EE2"/>
    <w:multiLevelType w:val="multilevel"/>
    <w:tmpl w:val="86C6ED8C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10" w15:restartNumberingAfterBreak="0">
    <w:nsid w:val="5A0125AF"/>
    <w:multiLevelType w:val="hybridMultilevel"/>
    <w:tmpl w:val="DE6A343C"/>
    <w:lvl w:ilvl="0" w:tplc="01FA2DFA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30409"/>
    <w:multiLevelType w:val="hybridMultilevel"/>
    <w:tmpl w:val="8A66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301B3"/>
    <w:multiLevelType w:val="multilevel"/>
    <w:tmpl w:val="86C6ED8C"/>
    <w:lvl w:ilvl="0">
      <w:start w:val="1"/>
      <w:numFmt w:val="decimal"/>
      <w:lvlText w:val="%1."/>
      <w:lvlJc w:val="left"/>
      <w:pPr>
        <w:ind w:left="51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3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5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7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9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1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3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5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74" w:hanging="360"/>
      </w:pPr>
      <w:rPr>
        <w:u w:val="none"/>
      </w:rPr>
    </w:lvl>
  </w:abstractNum>
  <w:abstractNum w:abstractNumId="13" w15:restartNumberingAfterBreak="0">
    <w:nsid w:val="7DCB2346"/>
    <w:multiLevelType w:val="multilevel"/>
    <w:tmpl w:val="8AECE9C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13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F6"/>
    <w:rsid w:val="00033AEE"/>
    <w:rsid w:val="0007097C"/>
    <w:rsid w:val="000A04CF"/>
    <w:rsid w:val="000C29E8"/>
    <w:rsid w:val="001035A1"/>
    <w:rsid w:val="001447FE"/>
    <w:rsid w:val="00163CC2"/>
    <w:rsid w:val="0016767C"/>
    <w:rsid w:val="001D54A8"/>
    <w:rsid w:val="00224BA0"/>
    <w:rsid w:val="003B67E0"/>
    <w:rsid w:val="0042498C"/>
    <w:rsid w:val="00426173"/>
    <w:rsid w:val="00522439"/>
    <w:rsid w:val="005853DC"/>
    <w:rsid w:val="00592F52"/>
    <w:rsid w:val="005B44A1"/>
    <w:rsid w:val="00817976"/>
    <w:rsid w:val="00845C4D"/>
    <w:rsid w:val="00983208"/>
    <w:rsid w:val="009E7CF6"/>
    <w:rsid w:val="00B32F51"/>
    <w:rsid w:val="00B55D61"/>
    <w:rsid w:val="00B652E5"/>
    <w:rsid w:val="00C31805"/>
    <w:rsid w:val="00C51A62"/>
    <w:rsid w:val="00DA6F25"/>
    <w:rsid w:val="00DC1E4D"/>
    <w:rsid w:val="00E36F8D"/>
    <w:rsid w:val="00E930F2"/>
    <w:rsid w:val="00ED4E38"/>
    <w:rsid w:val="00F6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B4FB"/>
  <w15:chartTrackingRefBased/>
  <w15:docId w15:val="{83B7EC39-7B48-2E4F-A9DB-746CE739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CF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D54A8"/>
  </w:style>
  <w:style w:type="paragraph" w:styleId="Tekstkomentarza">
    <w:name w:val="annotation text"/>
    <w:basedOn w:val="Normalny"/>
    <w:link w:val="TekstkomentarzaZnak"/>
    <w:uiPriority w:val="99"/>
    <w:unhideWhenUsed/>
    <w:rsid w:val="00B652E5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52E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1947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Gierlach Piotr</cp:lastModifiedBy>
  <cp:revision>8</cp:revision>
  <dcterms:created xsi:type="dcterms:W3CDTF">2021-09-30T06:25:00Z</dcterms:created>
  <dcterms:modified xsi:type="dcterms:W3CDTF">2021-10-08T17:09:00Z</dcterms:modified>
</cp:coreProperties>
</file>