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640" w:rsidRPr="00B36CC3" w:rsidRDefault="004D2383" w:rsidP="007604C6">
      <w:pPr>
        <w:spacing w:line="360" w:lineRule="auto"/>
        <w:rPr>
          <w:b/>
          <w:sz w:val="24"/>
          <w:szCs w:val="24"/>
        </w:rPr>
      </w:pPr>
      <w:r w:rsidRPr="00B36CC3">
        <w:rPr>
          <w:b/>
          <w:sz w:val="24"/>
          <w:szCs w:val="24"/>
        </w:rPr>
        <w:t>Prace herpetologiczne na terenie Ostoi Moczary</w:t>
      </w:r>
    </w:p>
    <w:p w:rsidR="00C802B1" w:rsidRPr="00B36CC3" w:rsidRDefault="00C802B1" w:rsidP="007604C6">
      <w:pPr>
        <w:spacing w:line="360" w:lineRule="auto"/>
        <w:rPr>
          <w:b/>
          <w:sz w:val="24"/>
          <w:szCs w:val="24"/>
        </w:rPr>
      </w:pPr>
      <w:r w:rsidRPr="00B36CC3">
        <w:rPr>
          <w:b/>
          <w:sz w:val="24"/>
          <w:szCs w:val="24"/>
        </w:rPr>
        <w:t>Maciej Bonk</w:t>
      </w:r>
    </w:p>
    <w:p w:rsidR="00DF4D7F" w:rsidRPr="00B36CC3" w:rsidRDefault="00DF4D7F" w:rsidP="007604C6">
      <w:pPr>
        <w:spacing w:line="360" w:lineRule="auto"/>
        <w:rPr>
          <w:b/>
          <w:i/>
          <w:sz w:val="24"/>
          <w:szCs w:val="24"/>
        </w:rPr>
      </w:pPr>
      <w:r w:rsidRPr="00B36CC3">
        <w:rPr>
          <w:b/>
          <w:i/>
          <w:sz w:val="24"/>
          <w:szCs w:val="24"/>
        </w:rPr>
        <w:t>Informacje ogólne</w:t>
      </w:r>
    </w:p>
    <w:p w:rsidR="004D2383" w:rsidRPr="00B36CC3" w:rsidRDefault="00B37BF5" w:rsidP="007604C6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W</w:t>
      </w:r>
      <w:r w:rsidR="004D2383" w:rsidRPr="00B36CC3">
        <w:rPr>
          <w:sz w:val="24"/>
          <w:szCs w:val="24"/>
        </w:rPr>
        <w:t xml:space="preserve">ykonano </w:t>
      </w:r>
      <w:r w:rsidRPr="00B36CC3">
        <w:rPr>
          <w:sz w:val="24"/>
          <w:szCs w:val="24"/>
        </w:rPr>
        <w:t>trzy</w:t>
      </w:r>
      <w:r w:rsidR="004D2383" w:rsidRPr="00B36CC3">
        <w:rPr>
          <w:sz w:val="24"/>
          <w:szCs w:val="24"/>
        </w:rPr>
        <w:t xml:space="preserve"> kontrole obszaru Natura 2000 Moczary.</w:t>
      </w:r>
    </w:p>
    <w:p w:rsidR="00982FAF" w:rsidRDefault="004D2383" w:rsidP="007604C6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Miały one miejsce w dniach 12 i  13 maja</w:t>
      </w:r>
      <w:r w:rsidR="00B37BF5" w:rsidRPr="00B36CC3">
        <w:rPr>
          <w:sz w:val="24"/>
          <w:szCs w:val="24"/>
        </w:rPr>
        <w:t xml:space="preserve">, </w:t>
      </w:r>
      <w:r w:rsidRPr="00B36CC3">
        <w:rPr>
          <w:sz w:val="24"/>
          <w:szCs w:val="24"/>
        </w:rPr>
        <w:t>13 i 14 czerwca 2015r</w:t>
      </w:r>
      <w:r w:rsidR="00B37BF5" w:rsidRPr="00B36CC3">
        <w:rPr>
          <w:sz w:val="24"/>
          <w:szCs w:val="24"/>
        </w:rPr>
        <w:t xml:space="preserve"> oraz 17 i 18 lipca</w:t>
      </w:r>
      <w:r w:rsidRPr="00B36CC3">
        <w:rPr>
          <w:sz w:val="24"/>
          <w:szCs w:val="24"/>
        </w:rPr>
        <w:t xml:space="preserve">. Podczas pierwszej kontroli penetrowano obszar pod kątem wykrycia zbiorników wodnych mogących pełnić funkcję zbiorników rozrodczych dla płazów. </w:t>
      </w:r>
      <w:r w:rsidR="00C802B1" w:rsidRPr="00B36CC3">
        <w:rPr>
          <w:sz w:val="24"/>
          <w:szCs w:val="24"/>
        </w:rPr>
        <w:t xml:space="preserve">Poszukiwań prowadzono w miejscach gdzie może gromadzić się woda, a więc wzdłuż dróg gruntowych i cieków. </w:t>
      </w:r>
      <w:r w:rsidRPr="00B36CC3">
        <w:rPr>
          <w:sz w:val="24"/>
          <w:szCs w:val="24"/>
        </w:rPr>
        <w:t xml:space="preserve">Podczas pierwszej kontroli wyznaczono też przebieg transektów monitoringowych przeznaczonych do dalszych kontroli w obecnym sezonie oraz w przyszłości na potrzeby monitoringu wynikającego z PZO. </w:t>
      </w:r>
    </w:p>
    <w:p w:rsidR="008D2119" w:rsidRPr="008D2119" w:rsidRDefault="008D2119" w:rsidP="007604C6">
      <w:pPr>
        <w:spacing w:line="360" w:lineRule="auto"/>
        <w:rPr>
          <w:b/>
          <w:i/>
          <w:sz w:val="24"/>
          <w:szCs w:val="24"/>
        </w:rPr>
      </w:pPr>
      <w:r w:rsidRPr="008D2119">
        <w:rPr>
          <w:b/>
          <w:i/>
          <w:sz w:val="24"/>
          <w:szCs w:val="24"/>
        </w:rPr>
        <w:t>Szczegółowy opis metodyki</w:t>
      </w:r>
    </w:p>
    <w:p w:rsid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 xml:space="preserve">Prace terenowe prowadzono w okresie od początku maja do końca lipca 2015 r. Przeprowadzono trzy kontrole terenowe w połowie maja (12-13.05), połowie czerwca (13-14.06) oraz w połowie lipca (17-18.07). Obserwacje prowadzono wizualnie, a w miarę potrzeb (zbiorniki głębokie, silnie zarośnięte lub zamulone), uzupełniano o odłowy za pomocą siatki herpetologicznej. Odnotowywane były spostrzeżenia dotyczące gatunków płazów stanowiących przedmioty ochrony w obszarze (kumak górski, traszka karpacka) oraz innych gatunków płazów. W każdym zbiorniku badan była obecność osobników dorosłych, osobników młodocianych, kijanek i jaj. W przypadku kumaka górskiego notowane były również głosy godowe samców i jeśli było to możliwe liczba zauważonych/odłowionych pakietów jaj. Nie ustalano liczby jaj traszek, gdyż wymagałoby to stosowania metody inwazyjnej (odwijania liści, którymi samice je zawijają). </w:t>
      </w:r>
    </w:p>
    <w:p w:rsidR="001D52E8" w:rsidRPr="00B36CC3" w:rsidRDefault="001D52E8" w:rsidP="001D52E8">
      <w:pPr>
        <w:spacing w:line="360" w:lineRule="auto"/>
        <w:rPr>
          <w:b/>
          <w:i/>
          <w:sz w:val="24"/>
          <w:szCs w:val="24"/>
        </w:rPr>
      </w:pPr>
      <w:r w:rsidRPr="00B36CC3">
        <w:rPr>
          <w:b/>
          <w:i/>
          <w:sz w:val="24"/>
          <w:szCs w:val="24"/>
        </w:rPr>
        <w:t>Transekty i inne stanowiska</w:t>
      </w:r>
    </w:p>
    <w:p w:rsidR="002656B9" w:rsidRDefault="001D52E8" w:rsidP="001D52E8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Wytypowano 4 transekty o długości od 1 do 1,4km. Transekty biegną na przeważającej długości wzdłuż dróg gruntowych na których istnieje możliwość gromadzenia się wody i powstawania kałuż oraz wypełnionych wodą kolein. Przybliżony przebieg transektów przedstawia ryc. 1. Ponadto, skontrolowano górny odcinek biegu rzeki Królówka (ryc. 2). </w:t>
      </w:r>
    </w:p>
    <w:p w:rsidR="001D52E8" w:rsidRPr="00B36CC3" w:rsidRDefault="002656B9" w:rsidP="001D52E8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Zestaw punktów załamania transektów zawiera załącznik 1. </w:t>
      </w:r>
      <w:r w:rsidR="001D52E8" w:rsidRPr="00B36CC3">
        <w:rPr>
          <w:sz w:val="24"/>
          <w:szCs w:val="24"/>
        </w:rPr>
        <w:t>Jest to stanowisko specyficzne ponieważ na kontrolowanym odcinku stanowi ono kompleks stawów bobrowych stanowiących z punktu widzenia przydatności do rozrodu płazów jeden zbiornik o długości ok. 400m. Jeden ze stawów bobrowych uznano za odrębny zbiornik, gdyż jest od wspomnianego kompleksu oddalony o kilkaset metrów i oddzielony fragmentem rzeki o wyraźnym nurcie, co stanowi środowisko niedogodne do rozrodu większości krajowych płazów.</w:t>
      </w:r>
    </w:p>
    <w:p w:rsidR="001D52E8" w:rsidRDefault="001D52E8" w:rsidP="001D52E8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Stawy bobrowe wzdłuż Królówki są traktowane jako stanowisko poza </w:t>
      </w:r>
      <w:proofErr w:type="spellStart"/>
      <w:r w:rsidRPr="00B36CC3">
        <w:rPr>
          <w:sz w:val="24"/>
          <w:szCs w:val="24"/>
        </w:rPr>
        <w:t>transektami</w:t>
      </w:r>
      <w:proofErr w:type="spellEnd"/>
      <w:r w:rsidRPr="00B36CC3">
        <w:rPr>
          <w:sz w:val="24"/>
          <w:szCs w:val="24"/>
        </w:rPr>
        <w:t xml:space="preserve">, ponieważ trudno je ująć w kontekście założonej metodyki. Stanowisko to skontrolowano trzykrotnie i wykryto jedynie nieliczne larwy żab brunatnych (najpewniej żaby </w:t>
      </w:r>
      <w:proofErr w:type="spellStart"/>
      <w:r w:rsidRPr="00B36CC3">
        <w:rPr>
          <w:sz w:val="24"/>
          <w:szCs w:val="24"/>
        </w:rPr>
        <w:t>trawnej</w:t>
      </w:r>
      <w:proofErr w:type="spellEnd"/>
      <w:r w:rsidRPr="00B36CC3">
        <w:rPr>
          <w:sz w:val="24"/>
          <w:szCs w:val="24"/>
        </w:rPr>
        <w:t xml:space="preserve"> </w:t>
      </w:r>
      <w:r w:rsidRPr="00B36CC3">
        <w:rPr>
          <w:i/>
          <w:sz w:val="24"/>
          <w:szCs w:val="24"/>
        </w:rPr>
        <w:t xml:space="preserve">Rana </w:t>
      </w:r>
      <w:proofErr w:type="spellStart"/>
      <w:r w:rsidRPr="00B36CC3">
        <w:rPr>
          <w:i/>
          <w:sz w:val="24"/>
          <w:szCs w:val="24"/>
        </w:rPr>
        <w:t>temporaria</w:t>
      </w:r>
      <w:proofErr w:type="spellEnd"/>
      <w:r w:rsidRPr="00B36CC3">
        <w:rPr>
          <w:sz w:val="24"/>
          <w:szCs w:val="24"/>
        </w:rPr>
        <w:t>) oraz nielicznie odzywające się kumaki. Warto zauważyć, że wykazywana niska liczba gatunków w tego typu zbiornikach może wynikać w dużej mierze z problemów z ich wykrywaniem. Płazy są stosunkowo trudne do wykrycia w większych zbiornikach.</w:t>
      </w:r>
    </w:p>
    <w:p w:rsidR="002656B9" w:rsidRPr="00865245" w:rsidRDefault="002656B9" w:rsidP="002656B9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b/>
          <w:i/>
          <w:lang w:eastAsia="en-US"/>
        </w:rPr>
      </w:pPr>
      <w:r w:rsidRPr="00865245">
        <w:rPr>
          <w:rFonts w:asciiTheme="minorHAnsi" w:eastAsiaTheme="minorHAnsi" w:hAnsiTheme="minorHAnsi" w:cstheme="minorBidi"/>
          <w:b/>
          <w:i/>
          <w:lang w:eastAsia="en-US"/>
        </w:rPr>
        <w:t>Przyjęte kategorie oceny stanu ochrony oraz</w:t>
      </w:r>
      <w:r>
        <w:rPr>
          <w:rFonts w:asciiTheme="minorHAnsi" w:eastAsiaTheme="minorHAnsi" w:hAnsiTheme="minorHAnsi" w:cstheme="minorBidi"/>
          <w:b/>
          <w:i/>
          <w:lang w:eastAsia="en-US"/>
        </w:rPr>
        <w:t xml:space="preserve"> wyniki dla przedmiotów ochrony</w:t>
      </w:r>
    </w:p>
    <w:p w:rsidR="008D2119" w:rsidRP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 xml:space="preserve">Przy ocenach stanu zachowania gatunków płazów na stanowiskach monitoringowych </w:t>
      </w:r>
      <w:r w:rsidR="001D52E8">
        <w:rPr>
          <w:rFonts w:asciiTheme="minorHAnsi" w:eastAsiaTheme="minorHAnsi" w:hAnsiTheme="minorHAnsi" w:cstheme="minorBidi"/>
          <w:lang w:eastAsia="en-US"/>
        </w:rPr>
        <w:t>zastosowano metodyki przedstawione</w:t>
      </w:r>
      <w:r w:rsidRPr="008D2119">
        <w:rPr>
          <w:rFonts w:asciiTheme="minorHAnsi" w:eastAsiaTheme="minorHAnsi" w:hAnsiTheme="minorHAnsi" w:cstheme="minorBidi"/>
          <w:lang w:eastAsia="en-US"/>
        </w:rPr>
        <w:t xml:space="preserve"> w podręcznikach GIOŚ dla płazów górskich (wymienionych w części końcowej), z modyfikacjami wynikającymi ze specyfiki obiektu, przede wszystkim jego niewielkiej powierzchni</w:t>
      </w:r>
      <w:r w:rsidR="001D52E8">
        <w:rPr>
          <w:rFonts w:asciiTheme="minorHAnsi" w:eastAsiaTheme="minorHAnsi" w:hAnsiTheme="minorHAnsi" w:cstheme="minorBidi"/>
          <w:lang w:eastAsia="en-US"/>
        </w:rPr>
        <w:t xml:space="preserve"> oraz konieczności ustalenia ocen stanu ochrony na potrzeby niniejszego pracowania</w:t>
      </w:r>
      <w:r w:rsidRPr="008D2119">
        <w:rPr>
          <w:rFonts w:asciiTheme="minorHAnsi" w:eastAsiaTheme="minorHAnsi" w:hAnsiTheme="minorHAnsi" w:cstheme="minorBidi"/>
          <w:lang w:eastAsia="en-US"/>
        </w:rPr>
        <w:t xml:space="preserve">. Zamiast stosowanej tam siatki kwadratów zakłada się wyznaczenie transektów w miejscach istotnych dla zachowania gatunku w nie pogorszonym stanie, w liczbie nie mniejszej niż dwa. Każdy z transektów o długości </w:t>
      </w:r>
      <w:smartTag w:uri="urn:schemas-microsoft-com:office:smarttags" w:element="metricconverter">
        <w:smartTagPr>
          <w:attr w:name="ProductID" w:val="1 km"/>
        </w:smartTagPr>
        <w:r w:rsidRPr="008D2119">
          <w:rPr>
            <w:rFonts w:asciiTheme="minorHAnsi" w:eastAsiaTheme="minorHAnsi" w:hAnsiTheme="minorHAnsi" w:cstheme="minorBidi"/>
            <w:lang w:eastAsia="en-US"/>
          </w:rPr>
          <w:t>1 km</w:t>
        </w:r>
      </w:smartTag>
      <w:r w:rsidRPr="008D2119">
        <w:rPr>
          <w:rFonts w:asciiTheme="minorHAnsi" w:eastAsiaTheme="minorHAnsi" w:hAnsiTheme="minorHAnsi" w:cstheme="minorBidi"/>
          <w:lang w:eastAsia="en-US"/>
        </w:rPr>
        <w:t xml:space="preserve">, mogących stanowić linię łamaną, będzie posiadał szerokość </w:t>
      </w:r>
      <w:smartTag w:uri="urn:schemas-microsoft-com:office:smarttags" w:element="metricconverter">
        <w:smartTagPr>
          <w:attr w:name="ProductID" w:val="60 m"/>
        </w:smartTagPr>
        <w:r w:rsidRPr="008D2119">
          <w:rPr>
            <w:rFonts w:asciiTheme="minorHAnsi" w:eastAsiaTheme="minorHAnsi" w:hAnsiTheme="minorHAnsi" w:cstheme="minorBidi"/>
            <w:lang w:eastAsia="en-US"/>
          </w:rPr>
          <w:t>60 m</w:t>
        </w:r>
      </w:smartTag>
      <w:r w:rsidRPr="008D2119">
        <w:rPr>
          <w:rFonts w:asciiTheme="minorHAnsi" w:eastAsiaTheme="minorHAnsi" w:hAnsiTheme="minorHAnsi" w:cstheme="minorBidi"/>
          <w:lang w:eastAsia="en-US"/>
        </w:rPr>
        <w:t xml:space="preserve">, po </w:t>
      </w:r>
      <w:smartTag w:uri="urn:schemas-microsoft-com:office:smarttags" w:element="metricconverter">
        <w:smartTagPr>
          <w:attr w:name="ProductID" w:val="30 m"/>
        </w:smartTagPr>
        <w:r w:rsidRPr="008D2119">
          <w:rPr>
            <w:rFonts w:asciiTheme="minorHAnsi" w:eastAsiaTheme="minorHAnsi" w:hAnsiTheme="minorHAnsi" w:cstheme="minorBidi"/>
            <w:lang w:eastAsia="en-US"/>
          </w:rPr>
          <w:t>30 m</w:t>
        </w:r>
      </w:smartTag>
      <w:r w:rsidRPr="008D2119">
        <w:rPr>
          <w:rFonts w:asciiTheme="minorHAnsi" w:eastAsiaTheme="minorHAnsi" w:hAnsiTheme="minorHAnsi" w:cstheme="minorBidi"/>
          <w:lang w:eastAsia="en-US"/>
        </w:rPr>
        <w:t xml:space="preserve"> z obu stron osi. Zostaną one zlokalizowane poprzez podanie współrzędnych punktów początkowego i końcowego oraz punktów załamań. Wybór transektów nastąpi po przeprowadzeniu pierwszej kontroli w Obszarze i przeanalizowaniu jej wyników. Założone zostaną one podczas drugiej kontroli terenowej i wówczas będą przeprowadzone pierwsze obserwacje monitoringowe. Powtórne obserwacje na powierzchniach monitoringowych dokonane zostaną podczas trzeciej kontroli terenowej. W ocenie ogólnej uwzględnione zostaną wyniki obserwacji zebrane podczas pierwszej kontroli zbiorników, które znalazły się w obrębie transektów. Podczas prac monitoringowych w trakcie drugiej i trzeciej kontroli, będą notowane również spostrzeżenia dotyczące pozostałych gatunków płazów z załącznika II DS.</w:t>
      </w:r>
    </w:p>
    <w:p w:rsidR="008D2119" w:rsidRP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lastRenderedPageBreak/>
        <w:t xml:space="preserve">Ponieważ podręczniki GIOŚ nie zawierają kryteriów oceny stanu populacji i stanu zachowania siedlisk gatunków płazów, poza określonym w części ogólnej zakresem, notowane były spostrzeżenia dotyczące obecności lub braku gatunku stanowiącego przedmiot ochrony oraz czy odbywają one rozród w danym zbiorniku. </w:t>
      </w:r>
    </w:p>
    <w:p w:rsidR="008D2119" w:rsidRP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>Traszka karpacka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Oceny stanu populacji i siedliska dokonuje się w skali całego obszaru. Jest to uzasadnione dla stosunkowo niewielkiej powierzchni Ostoi Moczary. Ocena poszczególnych zbiorników</w:t>
      </w:r>
      <w:r w:rsidR="00970C3A">
        <w:rPr>
          <w:sz w:val="24"/>
          <w:szCs w:val="24"/>
        </w:rPr>
        <w:t xml:space="preserve"> </w:t>
      </w:r>
      <w:r w:rsidRPr="008D2119">
        <w:rPr>
          <w:sz w:val="24"/>
          <w:szCs w:val="24"/>
        </w:rPr>
        <w:t>mija się z celem, ponieważ ważną cechą niewielkich zbiorników, w których traszka karpacka odbywa rozród jest efemeryczność i podatność na różne procesy od wysychania poprzez umyślne osuszanie po rozjeżdżanie skutkujące ubytkiem wody w zbiorniku. Metodyka monitoringu gatunku opracowana na zlecenie GIOŚ nie przewiduje oceny na poziomie zbiornika, zarówno dla populacji jak i siedliska. Ocena dokonywana jest dla konkretnego obszaru nawet stosunkowo dużego (np. Ostoja Magurska). Dla oceny stanu siedliska przewiduje się następujące wskaźniki i ich oceny: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Średnia odległość między wszystkimi wyrytymi zbiornikami wodnymi: FV &lt;100m, U1: 100-500m, FV:&gt;500m.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Charakter krajobrazu: obszar mozaikowy (zawiera lasy, polany i łąki, młaki i cieki): FV, obszar homogeniczny: więcej niż 90% powierzchni obszaru pokrywa las lub tereny otwarte, brak upraw: U1, obszar homogenny : więcej niż 90% obszaru to tereny otwarte przy czym dominuję pola uprawne i obecna jest sieć dróg asfaltowych: U2. O ocenie ogólnej parametru siedlisko decyduje najniższa z ocen wskaźników.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Oceny populacji dokonuje się na podstawie dwóch wskaźników: % zbiorników z wykrytą obecnością: &gt;25%: FV, &lt;25% U1, brak stwierdzenia gatunku w obszarze: U2,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% zbiorników z rozrodem (wśród zbiorników gdzie gatunek jest obecny):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&gt;25?%FV, &lt;25%U1, brak stwierdzenia rozrodu w obszarze : U2</w:t>
      </w:r>
    </w:p>
    <w:p w:rsid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 xml:space="preserve">Ogólna ocena stanu ochrony wynika z najniższej oceny któregokolwiek z parametrów. W tym przypadku, ocena ogólna wynosi U1 ze względu na stosunkowo niską oceną parametru „populacja” . Należy jednak zwrócić uwagę na dwa fakty. Po pierwsze, metodyka GIOŚ przewiduje ocenę parametrów dopiero w następnym cyklu monitoringu (na podstawie zmian </w:t>
      </w:r>
      <w:r w:rsidRPr="008D2119">
        <w:rPr>
          <w:rFonts w:asciiTheme="minorHAnsi" w:eastAsiaTheme="minorHAnsi" w:hAnsiTheme="minorHAnsi" w:cstheme="minorBidi"/>
          <w:lang w:eastAsia="en-US"/>
        </w:rPr>
        <w:lastRenderedPageBreak/>
        <w:t>w liczbie zbiorników  i zbiorników zasiedlonych itp.). Po drugie, rok 2015 był rokiem suchym i w dwóch ostatnich kontrolach nie wykryto znacznej części inwentaryzowanych w pierwszym terminie zbiorników, co znacznie zaniża stwierdzenie obecności rozrodu. Należy brać pod uwagę, że w roku o większych sumach opadów rozród jest częstszy. Stąd, obecna ocena ogólna (U1) może być zaniżona.</w:t>
      </w:r>
    </w:p>
    <w:p w:rsid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Poniżej przedstawiono oceny dla poszczególnych parametrów i wskaźników:</w:t>
      </w:r>
    </w:p>
    <w:p w:rsid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Populacja (U1):</w:t>
      </w:r>
    </w:p>
    <w:p w:rsidR="00816F03" w:rsidRP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% zbiorników z wykrytą obecnością: FV</w:t>
      </w:r>
    </w:p>
    <w:p w:rsidR="00816F03" w:rsidRP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% zbiorników z rozrodem: U1</w:t>
      </w:r>
    </w:p>
    <w:p w:rsidR="00816F03" w:rsidRP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Siedlisko (FV):</w:t>
      </w:r>
    </w:p>
    <w:p w:rsidR="00816F03" w:rsidRP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Charakter krajobrazu: FV</w:t>
      </w:r>
    </w:p>
    <w:p w:rsidR="00816F03" w:rsidRP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Średnia odległość między wszystkimi wykrytymi zbiornikami wodnymi: FV</w:t>
      </w:r>
    </w:p>
    <w:p w:rsidR="00816F03" w:rsidRDefault="00816F03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16F03">
        <w:rPr>
          <w:rFonts w:asciiTheme="minorHAnsi" w:eastAsiaTheme="minorHAnsi" w:hAnsiTheme="minorHAnsi" w:cstheme="minorBidi"/>
          <w:lang w:eastAsia="en-US"/>
        </w:rPr>
        <w:t>Perspektywy ochrony – parametr oceniono na FV, ze względu na dobrą jakość siedliska oraz brak zagrożeń mogących w niedługiej przyszłości w spos</w:t>
      </w:r>
      <w:r>
        <w:rPr>
          <w:rFonts w:asciiTheme="minorHAnsi" w:eastAsiaTheme="minorHAnsi" w:hAnsiTheme="minorHAnsi" w:cstheme="minorBidi"/>
          <w:lang w:eastAsia="en-US"/>
        </w:rPr>
        <w:t xml:space="preserve">ób znaczący wpłynąć na populację obszaru. </w:t>
      </w:r>
      <w:r w:rsidRPr="00816F03">
        <w:rPr>
          <w:rFonts w:asciiTheme="minorHAnsi" w:eastAsiaTheme="minorHAnsi" w:hAnsiTheme="minorHAnsi" w:cstheme="minorBidi"/>
          <w:lang w:eastAsia="en-US"/>
        </w:rPr>
        <w:t xml:space="preserve"> </w:t>
      </w:r>
    </w:p>
    <w:p w:rsidR="008D2119" w:rsidRP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>Kumak górski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Oceny stanu populacji i siedliska dokonuje się w skali całego obszaru. Jest to uzasadnione dla stosunkowo niewielkiej powierzchni Ostoi Moczary. Ocena poszczególnych zbiorników</w:t>
      </w:r>
      <w:r w:rsidR="00E90CA5" w:rsidRPr="008D2119">
        <w:rPr>
          <w:sz w:val="24"/>
          <w:szCs w:val="24"/>
        </w:rPr>
        <w:fldChar w:fldCharType="begin"/>
      </w:r>
      <w:r w:rsidRPr="008D2119">
        <w:rPr>
          <w:sz w:val="24"/>
          <w:szCs w:val="24"/>
        </w:rPr>
        <w:instrText xml:space="preserve"> LISTNUM </w:instrText>
      </w:r>
      <w:r w:rsidR="00E90CA5" w:rsidRPr="008D2119">
        <w:rPr>
          <w:sz w:val="24"/>
          <w:szCs w:val="24"/>
        </w:rPr>
        <w:fldChar w:fldCharType="end"/>
      </w:r>
      <w:r w:rsidRPr="008D2119">
        <w:rPr>
          <w:sz w:val="24"/>
          <w:szCs w:val="24"/>
        </w:rPr>
        <w:t xml:space="preserve"> mija się z celem, ponieważ ważną cechą niewielkich zbiorników, w których kumak odbywa rozród jest efemeryczność i podatność na różne procesy od wysychania poprzez umyślne osuszanie po rozjeżdżanie skutkujące ubytkiem wody w zbiorniku. Metodyka monitoringu gatunku opracowana na zlecenie GIOŚ nie przewiduje oceny na poziomie zbiornika, zarówno dla populacji jak i siedliska. Ocena dokonywana jest dla konkretnego obszaru nawet stosunkowo dużego (np. Ostoja Magurska). Dla oceny stanu siedliska przewiduje się następujące wskaźniki i ich oceny: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Średnia odległość między wszystkimi wyrytymi zbiornikami wodnymi: FV &lt;100m, U1: 100-500m, FV:&gt;500m.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 xml:space="preserve">Charakter krajobrazu: obszar mozaikowy (zawiera lasy, polany i łąki, młaki i cieki): FV, obszar homogeniczny: więcej niż 90% powierzchni obszaru pokrywa las lub tereny otwarte, brak upraw: U1, obszar homogenny : więcej niż 90% obszaru to tereny otwarte przy czym </w:t>
      </w:r>
      <w:r w:rsidRPr="008D2119">
        <w:rPr>
          <w:sz w:val="24"/>
          <w:szCs w:val="24"/>
        </w:rPr>
        <w:lastRenderedPageBreak/>
        <w:t>dominuję pola uprawne i obecna jest sieć dróg asfaltowych: U2. O ocenie ogólnej parametru siedlisko decyduje najniższa z ocen wskaźników.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Oceny populacji dokonuje się na podstawie dwóch wskaźników: % zbiorników z wykrytą obecnością: &gt;25%: FV, &lt;25% U1, brak stwierdzenia gatunku w obszarze: U2,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% zbiorników z rozrodem (wśród zbiorników gdzie gatunek jest obecny):</w:t>
      </w:r>
    </w:p>
    <w:p w:rsidR="008D2119" w:rsidRPr="008D2119" w:rsidRDefault="008D2119" w:rsidP="007604C6">
      <w:pPr>
        <w:snapToGrid w:val="0"/>
        <w:spacing w:line="360" w:lineRule="auto"/>
        <w:rPr>
          <w:sz w:val="24"/>
          <w:szCs w:val="24"/>
        </w:rPr>
      </w:pPr>
      <w:r w:rsidRPr="008D2119">
        <w:rPr>
          <w:sz w:val="24"/>
          <w:szCs w:val="24"/>
        </w:rPr>
        <w:t>&gt;25?%FV, &lt;25%U1, brak stwierdzenia rozrodu w obszarze : U2</w:t>
      </w:r>
    </w:p>
    <w:p w:rsidR="008D2119" w:rsidRDefault="008D2119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 w:rsidRPr="008D2119">
        <w:rPr>
          <w:rFonts w:asciiTheme="minorHAnsi" w:eastAsiaTheme="minorHAnsi" w:hAnsiTheme="minorHAnsi" w:cstheme="minorBidi"/>
          <w:lang w:eastAsia="en-US"/>
        </w:rPr>
        <w:t xml:space="preserve">Ogólna ocena stanu ochrony wynika z najniższej oceny któregokolwiek z parametrów. W tym przypadku, ocena ogólna wynosi </w:t>
      </w:r>
      <w:r w:rsidR="000165F7">
        <w:rPr>
          <w:rFonts w:asciiTheme="minorHAnsi" w:eastAsiaTheme="minorHAnsi" w:hAnsiTheme="minorHAnsi" w:cstheme="minorBidi"/>
          <w:lang w:eastAsia="en-US"/>
        </w:rPr>
        <w:t>FV i dobrze odzwierciedla pospolite występowanie gatunku w obszarze.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Przyznano następujące oceny parametrów i określających je wskaźników: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Populacja (FV):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sz w:val="18"/>
          <w:szCs w:val="18"/>
        </w:rPr>
      </w:pPr>
      <w:r>
        <w:rPr>
          <w:sz w:val="18"/>
          <w:szCs w:val="18"/>
        </w:rPr>
        <w:t>% zbiorników z wykrytą obecnością: FV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sz w:val="18"/>
          <w:szCs w:val="18"/>
        </w:rPr>
      </w:pPr>
      <w:r>
        <w:rPr>
          <w:sz w:val="18"/>
          <w:szCs w:val="18"/>
        </w:rPr>
        <w:t>% zbiorników z rozrodem: FV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sz w:val="18"/>
          <w:szCs w:val="18"/>
        </w:rPr>
      </w:pPr>
      <w:r>
        <w:rPr>
          <w:sz w:val="18"/>
          <w:szCs w:val="18"/>
        </w:rPr>
        <w:t>Siedlisko (FV):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sz w:val="18"/>
          <w:szCs w:val="18"/>
        </w:rPr>
      </w:pPr>
      <w:r>
        <w:rPr>
          <w:sz w:val="18"/>
          <w:szCs w:val="18"/>
        </w:rPr>
        <w:t>Charakter krajobrazu: FV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sz w:val="18"/>
          <w:szCs w:val="18"/>
        </w:rPr>
        <w:t>Średnia odległość między wszystkimi wykrytymi zbiornikami wodnymi: FV</w:t>
      </w:r>
    </w:p>
    <w:p w:rsidR="008F206A" w:rsidRDefault="008F206A" w:rsidP="007604C6">
      <w:pPr>
        <w:pStyle w:val="xl22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Perspektywy ochrony (FV) – o dobrych perspektywach zdecydował brak zagrożeń mogących w znaczący i negatywny sposób wpłynąć na populacje w ciągu dającej się przewidzieć przyszłości. Dobrą ocenę perspektyw potwierdza częste występowanie gatunku w obszarze.</w:t>
      </w:r>
    </w:p>
    <w:p w:rsidR="00982FAF" w:rsidRPr="00B36CC3" w:rsidRDefault="00982FAF" w:rsidP="007A246F">
      <w:pPr>
        <w:spacing w:line="360" w:lineRule="auto"/>
        <w:rPr>
          <w:b/>
          <w:i/>
          <w:sz w:val="24"/>
          <w:szCs w:val="24"/>
        </w:rPr>
      </w:pPr>
      <w:r w:rsidRPr="00B36CC3">
        <w:rPr>
          <w:b/>
          <w:i/>
          <w:sz w:val="24"/>
          <w:szCs w:val="24"/>
        </w:rPr>
        <w:t>Wykryte gatunki płazów</w:t>
      </w:r>
    </w:p>
    <w:p w:rsidR="004D2383" w:rsidRPr="00B36CC3" w:rsidRDefault="008D172B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Podczas kontroli wzdłuż dróg gruntowych płazy wykrywano przede wszystkim w kałużach i koleinach na drogach oraz w rowach w ich bezpośrednim otoczeniu</w:t>
      </w:r>
      <w:r w:rsidR="003F39CE" w:rsidRPr="00B36CC3">
        <w:rPr>
          <w:sz w:val="24"/>
          <w:szCs w:val="24"/>
        </w:rPr>
        <w:t xml:space="preserve"> (ryc. 3 i 4)</w:t>
      </w:r>
      <w:r w:rsidRPr="00B36CC3">
        <w:rPr>
          <w:sz w:val="24"/>
          <w:szCs w:val="24"/>
        </w:rPr>
        <w:t xml:space="preserve">. </w:t>
      </w:r>
    </w:p>
    <w:p w:rsidR="008D172B" w:rsidRPr="00B36CC3" w:rsidRDefault="008D172B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W tych siedliskach wykryto niemal wszystkie gatunki płazów stwierdzone w obszarze z wyjątkiem salamandra plamistej </w:t>
      </w:r>
      <w:r w:rsidRPr="00B36CC3">
        <w:rPr>
          <w:i/>
          <w:sz w:val="24"/>
          <w:szCs w:val="24"/>
        </w:rPr>
        <w:t xml:space="preserve">Salamandra </w:t>
      </w:r>
      <w:proofErr w:type="spellStart"/>
      <w:r w:rsidRPr="00B36CC3">
        <w:rPr>
          <w:i/>
          <w:sz w:val="24"/>
          <w:szCs w:val="24"/>
        </w:rPr>
        <w:t>salamandra</w:t>
      </w:r>
      <w:proofErr w:type="spellEnd"/>
      <w:r w:rsidRPr="00B36CC3">
        <w:rPr>
          <w:sz w:val="24"/>
          <w:szCs w:val="24"/>
        </w:rPr>
        <w:t>.</w:t>
      </w:r>
    </w:p>
    <w:p w:rsidR="00C802B1" w:rsidRPr="00B36CC3" w:rsidRDefault="00C802B1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Podczas kontroli wykryto następujące gatunki płazów (w nawiasach podano liczbę stanowisk</w:t>
      </w:r>
      <w:r w:rsidR="00E67AB0" w:rsidRPr="00B36CC3">
        <w:rPr>
          <w:sz w:val="24"/>
          <w:szCs w:val="24"/>
        </w:rPr>
        <w:t xml:space="preserve"> rozrodczych</w:t>
      </w:r>
      <w:r w:rsidR="00B37BF5" w:rsidRPr="00B36CC3">
        <w:rPr>
          <w:sz w:val="24"/>
          <w:szCs w:val="24"/>
        </w:rPr>
        <w:t>, a nawiasach kwadratowych dla przedmiotów ochrony liczbę zbiorników gdzie stwierdzano choćby obecność gatunku</w:t>
      </w:r>
      <w:r w:rsidRPr="00B36CC3">
        <w:rPr>
          <w:sz w:val="24"/>
          <w:szCs w:val="24"/>
        </w:rPr>
        <w:t xml:space="preserve">): </w:t>
      </w:r>
    </w:p>
    <w:p w:rsidR="00C802B1" w:rsidRPr="00B36CC3" w:rsidRDefault="00C802B1" w:rsidP="007A246F">
      <w:pPr>
        <w:spacing w:line="360" w:lineRule="auto"/>
        <w:rPr>
          <w:b/>
          <w:sz w:val="24"/>
          <w:szCs w:val="24"/>
        </w:rPr>
      </w:pPr>
      <w:r w:rsidRPr="00B36CC3">
        <w:rPr>
          <w:b/>
          <w:sz w:val="24"/>
          <w:szCs w:val="24"/>
        </w:rPr>
        <w:t xml:space="preserve">traszka karpacka </w:t>
      </w:r>
      <w:proofErr w:type="spellStart"/>
      <w:r w:rsidRPr="00B36CC3">
        <w:rPr>
          <w:b/>
          <w:i/>
          <w:sz w:val="24"/>
          <w:szCs w:val="24"/>
        </w:rPr>
        <w:t>Lissotriton</w:t>
      </w:r>
      <w:proofErr w:type="spellEnd"/>
      <w:r w:rsidRPr="00B36CC3">
        <w:rPr>
          <w:b/>
          <w:i/>
          <w:sz w:val="24"/>
          <w:szCs w:val="24"/>
        </w:rPr>
        <w:t xml:space="preserve"> </w:t>
      </w:r>
      <w:proofErr w:type="spellStart"/>
      <w:r w:rsidRPr="00B36CC3">
        <w:rPr>
          <w:b/>
          <w:i/>
          <w:sz w:val="24"/>
          <w:szCs w:val="24"/>
        </w:rPr>
        <w:t>montandoni</w:t>
      </w:r>
      <w:proofErr w:type="spellEnd"/>
      <w:r w:rsidR="00510234" w:rsidRPr="00B36CC3">
        <w:rPr>
          <w:b/>
          <w:i/>
          <w:sz w:val="24"/>
          <w:szCs w:val="24"/>
        </w:rPr>
        <w:t xml:space="preserve"> </w:t>
      </w:r>
      <w:r w:rsidR="00510234" w:rsidRPr="00B36CC3">
        <w:rPr>
          <w:b/>
          <w:sz w:val="24"/>
          <w:szCs w:val="24"/>
        </w:rPr>
        <w:t>(</w:t>
      </w:r>
      <w:r w:rsidR="00B37BF5" w:rsidRPr="00B36CC3">
        <w:rPr>
          <w:b/>
          <w:sz w:val="24"/>
          <w:szCs w:val="24"/>
        </w:rPr>
        <w:t>3[</w:t>
      </w:r>
      <w:r w:rsidR="00510234" w:rsidRPr="00B36CC3">
        <w:rPr>
          <w:b/>
          <w:sz w:val="24"/>
          <w:szCs w:val="24"/>
        </w:rPr>
        <w:t>1</w:t>
      </w:r>
      <w:r w:rsidR="00B37BF5" w:rsidRPr="00B36CC3">
        <w:rPr>
          <w:b/>
          <w:sz w:val="24"/>
          <w:szCs w:val="24"/>
        </w:rPr>
        <w:t>3]</w:t>
      </w:r>
      <w:r w:rsidR="00510234" w:rsidRPr="00B36CC3">
        <w:rPr>
          <w:b/>
          <w:sz w:val="24"/>
          <w:szCs w:val="24"/>
        </w:rPr>
        <w:t>)</w:t>
      </w:r>
    </w:p>
    <w:p w:rsidR="00C802B1" w:rsidRPr="00B36CC3" w:rsidRDefault="00C802B1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traszka górska </w:t>
      </w:r>
      <w:proofErr w:type="spellStart"/>
      <w:r w:rsidRPr="00B36CC3">
        <w:rPr>
          <w:i/>
          <w:sz w:val="24"/>
          <w:szCs w:val="24"/>
        </w:rPr>
        <w:t>Mesotriton</w:t>
      </w:r>
      <w:proofErr w:type="spellEnd"/>
      <w:r w:rsidRPr="00B36CC3">
        <w:rPr>
          <w:i/>
          <w:sz w:val="24"/>
          <w:szCs w:val="24"/>
        </w:rPr>
        <w:t xml:space="preserve"> </w:t>
      </w:r>
      <w:proofErr w:type="spellStart"/>
      <w:r w:rsidRPr="00B36CC3">
        <w:rPr>
          <w:i/>
          <w:sz w:val="24"/>
          <w:szCs w:val="24"/>
        </w:rPr>
        <w:t>alpestris</w:t>
      </w:r>
      <w:proofErr w:type="spellEnd"/>
      <w:r w:rsidR="00510234" w:rsidRPr="00B36CC3">
        <w:rPr>
          <w:i/>
          <w:sz w:val="24"/>
          <w:szCs w:val="24"/>
        </w:rPr>
        <w:t xml:space="preserve"> </w:t>
      </w:r>
      <w:r w:rsidR="00510234" w:rsidRPr="00B36CC3">
        <w:rPr>
          <w:sz w:val="24"/>
          <w:szCs w:val="24"/>
        </w:rPr>
        <w:t>(5)</w:t>
      </w:r>
    </w:p>
    <w:p w:rsidR="00C802B1" w:rsidRPr="00B36CC3" w:rsidRDefault="00C802B1" w:rsidP="007A246F">
      <w:pPr>
        <w:spacing w:line="360" w:lineRule="auto"/>
        <w:rPr>
          <w:b/>
          <w:sz w:val="24"/>
          <w:szCs w:val="24"/>
        </w:rPr>
      </w:pPr>
      <w:r w:rsidRPr="00B36CC3">
        <w:rPr>
          <w:b/>
          <w:sz w:val="24"/>
          <w:szCs w:val="24"/>
        </w:rPr>
        <w:lastRenderedPageBreak/>
        <w:t xml:space="preserve">kumak górski </w:t>
      </w:r>
      <w:proofErr w:type="spellStart"/>
      <w:r w:rsidRPr="00B36CC3">
        <w:rPr>
          <w:b/>
          <w:i/>
          <w:sz w:val="24"/>
          <w:szCs w:val="24"/>
        </w:rPr>
        <w:t>Bombina</w:t>
      </w:r>
      <w:proofErr w:type="spellEnd"/>
      <w:r w:rsidRPr="00B36CC3">
        <w:rPr>
          <w:b/>
          <w:i/>
          <w:sz w:val="24"/>
          <w:szCs w:val="24"/>
        </w:rPr>
        <w:t xml:space="preserve"> </w:t>
      </w:r>
      <w:proofErr w:type="spellStart"/>
      <w:r w:rsidRPr="00B36CC3">
        <w:rPr>
          <w:b/>
          <w:i/>
          <w:sz w:val="24"/>
          <w:szCs w:val="24"/>
        </w:rPr>
        <w:t>variegata</w:t>
      </w:r>
      <w:proofErr w:type="spellEnd"/>
      <w:r w:rsidR="00510234" w:rsidRPr="00B36CC3">
        <w:rPr>
          <w:b/>
          <w:i/>
          <w:sz w:val="24"/>
          <w:szCs w:val="24"/>
        </w:rPr>
        <w:t xml:space="preserve"> </w:t>
      </w:r>
      <w:r w:rsidR="00510234" w:rsidRPr="00B36CC3">
        <w:rPr>
          <w:b/>
          <w:sz w:val="24"/>
          <w:szCs w:val="24"/>
        </w:rPr>
        <w:t>(</w:t>
      </w:r>
      <w:r w:rsidR="00B37BF5" w:rsidRPr="00B36CC3">
        <w:rPr>
          <w:b/>
          <w:sz w:val="24"/>
          <w:szCs w:val="24"/>
        </w:rPr>
        <w:t>15[20]</w:t>
      </w:r>
      <w:r w:rsidR="00510234" w:rsidRPr="00B36CC3">
        <w:rPr>
          <w:b/>
          <w:sz w:val="24"/>
          <w:szCs w:val="24"/>
        </w:rPr>
        <w:t>)</w:t>
      </w:r>
    </w:p>
    <w:p w:rsidR="00C802B1" w:rsidRPr="00B36CC3" w:rsidRDefault="00C802B1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żaba </w:t>
      </w:r>
      <w:proofErr w:type="spellStart"/>
      <w:r w:rsidRPr="00B36CC3">
        <w:rPr>
          <w:sz w:val="24"/>
          <w:szCs w:val="24"/>
        </w:rPr>
        <w:t>trawna</w:t>
      </w:r>
      <w:proofErr w:type="spellEnd"/>
      <w:r w:rsidRPr="00B36CC3">
        <w:rPr>
          <w:sz w:val="24"/>
          <w:szCs w:val="24"/>
        </w:rPr>
        <w:t xml:space="preserve"> </w:t>
      </w:r>
      <w:r w:rsidRPr="00B36CC3">
        <w:rPr>
          <w:i/>
          <w:sz w:val="24"/>
          <w:szCs w:val="24"/>
        </w:rPr>
        <w:t xml:space="preserve">Rana </w:t>
      </w:r>
      <w:proofErr w:type="spellStart"/>
      <w:r w:rsidRPr="00B36CC3">
        <w:rPr>
          <w:i/>
          <w:sz w:val="24"/>
          <w:szCs w:val="24"/>
        </w:rPr>
        <w:t>temporaria</w:t>
      </w:r>
      <w:proofErr w:type="spellEnd"/>
      <w:r w:rsidR="00510234" w:rsidRPr="00B36CC3">
        <w:rPr>
          <w:i/>
          <w:sz w:val="24"/>
          <w:szCs w:val="24"/>
        </w:rPr>
        <w:t xml:space="preserve"> </w:t>
      </w:r>
      <w:r w:rsidR="00510234" w:rsidRPr="00B36CC3">
        <w:rPr>
          <w:sz w:val="24"/>
          <w:szCs w:val="24"/>
        </w:rPr>
        <w:t>(2)</w:t>
      </w:r>
    </w:p>
    <w:p w:rsidR="00C802B1" w:rsidRPr="00B36CC3" w:rsidRDefault="00C802B1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ropucha szara </w:t>
      </w:r>
      <w:r w:rsidRPr="00B36CC3">
        <w:rPr>
          <w:i/>
          <w:sz w:val="24"/>
          <w:szCs w:val="24"/>
        </w:rPr>
        <w:t xml:space="preserve">Bufo </w:t>
      </w:r>
      <w:proofErr w:type="spellStart"/>
      <w:r w:rsidRPr="00B36CC3">
        <w:rPr>
          <w:i/>
          <w:sz w:val="24"/>
          <w:szCs w:val="24"/>
        </w:rPr>
        <w:t>bufo</w:t>
      </w:r>
      <w:proofErr w:type="spellEnd"/>
      <w:r w:rsidR="00510234" w:rsidRPr="00B36CC3">
        <w:rPr>
          <w:i/>
          <w:sz w:val="24"/>
          <w:szCs w:val="24"/>
        </w:rPr>
        <w:t xml:space="preserve"> </w:t>
      </w:r>
      <w:r w:rsidR="00510234" w:rsidRPr="00B36CC3">
        <w:rPr>
          <w:sz w:val="24"/>
          <w:szCs w:val="24"/>
        </w:rPr>
        <w:t>(5)</w:t>
      </w:r>
    </w:p>
    <w:p w:rsidR="00C802B1" w:rsidRDefault="00C802B1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salamandra plamista </w:t>
      </w:r>
      <w:r w:rsidRPr="00B36CC3">
        <w:rPr>
          <w:i/>
          <w:sz w:val="24"/>
          <w:szCs w:val="24"/>
        </w:rPr>
        <w:t xml:space="preserve">Salamandra </w:t>
      </w:r>
      <w:proofErr w:type="spellStart"/>
      <w:r w:rsidRPr="00B36CC3">
        <w:rPr>
          <w:i/>
          <w:sz w:val="24"/>
          <w:szCs w:val="24"/>
        </w:rPr>
        <w:t>salamandra</w:t>
      </w:r>
      <w:proofErr w:type="spellEnd"/>
      <w:r w:rsidR="00510234" w:rsidRPr="00B36CC3">
        <w:rPr>
          <w:i/>
          <w:sz w:val="24"/>
          <w:szCs w:val="24"/>
        </w:rPr>
        <w:t xml:space="preserve"> </w:t>
      </w:r>
      <w:r w:rsidR="00510234" w:rsidRPr="00B36CC3">
        <w:rPr>
          <w:sz w:val="24"/>
          <w:szCs w:val="24"/>
        </w:rPr>
        <w:t>(1)</w:t>
      </w:r>
    </w:p>
    <w:p w:rsidR="00D749E4" w:rsidRDefault="00D749E4" w:rsidP="007A246F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rzekotka drzewna </w:t>
      </w:r>
      <w:r w:rsidRPr="00D749E4">
        <w:rPr>
          <w:i/>
          <w:sz w:val="24"/>
          <w:szCs w:val="24"/>
        </w:rPr>
        <w:t xml:space="preserve">Hyla </w:t>
      </w:r>
      <w:r>
        <w:rPr>
          <w:i/>
          <w:sz w:val="24"/>
          <w:szCs w:val="24"/>
        </w:rPr>
        <w:t>arbore</w:t>
      </w:r>
      <w:r w:rsidRPr="00D749E4">
        <w:rPr>
          <w:i/>
          <w:sz w:val="24"/>
          <w:szCs w:val="24"/>
        </w:rPr>
        <w:t>a</w:t>
      </w:r>
      <w:r>
        <w:rPr>
          <w:sz w:val="24"/>
          <w:szCs w:val="24"/>
        </w:rPr>
        <w:t xml:space="preserve"> (jeden osobnik odzywający się podczas lądowej fazy życia).</w:t>
      </w:r>
    </w:p>
    <w:p w:rsidR="00D749E4" w:rsidRPr="00B36CC3" w:rsidRDefault="00D749E4" w:rsidP="007A246F">
      <w:pPr>
        <w:spacing w:line="360" w:lineRule="auto"/>
        <w:rPr>
          <w:i/>
          <w:sz w:val="24"/>
          <w:szCs w:val="24"/>
        </w:rPr>
      </w:pPr>
      <w:r>
        <w:rPr>
          <w:sz w:val="24"/>
          <w:szCs w:val="24"/>
        </w:rPr>
        <w:t xml:space="preserve">Rzekotka licznie występuje na północ od miejscowości </w:t>
      </w:r>
      <w:proofErr w:type="spellStart"/>
      <w:r>
        <w:rPr>
          <w:sz w:val="24"/>
          <w:szCs w:val="24"/>
        </w:rPr>
        <w:t>Bandrów</w:t>
      </w:r>
      <w:proofErr w:type="spellEnd"/>
      <w:r>
        <w:rPr>
          <w:sz w:val="24"/>
          <w:szCs w:val="24"/>
        </w:rPr>
        <w:t xml:space="preserve"> poza obszarem Moczary.</w:t>
      </w:r>
    </w:p>
    <w:p w:rsidR="005D2045" w:rsidRPr="00B36CC3" w:rsidRDefault="005D2045" w:rsidP="007A246F">
      <w:pPr>
        <w:spacing w:line="360" w:lineRule="auto"/>
        <w:rPr>
          <w:b/>
          <w:i/>
          <w:sz w:val="24"/>
          <w:szCs w:val="24"/>
        </w:rPr>
      </w:pPr>
      <w:r w:rsidRPr="00B36CC3">
        <w:rPr>
          <w:b/>
          <w:i/>
          <w:sz w:val="24"/>
          <w:szCs w:val="24"/>
        </w:rPr>
        <w:t>Wykryte zagrożenia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Na obszarze Ostoi Moczary głównymi stwierdzonymi zagrożeniami przedmiotów ochrony (zarówno traszki karpackiej jak i kumaka górskiego) są rozjeżdżanie i wysychanie. Niekiedy obserwuje się drapieżnictwo. 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Jeżeli chodzi o zagrożenie „wysychanie” to jest to zagrożenie naturalne, któremu stosunkowo trudno zapobiegać. W roku 2015 miał on szczególne znaczenie, gdyż znaczna część wykrytych podczas pierwszej-majowej kontroli zbiorników nie istniała w kontrolach kolejnych co wpłynęło np. na oceny stanu populacji, a co za tym idzie ogólnego stanu ochrony traszki karpackiej. To zagrożenie w większym stopniu działa na traszkę karpacką, gdyż jej okres składania jaj jest znacznie krótszy niż w przypadku kumaka górskiego, który przystępuję do rozrodu gdy tylko ma odpowiedni dostęp do wody i na ogół krótszy cykl rozwojowy (w wyjątkowych przypadkach długość rozwoju od jaja do osobnika mogącego opuścić zbiornik wodny może wynieść ok. 4 tygodnie). Ten rodzaj zagrożenia nie obejmuje zbiorników wykonanych przez bobry. Pomimo, że wykrywa się w nich znacznie rzadziej kumaki i traszki to w okresach suszy właśnie one mogą stanowić jedyne miejsce potencjalnego rozrodu. 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Zagrożenie „rozjeżdżanie”  jest zagrożeniem dyskusyjnym. Należy zauważyć, że płazy karpackie odbywają rozród głównie w koleinach i kałużach na gruntowych drogach. Prawdopodobnie śmiertelność wynikająca z użytkowania dróg gruntowych jest znacznie mniejsza niż sukces rozrodczy w takich kałużach. W szczególności gdy drogi są używane okazjonalnie bądź tak jak drogi zrywkowe, są używane przez pewien okres, a potem pozostawiane. Głównym skutkiem rozjeżdżania dróg przez pojazdy mechaniczne jest </w:t>
      </w:r>
      <w:r w:rsidRPr="00B36CC3">
        <w:rPr>
          <w:sz w:val="24"/>
          <w:szCs w:val="24"/>
        </w:rPr>
        <w:lastRenderedPageBreak/>
        <w:t>niejednokrotnie zniszczenie struktury tych małych zbiorników i ubytek wody. Wydaje się, że w sposób negatywny to oddziaływanie może wpływać głównie na traszkę karpacką, w mniejszym zaś stopniu na kumaka górskiego. W miejscach gdzie ruch odbywa się często (transekt 1, 2 i 3) zaleca się aby ograniczać ruch w okresie od marca do lipca. Jeżeli jest to niemożliwe należy w miarę możliwości omijać już istniejące kałuże, tak aby nie spowodować odpływu wody.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Pewnym zagrożeniem związanym z użytkowaniem dróg jest spuszczanie wody z drogi poprzez wykopanie małego kanału lub wyrównane gruntu. Zjawisko to zaobserwowano w przypadku trzech kompleksów kałuż. W przypadku, gdy istniejące kałuże wykluczają możliwość bezpiecznego użytkowania drogi, należy niszcząc kałuże wykopać wzdłuż drogi w danym miejscu niewielkie bezodpływowe rowy o głębokości wody nie przekraczającej 50cm i  powierzchni co najmniej równej powierzchni niszczonych kałuż. Następnie z likwidowanej kałuży należy odłowić wszystkie dorosłe osobniki płazów oraz larwy i przenieść do nowo utworzonego zbiornika.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Ważnym zagrożeniem związanym ze zbiornikami na drogach jest możliwość ich utwardzenia (np. kruszywo, beton, asfalt itp.). Drogi w obszarze nie powinny być utwardzane w sposób likwidujący możliwość tworzenia się kałuż na drogach. </w:t>
      </w:r>
    </w:p>
    <w:p w:rsid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Ostatnim ze stwierdzonych zagrożeń jest drapieżnictwo. W pobliżu kałuż obserwowano ślady żerowania czapli siwej, obecność zaskrońców czy larwy ważek. Zagrożenia te są naturalne i nie wymagają </w:t>
      </w:r>
      <w:proofErr w:type="spellStart"/>
      <w:r w:rsidRPr="00B36CC3">
        <w:rPr>
          <w:sz w:val="24"/>
          <w:szCs w:val="24"/>
        </w:rPr>
        <w:t>przeciwdziałań</w:t>
      </w:r>
      <w:proofErr w:type="spellEnd"/>
      <w:r w:rsidRPr="00B36CC3">
        <w:rPr>
          <w:sz w:val="24"/>
          <w:szCs w:val="24"/>
        </w:rPr>
        <w:t>. Powyższe zagrożenia nie dotyczą dwóch zbiorników bobrowych. Podobnie jak w przypadku oceny stanu ochrony, przy analizie zagrożeń (tabela poniżej) za stanowisko uznano cały Obszar Ostoi.</w:t>
      </w:r>
    </w:p>
    <w:p w:rsidR="00B36CC3" w:rsidRDefault="00B36CC3" w:rsidP="007A246F">
      <w:pPr>
        <w:spacing w:line="360" w:lineRule="auto"/>
        <w:rPr>
          <w:b/>
          <w:i/>
          <w:sz w:val="24"/>
          <w:szCs w:val="24"/>
        </w:rPr>
      </w:pPr>
      <w:r w:rsidRPr="00B36CC3">
        <w:rPr>
          <w:b/>
          <w:i/>
          <w:sz w:val="24"/>
          <w:szCs w:val="24"/>
        </w:rPr>
        <w:t>Sugerowane działania ochronne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>Działania ochronne skupiają się głównie na zachowaniu obecnego stanu ochrony gatunków będących przedmiotami ochrony. W przypadku obydwu gatunków . W miejscach gdzie ruch odbywa się często (transekt 1, 2 i 3) zaleca się aby ograniczać ruch w okresie od marca do lipca. Jeżeli jest to niemożliwe należy w miarę możliwości omijać już istniejące kałuże, tak aby nie spowodować odpływu wody.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lastRenderedPageBreak/>
        <w:t>Pewnym zagrożeniem związanym z użytkowaniem dróg jest spuszczanie wody z drogi poprzez wykopanie małego kanału lub wyrównane gruntu. Zjawisko to zaobserwowano w przypadku trzech kompleksów kałuż. W przypadku, gdy istniejące kałuże wykluczają możliwość bezpiecznego użytkowania drogi, należy niszcząc kałuże wykopać wzdłuż drogi w danym miejscu niewielkie bezodpływowe rowy o głębokości wody nie przekraczającej 50cm i  powierzchni co najmniej równej powierzchni niszczonych kałuż. Następnie z likwidowanej kałuży należy odłowić wszystkie dorosłe osobniki płazów oraz larwy i przenieść do nowo utworzonego zbiornika. Administratorzy terenu powinni być przeszkoleni na temat unikania negatywnego wpływu ruchu pojazdów mechanicznych po drogach Ostoi. Ze względu na niski udział zbiorników, w których stwierdza się rozród traszki karpackiej zaleca się wykonanie minimum 5 względnie trwałych zbiorników wodnych. Powierzchnia zbiorników nie powinna przekraczać 50m</w:t>
      </w:r>
      <w:r w:rsidRPr="00B36CC3">
        <w:rPr>
          <w:sz w:val="24"/>
          <w:szCs w:val="24"/>
          <w:vertAlign w:val="superscript"/>
        </w:rPr>
        <w:t>2</w:t>
      </w:r>
      <w:r w:rsidRPr="00B36CC3">
        <w:rPr>
          <w:sz w:val="24"/>
          <w:szCs w:val="24"/>
        </w:rPr>
        <w:t xml:space="preserve">, a głębokość  nie powinna przekraczać 50cm. Zbiorniki powinny być wykonane tak, aby woda utrzymywała się w nich przy normalnych warunkach pogodowych od marca do sierpnia. Przy czym optymalnie jest jeżeli zbiornik wyschnie przynajmniej raz na dwa lata. Zbiornik powinien mieć łagodny brzeg. A większa jego część nie powinna być głębsza niż 30cm. Zbiorniki mogą powstać jednak tylko w przypadku gdy ich tworzenie nie wpłynie w istotny sposób na gatunki chronione występujące w obszarze gatunki chronione, w szczególności przedmioty ochrony. W przypadku zarówno ewentualnych zbiorników kompensacyjnych jak  i dodatkowych zbiorników budowanych pod kątem traszki karpackiej zaleca się monitoring skuteczności zabiegów wykonany do roku (w przypadku dróg)  i przez trzy lata (dal dedykowanych raszce karpackiej zbiorników) od wykonania. </w:t>
      </w:r>
    </w:p>
    <w:p w:rsidR="00B36CC3" w:rsidRPr="00B36CC3" w:rsidRDefault="00B36CC3" w:rsidP="007A246F">
      <w:pPr>
        <w:spacing w:line="360" w:lineRule="auto"/>
        <w:rPr>
          <w:sz w:val="24"/>
          <w:szCs w:val="24"/>
        </w:rPr>
      </w:pPr>
      <w:r w:rsidRPr="00B36CC3">
        <w:rPr>
          <w:sz w:val="24"/>
          <w:szCs w:val="24"/>
        </w:rPr>
        <w:t xml:space="preserve">Pozostałe działania ochronne skupiają się na kontynuacji monitoringu oraz wykonania badań pod kątem zbiorników bobrowych w dorzeczach Królówki i </w:t>
      </w:r>
      <w:proofErr w:type="spellStart"/>
      <w:r w:rsidRPr="00B36CC3">
        <w:rPr>
          <w:sz w:val="24"/>
          <w:szCs w:val="24"/>
        </w:rPr>
        <w:t>Syhawki</w:t>
      </w:r>
      <w:proofErr w:type="spellEnd"/>
      <w:r w:rsidRPr="00B36CC3">
        <w:rPr>
          <w:sz w:val="24"/>
          <w:szCs w:val="24"/>
        </w:rPr>
        <w:t>.</w:t>
      </w:r>
    </w:p>
    <w:p w:rsidR="00C802B1" w:rsidRPr="00DF4D7F" w:rsidRDefault="00C802B1" w:rsidP="00C802B1">
      <w:pPr>
        <w:spacing w:line="360" w:lineRule="auto"/>
        <w:rPr>
          <w:b/>
          <w:i/>
          <w:sz w:val="24"/>
          <w:szCs w:val="24"/>
        </w:rPr>
      </w:pPr>
      <w:r w:rsidRPr="00DF4D7F">
        <w:rPr>
          <w:b/>
          <w:i/>
          <w:sz w:val="24"/>
          <w:szCs w:val="24"/>
        </w:rPr>
        <w:t>Komentarz do metodyki</w:t>
      </w:r>
    </w:p>
    <w:p w:rsidR="00C802B1" w:rsidRDefault="00C802B1" w:rsidP="00C802B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Podczas wizji terenowych wykryto niewiele larw traszek. Obecnie są one jeszcze bardzo małe i wykr</w:t>
      </w:r>
      <w:r w:rsidR="00DF4D7F">
        <w:rPr>
          <w:sz w:val="24"/>
          <w:szCs w:val="24"/>
        </w:rPr>
        <w:t>ywalność może być niska. Prawdo</w:t>
      </w:r>
      <w:r>
        <w:rPr>
          <w:sz w:val="24"/>
          <w:szCs w:val="24"/>
        </w:rPr>
        <w:t>po</w:t>
      </w:r>
      <w:r w:rsidR="00DF4D7F">
        <w:rPr>
          <w:sz w:val="24"/>
          <w:szCs w:val="24"/>
        </w:rPr>
        <w:t>do</w:t>
      </w:r>
      <w:r>
        <w:rPr>
          <w:sz w:val="24"/>
          <w:szCs w:val="24"/>
        </w:rPr>
        <w:t>bnie jednak, ich wykrycie w ostatniej kontroli również będzie niemożliwe, ze względu na suszę, która spowodowała zanik znacznej części zbiornik</w:t>
      </w:r>
      <w:r w:rsidR="00DF4D7F">
        <w:rPr>
          <w:sz w:val="24"/>
          <w:szCs w:val="24"/>
        </w:rPr>
        <w:t xml:space="preserve">ów. Po opadach wiele z nich powinno ponownie funkcjonować, jednak traszki mogą już zaprzestać składania jaj. Należy zatem rozważyć, aby za miejsc rozrodu uznać każdy zbiornik, gdzie stwierdzano obecność dorosłych traszek. W przypadku kumaków nie ma tego </w:t>
      </w:r>
      <w:r w:rsidR="00DF4D7F">
        <w:rPr>
          <w:sz w:val="24"/>
          <w:szCs w:val="24"/>
        </w:rPr>
        <w:lastRenderedPageBreak/>
        <w:t>problemu, gdyż składają one jaj wielokrotnie w ciągu sezonu i w zbiornikach najbardziej odpowiednich jaja i larwy powinny występować przez całe lato. Planowana jest jeszcze jedna kontrola obszaru w okresie od 25 czerwca do końca lipca 2015</w:t>
      </w:r>
      <w:r w:rsidR="00E90781">
        <w:rPr>
          <w:sz w:val="24"/>
          <w:szCs w:val="24"/>
        </w:rPr>
        <w:t>r.</w:t>
      </w:r>
    </w:p>
    <w:p w:rsidR="00337378" w:rsidRPr="004271F7" w:rsidRDefault="00337378" w:rsidP="00C802B1">
      <w:pPr>
        <w:spacing w:line="360" w:lineRule="auto"/>
        <w:rPr>
          <w:b/>
          <w:i/>
          <w:sz w:val="24"/>
          <w:szCs w:val="24"/>
        </w:rPr>
      </w:pPr>
      <w:r w:rsidRPr="004271F7">
        <w:rPr>
          <w:b/>
          <w:i/>
          <w:sz w:val="24"/>
          <w:szCs w:val="24"/>
        </w:rPr>
        <w:t>Uzupełnienie stanu wiedzy</w:t>
      </w:r>
    </w:p>
    <w:p w:rsidR="00337378" w:rsidRDefault="00337378" w:rsidP="00C802B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Wydaje się zasadne wykonanie kontroli pod katem przydatności zbiorników bobrowych do rozrodu płazów. Podczas obecnych badań skontrolowano jedynie trzy tego typu siedliska, co wynikało z konieczności ujęcia uznawanych za główne miejsca rozrodu płazów zbiorniki powstające w koleinach dróg. </w:t>
      </w:r>
      <w:r w:rsidR="004271F7">
        <w:rPr>
          <w:sz w:val="24"/>
          <w:szCs w:val="24"/>
        </w:rPr>
        <w:t>Zbiorniki te wymagają ponadto specjalnego podejścia ze względu na często niedostępne brzegi, dłuższego czasu kontroli i zastosowania oprócz odłowów siatką również pułapek lejkowych. Ponadto, ze względów bezpieczeństwa (spora głębokość, muliste dno) wymagają co najmniej dwuosobowego zespołu badaczy.</w:t>
      </w:r>
      <w:r w:rsidR="007F1F21">
        <w:rPr>
          <w:sz w:val="24"/>
          <w:szCs w:val="24"/>
        </w:rPr>
        <w:t xml:space="preserve"> W tej sytuacji w projekcie PZO znalazły się wskazania aby wykonać inwentaryzację zbiorników w dorzeczach Królówki i </w:t>
      </w:r>
      <w:proofErr w:type="spellStart"/>
      <w:r w:rsidR="007F1F21">
        <w:rPr>
          <w:sz w:val="24"/>
          <w:szCs w:val="24"/>
        </w:rPr>
        <w:t>Syhawki</w:t>
      </w:r>
      <w:proofErr w:type="spellEnd"/>
      <w:r w:rsidR="007F1F21">
        <w:rPr>
          <w:sz w:val="24"/>
          <w:szCs w:val="24"/>
        </w:rPr>
        <w:t>.</w:t>
      </w:r>
    </w:p>
    <w:p w:rsidR="002656B9" w:rsidRPr="003D1120" w:rsidRDefault="002656B9" w:rsidP="00C802B1">
      <w:pPr>
        <w:spacing w:line="360" w:lineRule="auto"/>
        <w:rPr>
          <w:b/>
          <w:i/>
          <w:sz w:val="24"/>
          <w:szCs w:val="24"/>
        </w:rPr>
      </w:pPr>
      <w:r w:rsidRPr="003D1120">
        <w:rPr>
          <w:b/>
          <w:i/>
          <w:sz w:val="24"/>
          <w:szCs w:val="24"/>
        </w:rPr>
        <w:t>Wskazania do monitoringu</w:t>
      </w:r>
    </w:p>
    <w:p w:rsidR="002656B9" w:rsidRDefault="002656B9" w:rsidP="00C802B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Monitoring płazów w Ostoi należy prowadzić co 3 lub co 6 lat. </w:t>
      </w:r>
      <w:r w:rsidR="003D1120">
        <w:rPr>
          <w:sz w:val="24"/>
          <w:szCs w:val="24"/>
        </w:rPr>
        <w:t>Zaleca się aby prace monitoringowe były prowadzone na wyznaczonych obecnie transektach. Punkty załamania transektów przedstawiono w załączniku 1. Podczas prowadzenia prac monitoringowych w przyszłości, należy zwrócić uwagę czy droga gruntowa nie zmieniła przebiegu. Jeżeli droga zmieniła przebieg, a w jej dawnym, miejscu nie ma warunków do tworzenia się zbiorników, należy wyznaczyć nowy transekt. Również w przypadku jakichkolwiek wątpliwości co do przebiegu wyznaczonych już transektów prowadząc badania należy korzystać z istniejących dróg lub przekazanych śladów z GPS.</w:t>
      </w:r>
    </w:p>
    <w:p w:rsidR="00C802B1" w:rsidRPr="0001159B" w:rsidRDefault="001A4852" w:rsidP="00C802B1">
      <w:pPr>
        <w:spacing w:line="360" w:lineRule="auto"/>
        <w:rPr>
          <w:b/>
          <w:i/>
          <w:sz w:val="24"/>
          <w:szCs w:val="24"/>
        </w:rPr>
      </w:pPr>
      <w:r w:rsidRPr="0001159B">
        <w:rPr>
          <w:b/>
          <w:i/>
          <w:sz w:val="24"/>
          <w:szCs w:val="24"/>
        </w:rPr>
        <w:t>Inne wartości przyrodnicze</w:t>
      </w:r>
    </w:p>
    <w:p w:rsidR="001A4852" w:rsidRDefault="001A4852" w:rsidP="00C802B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Podczas kontroli obserwowano również inne gatunki chronione:</w:t>
      </w:r>
    </w:p>
    <w:p w:rsidR="001A4852" w:rsidRDefault="001A4852" w:rsidP="00C802B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żmija zygzakowata </w:t>
      </w:r>
      <w:proofErr w:type="spellStart"/>
      <w:r w:rsidRPr="001A4852">
        <w:rPr>
          <w:i/>
          <w:sz w:val="24"/>
          <w:szCs w:val="24"/>
        </w:rPr>
        <w:t>Vipera</w:t>
      </w:r>
      <w:proofErr w:type="spellEnd"/>
      <w:r w:rsidRPr="001A4852">
        <w:rPr>
          <w:i/>
          <w:sz w:val="24"/>
          <w:szCs w:val="24"/>
        </w:rPr>
        <w:t xml:space="preserve"> </w:t>
      </w:r>
      <w:proofErr w:type="spellStart"/>
      <w:r w:rsidRPr="001A4852">
        <w:rPr>
          <w:i/>
          <w:sz w:val="24"/>
          <w:szCs w:val="24"/>
        </w:rPr>
        <w:t>berus</w:t>
      </w:r>
      <w:proofErr w:type="spellEnd"/>
      <w:r>
        <w:rPr>
          <w:sz w:val="24"/>
          <w:szCs w:val="24"/>
        </w:rPr>
        <w:t xml:space="preserve">, zaskroniec zwyczajny </w:t>
      </w:r>
      <w:proofErr w:type="spellStart"/>
      <w:r w:rsidRPr="001A4852">
        <w:rPr>
          <w:i/>
          <w:sz w:val="24"/>
          <w:szCs w:val="24"/>
        </w:rPr>
        <w:t>Natrix</w:t>
      </w:r>
      <w:proofErr w:type="spellEnd"/>
      <w:r w:rsidRPr="001A4852">
        <w:rPr>
          <w:i/>
          <w:sz w:val="24"/>
          <w:szCs w:val="24"/>
        </w:rPr>
        <w:t xml:space="preserve"> </w:t>
      </w:r>
      <w:proofErr w:type="spellStart"/>
      <w:r w:rsidRPr="001A4852">
        <w:rPr>
          <w:i/>
          <w:sz w:val="24"/>
          <w:szCs w:val="24"/>
        </w:rPr>
        <w:t>natrix</w:t>
      </w:r>
      <w:proofErr w:type="spellEnd"/>
      <w:r>
        <w:rPr>
          <w:sz w:val="24"/>
          <w:szCs w:val="24"/>
        </w:rPr>
        <w:t xml:space="preserve">, padalec zwyczajny </w:t>
      </w:r>
      <w:proofErr w:type="spellStart"/>
      <w:r w:rsidRPr="001A4852">
        <w:rPr>
          <w:i/>
          <w:sz w:val="24"/>
          <w:szCs w:val="24"/>
        </w:rPr>
        <w:t>Anguis</w:t>
      </w:r>
      <w:proofErr w:type="spellEnd"/>
      <w:r w:rsidRPr="001A4852">
        <w:rPr>
          <w:i/>
          <w:sz w:val="24"/>
          <w:szCs w:val="24"/>
        </w:rPr>
        <w:t xml:space="preserve"> </w:t>
      </w:r>
      <w:proofErr w:type="spellStart"/>
      <w:r w:rsidRPr="001A4852">
        <w:rPr>
          <w:i/>
          <w:sz w:val="24"/>
          <w:szCs w:val="24"/>
        </w:rPr>
        <w:t>fragilis</w:t>
      </w:r>
      <w:proofErr w:type="spellEnd"/>
      <w:r>
        <w:rPr>
          <w:sz w:val="24"/>
          <w:szCs w:val="24"/>
        </w:rPr>
        <w:t xml:space="preserve">, jaszczurka żyworodna </w:t>
      </w:r>
      <w:proofErr w:type="spellStart"/>
      <w:r w:rsidRPr="0001159B">
        <w:rPr>
          <w:i/>
          <w:sz w:val="24"/>
          <w:szCs w:val="24"/>
        </w:rPr>
        <w:t>Zootoca</w:t>
      </w:r>
      <w:proofErr w:type="spellEnd"/>
      <w:r w:rsidRPr="0001159B">
        <w:rPr>
          <w:i/>
          <w:sz w:val="24"/>
          <w:szCs w:val="24"/>
        </w:rPr>
        <w:t xml:space="preserve"> </w:t>
      </w:r>
      <w:proofErr w:type="spellStart"/>
      <w:r w:rsidRPr="0001159B">
        <w:rPr>
          <w:i/>
          <w:sz w:val="24"/>
          <w:szCs w:val="24"/>
        </w:rPr>
        <w:t>vivipara</w:t>
      </w:r>
      <w:proofErr w:type="spellEnd"/>
      <w:r>
        <w:rPr>
          <w:sz w:val="24"/>
          <w:szCs w:val="24"/>
        </w:rPr>
        <w:t xml:space="preserve">, derkacz </w:t>
      </w:r>
      <w:proofErr w:type="spellStart"/>
      <w:r w:rsidRPr="0001159B">
        <w:rPr>
          <w:i/>
          <w:sz w:val="24"/>
          <w:szCs w:val="24"/>
        </w:rPr>
        <w:t>Crex</w:t>
      </w:r>
      <w:proofErr w:type="spellEnd"/>
      <w:r w:rsidRPr="0001159B">
        <w:rPr>
          <w:i/>
          <w:sz w:val="24"/>
          <w:szCs w:val="24"/>
        </w:rPr>
        <w:t xml:space="preserve"> </w:t>
      </w:r>
      <w:proofErr w:type="spellStart"/>
      <w:r w:rsidRPr="0001159B">
        <w:rPr>
          <w:i/>
          <w:sz w:val="24"/>
          <w:szCs w:val="24"/>
        </w:rPr>
        <w:t>crex</w:t>
      </w:r>
      <w:proofErr w:type="spellEnd"/>
      <w:r>
        <w:rPr>
          <w:sz w:val="24"/>
          <w:szCs w:val="24"/>
        </w:rPr>
        <w:t xml:space="preserve">, biegacz urozmaicony </w:t>
      </w:r>
      <w:proofErr w:type="spellStart"/>
      <w:r w:rsidRPr="0001159B">
        <w:rPr>
          <w:i/>
          <w:sz w:val="24"/>
          <w:szCs w:val="24"/>
        </w:rPr>
        <w:t>Carabus</w:t>
      </w:r>
      <w:proofErr w:type="spellEnd"/>
      <w:r w:rsidRPr="0001159B">
        <w:rPr>
          <w:i/>
          <w:sz w:val="24"/>
          <w:szCs w:val="24"/>
        </w:rPr>
        <w:t xml:space="preserve"> </w:t>
      </w:r>
      <w:proofErr w:type="spellStart"/>
      <w:r w:rsidRPr="0001159B">
        <w:rPr>
          <w:i/>
          <w:sz w:val="24"/>
          <w:szCs w:val="24"/>
        </w:rPr>
        <w:t>variolosus</w:t>
      </w:r>
      <w:proofErr w:type="spellEnd"/>
      <w:r>
        <w:rPr>
          <w:sz w:val="24"/>
          <w:szCs w:val="24"/>
        </w:rPr>
        <w:t>.</w:t>
      </w:r>
    </w:p>
    <w:p w:rsidR="00C802B1" w:rsidRDefault="006A2EFD" w:rsidP="00C802B1">
      <w:pPr>
        <w:spacing w:line="360" w:lineRule="auto"/>
        <w:rPr>
          <w:b/>
          <w:i/>
          <w:sz w:val="24"/>
          <w:szCs w:val="24"/>
        </w:rPr>
      </w:pPr>
      <w:r w:rsidRPr="006A2EFD">
        <w:rPr>
          <w:b/>
          <w:i/>
          <w:sz w:val="24"/>
          <w:szCs w:val="24"/>
        </w:rPr>
        <w:t>Ryciny</w:t>
      </w:r>
    </w:p>
    <w:p w:rsidR="006A2EFD" w:rsidRDefault="006A2EFD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3388447"/>
            <wp:effectExtent l="19050" t="0" r="0" b="0"/>
            <wp:docPr id="1" name="Obraz 1" descr="C:\Users\bonk\Desktop\mocz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nk\Desktop\moczary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88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EFD" w:rsidRDefault="006A2EFD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Ryc. 1. Przebieg transektów wyznaczonych dla monitoringu płazów.</w:t>
      </w:r>
    </w:p>
    <w:p w:rsidR="006A2EFD" w:rsidRDefault="006A2EFD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drawing>
          <wp:inline distT="0" distB="0" distL="0" distR="0">
            <wp:extent cx="5063313" cy="3375542"/>
            <wp:effectExtent l="19050" t="0" r="3987" b="0"/>
            <wp:docPr id="2" name="Obraz 2" descr="D:\Moczary\foto\13.05\IMG_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oczary\foto\13.05\IMG_01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117" cy="3377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EFD" w:rsidRDefault="006A2EFD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Ryc. 2. Bobrowe rozlewiska wzdłuż górnego biegu Królówki.</w:t>
      </w: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059503" cy="3373002"/>
            <wp:effectExtent l="19050" t="0" r="7797" b="0"/>
            <wp:docPr id="3" name="Obraz 3" descr="D:\Moczary\foto\13.05\IMG_0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oczary\foto\13.05\IMG_02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813" cy="3380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Ryc. 3. Przykładowe siedlisko rozrodcze</w:t>
      </w:r>
      <w:r w:rsidR="007A246F">
        <w:rPr>
          <w:b/>
          <w:i/>
          <w:sz w:val="24"/>
          <w:szCs w:val="24"/>
        </w:rPr>
        <w:t xml:space="preserve"> płazów – kompleks kałuż na skła</w:t>
      </w:r>
      <w:r>
        <w:rPr>
          <w:b/>
          <w:i/>
          <w:sz w:val="24"/>
          <w:szCs w:val="24"/>
        </w:rPr>
        <w:t>dzie drewna we wschodniej części obszaru.</w:t>
      </w: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pl-PL"/>
        </w:rPr>
        <w:drawing>
          <wp:inline distT="0" distB="0" distL="0" distR="0">
            <wp:extent cx="4935723" cy="3290482"/>
            <wp:effectExtent l="19050" t="0" r="0" b="0"/>
            <wp:docPr id="4" name="Obraz 4" descr="D:\Moczary\foto\13.05\IMG_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Moczary\foto\13.05\IMG_02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757" cy="329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036" w:rsidRDefault="001D3036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Ryc. 4. Wykopy z wodą na transekcie we wschodniej części obszaru.</w:t>
      </w:r>
    </w:p>
    <w:p w:rsidR="008D2119" w:rsidRDefault="008D2119" w:rsidP="00C802B1">
      <w:pPr>
        <w:spacing w:line="36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>Literatura:</w:t>
      </w:r>
    </w:p>
    <w:p w:rsidR="007C2C69" w:rsidRPr="007C2C69" w:rsidRDefault="007C2C69" w:rsidP="007C2C69">
      <w:pPr>
        <w:rPr>
          <w:sz w:val="24"/>
          <w:szCs w:val="24"/>
        </w:rPr>
      </w:pPr>
      <w:proofErr w:type="spellStart"/>
      <w:r w:rsidRPr="007C2C69">
        <w:rPr>
          <w:sz w:val="24"/>
          <w:szCs w:val="24"/>
        </w:rPr>
        <w:t>Makomaska-Juchiewicz</w:t>
      </w:r>
      <w:proofErr w:type="spellEnd"/>
      <w:r w:rsidRPr="007C2C69">
        <w:rPr>
          <w:sz w:val="24"/>
          <w:szCs w:val="24"/>
        </w:rPr>
        <w:t xml:space="preserve"> M., Baran P. 2012 (red.) Monitoring gatunków zwierząt. Przewodnik metodyczny. Część trzecia. Biblioteka Monitoringu Środowiska.</w:t>
      </w:r>
    </w:p>
    <w:p w:rsidR="007C2C69" w:rsidRPr="007C2C69" w:rsidRDefault="007C2C69" w:rsidP="007C2C69">
      <w:pPr>
        <w:pStyle w:val="Nagwek2"/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</w:pPr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Bonk M., Sochacki J. </w:t>
      </w:r>
      <w:bookmarkStart w:id="0" w:name="_Toc299020220"/>
      <w:bookmarkStart w:id="1" w:name="_Toc321233753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2012b. 2001 Traszka karpacka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>Lissotriton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 xml:space="preserve">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>montandoni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</w:t>
      </w:r>
      <w:bookmarkEnd w:id="0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(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Boulenger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, 1880)</w:t>
      </w:r>
      <w:bookmarkEnd w:id="1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w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Makomaska-Juchiewicz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M., Baran P. (red): Monitoring gatunków zwierząt. Przewodnik metodyczny. Część III GIOŚ.</w:t>
      </w:r>
    </w:p>
    <w:p w:rsidR="007C2C69" w:rsidRPr="007C2C69" w:rsidRDefault="007C2C69" w:rsidP="007C2C69">
      <w:pPr>
        <w:pStyle w:val="Nagwek2"/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</w:pPr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Bonk M., Sochacki J. 2012a. </w:t>
      </w:r>
      <w:bookmarkStart w:id="2" w:name="_Toc321233748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1193 Kumak górski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>Bombina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 xml:space="preserve">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i/>
          <w:color w:val="auto"/>
          <w:sz w:val="24"/>
          <w:szCs w:val="24"/>
          <w:lang w:eastAsia="en-US"/>
        </w:rPr>
        <w:t>variegata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(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Linnaeus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, 1758)</w:t>
      </w:r>
      <w:bookmarkEnd w:id="2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w </w:t>
      </w:r>
      <w:proofErr w:type="spellStart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>Makomaska-Juchiewicz</w:t>
      </w:r>
      <w:proofErr w:type="spellEnd"/>
      <w:r w:rsidRPr="007C2C69">
        <w:rPr>
          <w:rFonts w:asciiTheme="minorHAnsi" w:eastAsiaTheme="minorHAnsi" w:hAnsiTheme="minorHAnsi" w:cstheme="minorBidi"/>
          <w:b w:val="0"/>
          <w:bCs w:val="0"/>
          <w:color w:val="auto"/>
          <w:sz w:val="24"/>
          <w:szCs w:val="24"/>
          <w:lang w:eastAsia="en-US"/>
        </w:rPr>
        <w:t xml:space="preserve"> M., Baran P. (red): Monitoring gatunków zwierząt. Przewodnik metodyczny. Część III GIOŚ.</w:t>
      </w:r>
    </w:p>
    <w:p w:rsidR="007C2C69" w:rsidRPr="006A2EFD" w:rsidRDefault="007C2C69" w:rsidP="00C802B1">
      <w:pPr>
        <w:spacing w:line="360" w:lineRule="auto"/>
        <w:rPr>
          <w:b/>
          <w:i/>
          <w:sz w:val="24"/>
          <w:szCs w:val="24"/>
        </w:rPr>
      </w:pPr>
    </w:p>
    <w:sectPr w:rsidR="007C2C69" w:rsidRPr="006A2EFD" w:rsidSect="009E76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4D2383"/>
    <w:rsid w:val="0001159B"/>
    <w:rsid w:val="000165F7"/>
    <w:rsid w:val="001A4852"/>
    <w:rsid w:val="001D3036"/>
    <w:rsid w:val="001D52E8"/>
    <w:rsid w:val="002656B9"/>
    <w:rsid w:val="00337378"/>
    <w:rsid w:val="003D1120"/>
    <w:rsid w:val="003F39CE"/>
    <w:rsid w:val="004271F7"/>
    <w:rsid w:val="004C4EA6"/>
    <w:rsid w:val="004D2383"/>
    <w:rsid w:val="00510234"/>
    <w:rsid w:val="005A65E9"/>
    <w:rsid w:val="005D2045"/>
    <w:rsid w:val="006A2EFD"/>
    <w:rsid w:val="007604C6"/>
    <w:rsid w:val="007A246F"/>
    <w:rsid w:val="007C2C69"/>
    <w:rsid w:val="007F1F21"/>
    <w:rsid w:val="00816F03"/>
    <w:rsid w:val="00865245"/>
    <w:rsid w:val="008D172B"/>
    <w:rsid w:val="008D2119"/>
    <w:rsid w:val="008F206A"/>
    <w:rsid w:val="00936648"/>
    <w:rsid w:val="00970C3A"/>
    <w:rsid w:val="00982FAF"/>
    <w:rsid w:val="009E7640"/>
    <w:rsid w:val="00A409D5"/>
    <w:rsid w:val="00B36CC3"/>
    <w:rsid w:val="00B37BF5"/>
    <w:rsid w:val="00BA7DAD"/>
    <w:rsid w:val="00C802B1"/>
    <w:rsid w:val="00D27DF8"/>
    <w:rsid w:val="00D749E4"/>
    <w:rsid w:val="00DF4D7F"/>
    <w:rsid w:val="00E67AB0"/>
    <w:rsid w:val="00E90781"/>
    <w:rsid w:val="00E90CA5"/>
    <w:rsid w:val="00ED15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E7640"/>
  </w:style>
  <w:style w:type="paragraph" w:styleId="Nagwek2">
    <w:name w:val="heading 2"/>
    <w:basedOn w:val="Normalny"/>
    <w:next w:val="Normalny"/>
    <w:link w:val="Nagwek2Znak"/>
    <w:uiPriority w:val="99"/>
    <w:qFormat/>
    <w:rsid w:val="007C2C6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xl22">
    <w:name w:val="xl22"/>
    <w:basedOn w:val="Normalny"/>
    <w:rsid w:val="008D21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rsid w:val="007C2C69"/>
    <w:rPr>
      <w:rFonts w:ascii="Cambria" w:eastAsia="Times New Roman" w:hAnsi="Cambria" w:cs="Times New Roman"/>
      <w:b/>
      <w:bCs/>
      <w:color w:val="4F81BD"/>
      <w:sz w:val="26"/>
      <w:szCs w:val="2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12</Pages>
  <Words>2819</Words>
  <Characters>16914</Characters>
  <Application>Microsoft Office Word</Application>
  <DocSecurity>0</DocSecurity>
  <Lines>140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bonk</dc:creator>
  <cp:lastModifiedBy>bonk</cp:lastModifiedBy>
  <cp:revision>18</cp:revision>
  <dcterms:created xsi:type="dcterms:W3CDTF">2015-08-09T20:31:00Z</dcterms:created>
  <dcterms:modified xsi:type="dcterms:W3CDTF">2015-08-18T11:13:00Z</dcterms:modified>
</cp:coreProperties>
</file>