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969"/>
        <w:gridCol w:w="3119"/>
      </w:tblGrid>
      <w:tr w:rsidR="00A06425" w:rsidRPr="009F261C" w:rsidTr="004570F3">
        <w:tc>
          <w:tcPr>
            <w:tcW w:w="15305" w:type="dxa"/>
            <w:gridSpan w:val="6"/>
            <w:shd w:val="clear" w:color="auto" w:fill="auto"/>
            <w:vAlign w:val="center"/>
          </w:tcPr>
          <w:p w:rsidR="00A06425" w:rsidRPr="009F261C" w:rsidRDefault="00A06425" w:rsidP="006779C0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F26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45C6B" w:rsidRPr="009F26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53F4" w:rsidRPr="009F261C">
              <w:rPr>
                <w:rFonts w:asciiTheme="minorHAnsi" w:hAnsiTheme="minorHAnsi" w:cstheme="minorHAnsi"/>
                <w:sz w:val="22"/>
                <w:szCs w:val="22"/>
              </w:rPr>
              <w:t xml:space="preserve">Rozporządzenie Ministra Cyfryzacji w sprawie udzielania </w:t>
            </w:r>
            <w:r w:rsidR="006779C0">
              <w:rPr>
                <w:rFonts w:asciiTheme="minorHAnsi" w:hAnsiTheme="minorHAnsi" w:cstheme="minorHAnsi"/>
                <w:sz w:val="22"/>
                <w:szCs w:val="22"/>
              </w:rPr>
              <w:t>pomocy</w:t>
            </w:r>
            <w:r w:rsidR="00C553F4" w:rsidRPr="009F261C">
              <w:rPr>
                <w:rFonts w:asciiTheme="minorHAnsi" w:hAnsiTheme="minorHAnsi" w:cstheme="minorHAnsi"/>
                <w:sz w:val="22"/>
                <w:szCs w:val="22"/>
              </w:rPr>
              <w:t xml:space="preserve"> na rozwój infrastruktury szerokopasmowej </w:t>
            </w:r>
            <w:r w:rsidR="004570F3" w:rsidRPr="009F261C">
              <w:rPr>
                <w:rFonts w:asciiTheme="minorHAnsi" w:hAnsiTheme="minorHAnsi" w:cstheme="minorHAnsi"/>
                <w:sz w:val="22"/>
                <w:szCs w:val="22"/>
              </w:rPr>
              <w:t>w ramach programu Fundusze Europejskie na Rozwój Cyfrowy 2021– 2027</w:t>
            </w:r>
          </w:p>
        </w:tc>
      </w:tr>
      <w:tr w:rsidR="00A06425" w:rsidRPr="009F261C" w:rsidTr="004570F3">
        <w:tc>
          <w:tcPr>
            <w:tcW w:w="562" w:type="dxa"/>
            <w:shd w:val="clear" w:color="auto" w:fill="auto"/>
            <w:vAlign w:val="center"/>
          </w:tcPr>
          <w:p w:rsidR="00A06425" w:rsidRPr="009F261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61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9F261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61C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61C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  <w:p w:rsidR="006C5D42" w:rsidRPr="009F261C" w:rsidRDefault="006C5D42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9F261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61C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6425" w:rsidRPr="009F261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61C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119" w:type="dxa"/>
            <w:vAlign w:val="center"/>
          </w:tcPr>
          <w:p w:rsidR="00A06425" w:rsidRPr="009F261C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61C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E3D5A" w:rsidRPr="009F261C" w:rsidTr="004570F3">
        <w:tc>
          <w:tcPr>
            <w:tcW w:w="562" w:type="dxa"/>
            <w:shd w:val="clear" w:color="auto" w:fill="auto"/>
          </w:tcPr>
          <w:p w:rsidR="002E3D5A" w:rsidRPr="009F261C" w:rsidRDefault="002E3D5A" w:rsidP="002E3D5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61C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E3D5A" w:rsidRPr="009F261C" w:rsidRDefault="002E3D5A" w:rsidP="002E3D5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61C">
              <w:rPr>
                <w:rFonts w:asciiTheme="minorHAnsi" w:hAnsiTheme="minorHAnsi" w:cstheme="minorHAnsi"/>
                <w:b/>
                <w:sz w:val="22"/>
                <w:szCs w:val="22"/>
              </w:rPr>
              <w:t>UOKiK</w:t>
            </w:r>
          </w:p>
        </w:tc>
        <w:tc>
          <w:tcPr>
            <w:tcW w:w="1843" w:type="dxa"/>
            <w:shd w:val="clear" w:color="auto" w:fill="auto"/>
          </w:tcPr>
          <w:p w:rsidR="002E3D5A" w:rsidRPr="009F261C" w:rsidRDefault="00BA0887" w:rsidP="002E3D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4678" w:type="dxa"/>
            <w:shd w:val="clear" w:color="auto" w:fill="auto"/>
          </w:tcPr>
          <w:p w:rsidR="002E3D5A" w:rsidRPr="009F261C" w:rsidRDefault="002E3D5A" w:rsidP="002E3D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1C">
              <w:rPr>
                <w:rFonts w:asciiTheme="minorHAnsi" w:hAnsiTheme="minorHAnsi" w:cstheme="minorHAnsi"/>
                <w:sz w:val="22"/>
                <w:szCs w:val="22"/>
              </w:rPr>
              <w:t xml:space="preserve">Zgodnie z art. 52 ust. 5 rozporządzenia Komisji (UE) nr 651/2014 z dnia 17 czerwca 2014 r. uznającego niektóre rodzaje pomocy za zgodne z rynkiem wewnętrznym w zastosowaniu art. 107 i 108 Traktatu (Dz. Urz. UE L 187 z 26.06.2014 r., z </w:t>
            </w:r>
            <w:proofErr w:type="spellStart"/>
            <w:r w:rsidRPr="009F261C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9F261C">
              <w:rPr>
                <w:rFonts w:asciiTheme="minorHAnsi" w:hAnsiTheme="minorHAnsi" w:cstheme="minorHAnsi"/>
                <w:sz w:val="22"/>
                <w:szCs w:val="22"/>
              </w:rPr>
              <w:t xml:space="preserve">. zm.) projekt objęty pomocą powinien przynieść znaczącą poprawę dostępu usług szerokopasmowych w porównaniu z sieciami istniejącymi. Ponadto zgodnie z art. 52 ust. 3 lit. b) ww. rozporządzenia, sieć powinna zapewnić co najmniej podwojenie prędkości pobierania i wysyłania danych w porównaniu z istniejącymi lub planowanymi w wiarygodny sposób sieciami i powinna być zdolna do zapewnienia w sposób niezawodny pobierania danych z prędkością co najmniej 300 </w:t>
            </w:r>
            <w:proofErr w:type="spellStart"/>
            <w:r w:rsidRPr="009F261C">
              <w:rPr>
                <w:rFonts w:asciiTheme="minorHAnsi" w:hAnsiTheme="minorHAnsi" w:cstheme="minorHAnsi"/>
                <w:sz w:val="22"/>
                <w:szCs w:val="22"/>
              </w:rPr>
              <w:t>Mb</w:t>
            </w:r>
            <w:proofErr w:type="spellEnd"/>
            <w:r w:rsidRPr="009F261C">
              <w:rPr>
                <w:rFonts w:asciiTheme="minorHAnsi" w:hAnsiTheme="minorHAnsi" w:cstheme="minorHAnsi"/>
                <w:sz w:val="22"/>
                <w:szCs w:val="22"/>
              </w:rPr>
              <w:t xml:space="preserve">/s i wysyłania danych z prędkością co najmniej 100 </w:t>
            </w:r>
            <w:proofErr w:type="spellStart"/>
            <w:r w:rsidRPr="009F261C">
              <w:rPr>
                <w:rFonts w:asciiTheme="minorHAnsi" w:hAnsiTheme="minorHAnsi" w:cstheme="minorHAnsi"/>
                <w:sz w:val="22"/>
                <w:szCs w:val="22"/>
              </w:rPr>
              <w:t>Mb</w:t>
            </w:r>
            <w:proofErr w:type="spellEnd"/>
            <w:r w:rsidRPr="009F261C">
              <w:rPr>
                <w:rFonts w:asciiTheme="minorHAnsi" w:hAnsiTheme="minorHAnsi" w:cstheme="minorHAnsi"/>
                <w:sz w:val="22"/>
                <w:szCs w:val="22"/>
              </w:rPr>
              <w:t>/s (prędkości docelowe).</w:t>
            </w:r>
          </w:p>
        </w:tc>
        <w:tc>
          <w:tcPr>
            <w:tcW w:w="3969" w:type="dxa"/>
            <w:shd w:val="clear" w:color="auto" w:fill="auto"/>
          </w:tcPr>
          <w:p w:rsidR="002E3D5A" w:rsidRPr="009F261C" w:rsidRDefault="002E3D5A" w:rsidP="002E3D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1C">
              <w:rPr>
                <w:rFonts w:asciiTheme="minorHAnsi" w:hAnsiTheme="minorHAnsi" w:cstheme="minorHAnsi"/>
                <w:sz w:val="22"/>
                <w:szCs w:val="22"/>
              </w:rPr>
              <w:t>W związku z powyższym proponuję odpowiednio doprecyzować w tym zakresie projekt rozporządzenia.</w:t>
            </w:r>
          </w:p>
        </w:tc>
        <w:tc>
          <w:tcPr>
            <w:tcW w:w="3119" w:type="dxa"/>
          </w:tcPr>
          <w:p w:rsidR="002E3D5A" w:rsidRPr="009F261C" w:rsidRDefault="002E3D5A" w:rsidP="002E3D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1C">
              <w:rPr>
                <w:rFonts w:asciiTheme="minorHAnsi" w:hAnsiTheme="minorHAnsi" w:cstheme="minorHAnsi"/>
                <w:sz w:val="22"/>
                <w:szCs w:val="22"/>
              </w:rPr>
              <w:t>Uwaga nieuwzględniona</w:t>
            </w:r>
          </w:p>
          <w:p w:rsidR="002E3D5A" w:rsidRPr="009F261C" w:rsidRDefault="002E3D5A" w:rsidP="002E3D5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3D5A" w:rsidRPr="009F261C" w:rsidRDefault="002E3D5A" w:rsidP="002E3D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1C">
              <w:rPr>
                <w:rFonts w:asciiTheme="minorHAnsi" w:hAnsiTheme="minorHAnsi" w:cstheme="minorHAnsi"/>
                <w:sz w:val="22"/>
                <w:szCs w:val="22"/>
              </w:rPr>
              <w:t xml:space="preserve">Sieci szerokopasmowe, które będą przedmiotem pomocy publicznej udzielanej na podstawie projektowanego rozporządzenia, będą umożliwiać świadczenie usług o przepustowościach gigabitowych, co spełni wymaganie określone w rozporządzeniu nr 651/2014. Jednocześnie zostanie to uregulowane w tzw. wymaganiach technicznych, stanowiących jeden z załączników do umowy o objęcie przedsięwzięcia wsparciem – zgodnie z dotychczasową praktyką programów pomocowych w obszarze sieci szerokopasmowych (vide pomoc publiczna udzielana ze środków I osi priorytetowej Programu Operacyjnego Polska Cyfrowa na podstawie rozporządzenia Ministra Administracji i Cyfryzacji z dnia </w:t>
            </w:r>
            <w:r w:rsidRPr="009F26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16 września 2015 r. w sprawie udzielania pomocy na rozwój infrastruktury szerokopasmowej w ramach Programu Operacyjnego Polska Cyfrowa na lata 2014-2020). Projektodawca proponuje podtrzymać tę praktykę i nie regulować tej kwestii bezpośrednio w treści rozporządzenia.</w:t>
            </w:r>
          </w:p>
        </w:tc>
      </w:tr>
      <w:tr w:rsidR="00885F88" w:rsidRPr="00A06425" w:rsidTr="004570F3">
        <w:tc>
          <w:tcPr>
            <w:tcW w:w="562" w:type="dxa"/>
            <w:shd w:val="clear" w:color="auto" w:fill="auto"/>
          </w:tcPr>
          <w:p w:rsidR="00885F88" w:rsidRPr="009F261C" w:rsidRDefault="003865F3" w:rsidP="002E3D5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:rsidR="00885F88" w:rsidRPr="009F261C" w:rsidRDefault="00885F88" w:rsidP="002E3D5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UKE</w:t>
            </w:r>
          </w:p>
        </w:tc>
        <w:tc>
          <w:tcPr>
            <w:tcW w:w="1843" w:type="dxa"/>
            <w:shd w:val="clear" w:color="auto" w:fill="auto"/>
          </w:tcPr>
          <w:p w:rsidR="00885F88" w:rsidRPr="009F261C" w:rsidRDefault="00885F88" w:rsidP="002E3D5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§ 2 ust. 6</w:t>
            </w:r>
          </w:p>
        </w:tc>
        <w:tc>
          <w:tcPr>
            <w:tcW w:w="4678" w:type="dxa"/>
            <w:shd w:val="clear" w:color="auto" w:fill="auto"/>
          </w:tcPr>
          <w:p w:rsidR="00885F88" w:rsidRPr="009F261C" w:rsidRDefault="00885F88" w:rsidP="002E3D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885F88">
              <w:rPr>
                <w:rFonts w:asciiTheme="minorHAnsi" w:hAnsiTheme="minorHAnsi" w:cstheme="minorHAnsi"/>
                <w:sz w:val="22"/>
                <w:szCs w:val="22"/>
              </w:rPr>
              <w:t xml:space="preserve"> definicji pojęcia „infrastruktura szerokopasmowa” zawarte jest nieprawidłowe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odesłanie do art. 2 pkt 8 Prawa </w:t>
            </w:r>
            <w:r w:rsidRPr="00885F88">
              <w:rPr>
                <w:rFonts w:asciiTheme="minorHAnsi" w:hAnsiTheme="minorHAnsi" w:cstheme="minorHAnsi"/>
                <w:sz w:val="22"/>
                <w:szCs w:val="22"/>
              </w:rPr>
              <w:t>telekomunikacyjnego, w którym jest mowa o infrastrukturze telekomunikacyjnej, nie zaś o sieci telekomunikacyjnej. Na marginesie należy zaznaczyć, że w projektowanym przepisie zawarta jest również nieaktualna metryka promulgacyjna ustawy z dnia 16 lipca 2004 r. – Prawo telekomunikacyjne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885F88" w:rsidRPr="009F261C" w:rsidRDefault="00885F88" w:rsidP="002E3D5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:rsidR="00885F88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  <w:p w:rsidR="00885F88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85F88" w:rsidRPr="009F261C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Przepis został przeformułowany.</w:t>
            </w:r>
          </w:p>
        </w:tc>
      </w:tr>
      <w:tr w:rsidR="00885F88" w:rsidRPr="00A06425" w:rsidTr="004570F3">
        <w:tc>
          <w:tcPr>
            <w:tcW w:w="562" w:type="dxa"/>
            <w:shd w:val="clear" w:color="auto" w:fill="auto"/>
          </w:tcPr>
          <w:p w:rsidR="00885F88" w:rsidRDefault="003865F3" w:rsidP="00885F8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85F88" w:rsidRDefault="00885F88" w:rsidP="00885F8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UKE</w:t>
            </w:r>
          </w:p>
        </w:tc>
        <w:tc>
          <w:tcPr>
            <w:tcW w:w="1843" w:type="dxa"/>
            <w:shd w:val="clear" w:color="auto" w:fill="auto"/>
          </w:tcPr>
          <w:p w:rsidR="00885F88" w:rsidRDefault="00885F88" w:rsidP="00885F8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§ 4 ust. 2</w:t>
            </w:r>
          </w:p>
        </w:tc>
        <w:tc>
          <w:tcPr>
            <w:tcW w:w="4678" w:type="dxa"/>
            <w:shd w:val="clear" w:color="auto" w:fill="auto"/>
          </w:tcPr>
          <w:p w:rsidR="00885F88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5F88">
              <w:rPr>
                <w:rFonts w:asciiTheme="minorHAnsi" w:hAnsiTheme="minorHAnsi" w:cstheme="minorHAnsi"/>
                <w:sz w:val="22"/>
                <w:szCs w:val="22"/>
              </w:rPr>
              <w:t>proponuje się wskazać od którego momentu rozpoczyna bieg okres trzech lat, o którym mowa w projektowanym przepisie</w:t>
            </w:r>
          </w:p>
        </w:tc>
        <w:tc>
          <w:tcPr>
            <w:tcW w:w="3969" w:type="dxa"/>
            <w:shd w:val="clear" w:color="auto" w:fill="auto"/>
          </w:tcPr>
          <w:p w:rsidR="00885F88" w:rsidRPr="009F261C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:rsidR="00885F88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nieuwzględniona</w:t>
            </w:r>
          </w:p>
          <w:p w:rsidR="00885F88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85F88" w:rsidRPr="009F261C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dotychczasowej praktyce stosowania przepisów GBER w zakresie wyznaczania obszarów docelowych wsparcia (praktyka związana z wdrażaniem I osi priorytetowej Programu Operacyjnego Polska Cyfrowa, dla której obowiązuje podobne do projektowanego rozporządzenie Ministra Administracji i Cyfryzacji z dnia 16 września 2015 r. w sprawie udzielania pomocy na rozwój infrastruktury szerokopasmowej w ramach Programu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Operacyjnego Polska Cyfrowa) okres 3 lat liczony był od momentu ogłoszenia konsultacji społecznych, o których mowa w różnych jednostkach redakcyjnych art. 52 GBER. Niemniej, przez środek pomocy, o którym mowa w art. 52 ust. 3 lit. b GBER, może być rozumiane również samo projektowane rozporządzenie, jak i otwarcie procedury wyboru, o czym mowa w uwadze. Z tego względu w projektowanych przepisach proponuje się nie rozstrzygać, od którego momentu należy liczyć 3-letni okres odniesienia dla komercyjnych planów inwestycyjnych. Niemniej, w ramach planowanego wykonania przepisów projektowanego rozporządzenia przyjęcie każdej z ww. interpretacji „środka pomocy” będzie neutralne dla biegu 3-letniego okresu odniesienia, bowiem zarówno przyjęcie projektowanego rozporządzenia, ogłoszenie konsultacji społecznych oraz ogłoszenie konkurencyjnej procedury wyboru nastąpi w tym samym roku, a 3-letni okres odniesienia obejmuje kolejne 3 pełne lata kalendarzowe.</w:t>
            </w:r>
          </w:p>
        </w:tc>
      </w:tr>
      <w:tr w:rsidR="00885F88" w:rsidRPr="00A06425" w:rsidTr="004570F3">
        <w:tc>
          <w:tcPr>
            <w:tcW w:w="562" w:type="dxa"/>
            <w:shd w:val="clear" w:color="auto" w:fill="auto"/>
          </w:tcPr>
          <w:p w:rsidR="00885F88" w:rsidRDefault="003865F3" w:rsidP="00885F8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:rsidR="00885F88" w:rsidRDefault="00885F88" w:rsidP="00885F8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UKE</w:t>
            </w:r>
          </w:p>
        </w:tc>
        <w:tc>
          <w:tcPr>
            <w:tcW w:w="1843" w:type="dxa"/>
            <w:shd w:val="clear" w:color="auto" w:fill="auto"/>
          </w:tcPr>
          <w:p w:rsidR="00885F88" w:rsidRDefault="00885F88" w:rsidP="00885F8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5F88">
              <w:rPr>
                <w:rFonts w:asciiTheme="minorHAnsi" w:hAnsiTheme="minorHAnsi" w:cstheme="minorHAnsi"/>
                <w:b/>
                <w:sz w:val="22"/>
                <w:szCs w:val="22"/>
              </w:rPr>
              <w:t>§ 5 ust. 2 pkt 7</w:t>
            </w:r>
          </w:p>
        </w:tc>
        <w:tc>
          <w:tcPr>
            <w:tcW w:w="4678" w:type="dxa"/>
            <w:shd w:val="clear" w:color="auto" w:fill="auto"/>
          </w:tcPr>
          <w:p w:rsidR="00885F88" w:rsidRPr="00885F88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5F88">
              <w:rPr>
                <w:rFonts w:asciiTheme="minorHAnsi" w:hAnsiTheme="minorHAnsi" w:cstheme="minorHAnsi"/>
                <w:sz w:val="22"/>
                <w:szCs w:val="22"/>
              </w:rPr>
              <w:t xml:space="preserve">w ramach projektowanego przepisu wyrazy „dokonania rezerwacji częstotliwości radiowych” </w:t>
            </w:r>
            <w:r w:rsidRPr="00885F8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proponuje się zastąpić wyrazami „udzielonych rezerwacji częstotliwości lub zasobów orbitalnych”</w:t>
            </w:r>
          </w:p>
        </w:tc>
        <w:tc>
          <w:tcPr>
            <w:tcW w:w="3969" w:type="dxa"/>
            <w:shd w:val="clear" w:color="auto" w:fill="auto"/>
          </w:tcPr>
          <w:p w:rsidR="00885F88" w:rsidRPr="009F261C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:rsidR="00885F88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  <w:p w:rsidR="00885F88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85F88" w:rsidRPr="009F261C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Przepis został przeformułowany.</w:t>
            </w:r>
          </w:p>
        </w:tc>
      </w:tr>
      <w:tr w:rsidR="00885F88" w:rsidRPr="00A06425" w:rsidTr="004570F3">
        <w:tc>
          <w:tcPr>
            <w:tcW w:w="562" w:type="dxa"/>
            <w:shd w:val="clear" w:color="auto" w:fill="auto"/>
          </w:tcPr>
          <w:p w:rsidR="00885F88" w:rsidRDefault="003865F3" w:rsidP="00885F8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:rsidR="00885F88" w:rsidRDefault="00885F88" w:rsidP="00885F8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UKE</w:t>
            </w:r>
          </w:p>
        </w:tc>
        <w:tc>
          <w:tcPr>
            <w:tcW w:w="1843" w:type="dxa"/>
            <w:shd w:val="clear" w:color="auto" w:fill="auto"/>
          </w:tcPr>
          <w:p w:rsidR="00885F88" w:rsidRPr="00885F88" w:rsidRDefault="00885F88" w:rsidP="00885F8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§ 7 ust. 5</w:t>
            </w:r>
          </w:p>
        </w:tc>
        <w:tc>
          <w:tcPr>
            <w:tcW w:w="4678" w:type="dxa"/>
            <w:shd w:val="clear" w:color="auto" w:fill="auto"/>
          </w:tcPr>
          <w:p w:rsidR="00885F88" w:rsidRPr="00885F88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5F88">
              <w:rPr>
                <w:rFonts w:asciiTheme="minorHAnsi" w:hAnsiTheme="minorHAnsi" w:cstheme="minorHAnsi"/>
                <w:sz w:val="22"/>
                <w:szCs w:val="22"/>
              </w:rPr>
              <w:t>w odniesieniu do zapisu „pod warunkiem zapewnienia zasobów umożliwiających umieszczenie sieci telekomunikacyjnych przez innych operatorów telekomunikacyjnych” proponuje się rozważyć zasadność wskazania miejsca, w którym powinna zostać umieszczona sieć telekomunikacyjna, o której mowa w tym zapisie.</w:t>
            </w:r>
          </w:p>
        </w:tc>
        <w:tc>
          <w:tcPr>
            <w:tcW w:w="3969" w:type="dxa"/>
            <w:shd w:val="clear" w:color="auto" w:fill="auto"/>
          </w:tcPr>
          <w:p w:rsidR="00885F88" w:rsidRPr="009F261C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:rsidR="00885F88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3E"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nieaktualna</w:t>
            </w:r>
          </w:p>
          <w:p w:rsidR="00885F88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85F88" w:rsidRPr="009F261C" w:rsidRDefault="00885F88" w:rsidP="00885F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projektu skreślono przepisy dotyczące wydatków kwalifikowalnych.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F6674"/>
    <w:multiLevelType w:val="hybridMultilevel"/>
    <w:tmpl w:val="893C2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C619C"/>
    <w:multiLevelType w:val="hybridMultilevel"/>
    <w:tmpl w:val="D4FC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3364"/>
    <w:rsid w:val="00021923"/>
    <w:rsid w:val="00034258"/>
    <w:rsid w:val="0009133F"/>
    <w:rsid w:val="00095F8B"/>
    <w:rsid w:val="000A1748"/>
    <w:rsid w:val="000E2C1D"/>
    <w:rsid w:val="000F3B9A"/>
    <w:rsid w:val="00140BE8"/>
    <w:rsid w:val="00144377"/>
    <w:rsid w:val="00174FB5"/>
    <w:rsid w:val="00182934"/>
    <w:rsid w:val="0019648E"/>
    <w:rsid w:val="001A1952"/>
    <w:rsid w:val="001D01E7"/>
    <w:rsid w:val="002203F9"/>
    <w:rsid w:val="002642E0"/>
    <w:rsid w:val="002715B2"/>
    <w:rsid w:val="00272405"/>
    <w:rsid w:val="00275172"/>
    <w:rsid w:val="002E3D5A"/>
    <w:rsid w:val="002E7886"/>
    <w:rsid w:val="002F20F5"/>
    <w:rsid w:val="00307BC0"/>
    <w:rsid w:val="003124D1"/>
    <w:rsid w:val="00336013"/>
    <w:rsid w:val="00347BFB"/>
    <w:rsid w:val="003865F3"/>
    <w:rsid w:val="003A62E0"/>
    <w:rsid w:val="003B4105"/>
    <w:rsid w:val="003E5FE3"/>
    <w:rsid w:val="004570F3"/>
    <w:rsid w:val="00457751"/>
    <w:rsid w:val="004A17EA"/>
    <w:rsid w:val="004D086F"/>
    <w:rsid w:val="004D52BE"/>
    <w:rsid w:val="00561018"/>
    <w:rsid w:val="0056284E"/>
    <w:rsid w:val="005A6C8C"/>
    <w:rsid w:val="005B424F"/>
    <w:rsid w:val="005E7804"/>
    <w:rsid w:val="005F6527"/>
    <w:rsid w:val="00645C6B"/>
    <w:rsid w:val="006705EC"/>
    <w:rsid w:val="006779C0"/>
    <w:rsid w:val="006C5D42"/>
    <w:rsid w:val="006C65EB"/>
    <w:rsid w:val="006D317F"/>
    <w:rsid w:val="006E16E9"/>
    <w:rsid w:val="00710A8A"/>
    <w:rsid w:val="00743584"/>
    <w:rsid w:val="0079134B"/>
    <w:rsid w:val="007A2F35"/>
    <w:rsid w:val="007F03A5"/>
    <w:rsid w:val="00807385"/>
    <w:rsid w:val="0084080C"/>
    <w:rsid w:val="0085150F"/>
    <w:rsid w:val="00885F88"/>
    <w:rsid w:val="008A3D6E"/>
    <w:rsid w:val="008D25BF"/>
    <w:rsid w:val="008E6BEA"/>
    <w:rsid w:val="008F73D4"/>
    <w:rsid w:val="00933538"/>
    <w:rsid w:val="009377C0"/>
    <w:rsid w:val="00944932"/>
    <w:rsid w:val="009464AD"/>
    <w:rsid w:val="00960749"/>
    <w:rsid w:val="009A0BFD"/>
    <w:rsid w:val="009A4CF3"/>
    <w:rsid w:val="009E5FDB"/>
    <w:rsid w:val="009F261C"/>
    <w:rsid w:val="00A06425"/>
    <w:rsid w:val="00A81209"/>
    <w:rsid w:val="00A9703E"/>
    <w:rsid w:val="00AC20D5"/>
    <w:rsid w:val="00AC7796"/>
    <w:rsid w:val="00B5050D"/>
    <w:rsid w:val="00B871B6"/>
    <w:rsid w:val="00BA0887"/>
    <w:rsid w:val="00BD5B6B"/>
    <w:rsid w:val="00BE6311"/>
    <w:rsid w:val="00C371D8"/>
    <w:rsid w:val="00C462B2"/>
    <w:rsid w:val="00C553F4"/>
    <w:rsid w:val="00C620D8"/>
    <w:rsid w:val="00C64252"/>
    <w:rsid w:val="00C64778"/>
    <w:rsid w:val="00C64B1B"/>
    <w:rsid w:val="00C8676F"/>
    <w:rsid w:val="00CB108E"/>
    <w:rsid w:val="00CD5EB0"/>
    <w:rsid w:val="00CE2808"/>
    <w:rsid w:val="00D03503"/>
    <w:rsid w:val="00D706DA"/>
    <w:rsid w:val="00D70AFE"/>
    <w:rsid w:val="00DA2542"/>
    <w:rsid w:val="00DB2064"/>
    <w:rsid w:val="00E14C33"/>
    <w:rsid w:val="00E3279A"/>
    <w:rsid w:val="00E450CB"/>
    <w:rsid w:val="00E45CBA"/>
    <w:rsid w:val="00E61728"/>
    <w:rsid w:val="00E8192C"/>
    <w:rsid w:val="00F075CF"/>
    <w:rsid w:val="00F231EB"/>
    <w:rsid w:val="00F629CD"/>
    <w:rsid w:val="00FE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3C9AC7-E2F6-47A4-8D14-8BCC6497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3B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0F3B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ekstkomentarza">
    <w:name w:val="annotation text"/>
    <w:basedOn w:val="Normalny"/>
    <w:link w:val="TekstkomentarzaZnak"/>
    <w:semiHidden/>
    <w:unhideWhenUsed/>
    <w:rsid w:val="00C647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64778"/>
  </w:style>
  <w:style w:type="character" w:styleId="Odwoaniedokomentarza">
    <w:name w:val="annotation reference"/>
    <w:basedOn w:val="Domylnaczcionkaakapitu"/>
    <w:uiPriority w:val="99"/>
    <w:semiHidden/>
    <w:rsid w:val="00C64778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C64778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075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075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6EB49-FF92-4C67-A0C8-B994E190C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688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Grochowska Agnieszka</cp:lastModifiedBy>
  <cp:revision>2</cp:revision>
  <dcterms:created xsi:type="dcterms:W3CDTF">2023-01-24T08:56:00Z</dcterms:created>
  <dcterms:modified xsi:type="dcterms:W3CDTF">2023-01-24T08:56:00Z</dcterms:modified>
</cp:coreProperties>
</file>