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F9D0F" w14:textId="19D4EB88" w:rsidR="006712FE" w:rsidRPr="0092791C" w:rsidRDefault="006712FE" w:rsidP="0092791C">
      <w:pPr>
        <w:pStyle w:val="Nagwek1"/>
      </w:pPr>
      <w:r w:rsidRPr="0092791C">
        <w:t>PROGRAM PRIORYTETOWY</w:t>
      </w:r>
    </w:p>
    <w:p w14:paraId="21093685" w14:textId="77777777" w:rsidR="00A333EB" w:rsidRPr="00D07A00" w:rsidRDefault="00A333EB" w:rsidP="002147E8">
      <w:pPr>
        <w:rPr>
          <w:rFonts w:asciiTheme="minorHAnsi" w:hAnsiTheme="minorHAnsi" w:cstheme="minorHAnsi"/>
          <w:b/>
          <w:sz w:val="22"/>
          <w:szCs w:val="22"/>
        </w:rPr>
      </w:pPr>
    </w:p>
    <w:p w14:paraId="797D5FB5" w14:textId="59D2DC4F" w:rsidR="00824A92" w:rsidRPr="00D07A00" w:rsidRDefault="00EF2200" w:rsidP="002147E8">
      <w:pPr>
        <w:rPr>
          <w:rFonts w:asciiTheme="minorHAnsi" w:hAnsiTheme="minorHAnsi" w:cstheme="minorHAnsi"/>
          <w:sz w:val="22"/>
          <w:szCs w:val="22"/>
        </w:rPr>
      </w:pPr>
      <w:r w:rsidRPr="00D07A00">
        <w:rPr>
          <w:rFonts w:asciiTheme="minorHAnsi" w:hAnsiTheme="minorHAnsi" w:cstheme="minorHAnsi"/>
          <w:b/>
          <w:sz w:val="22"/>
          <w:szCs w:val="22"/>
        </w:rPr>
        <w:t xml:space="preserve">Tytuł programu: </w:t>
      </w:r>
      <w:r w:rsidR="00FA0C69" w:rsidRPr="00D07A00">
        <w:rPr>
          <w:rFonts w:asciiTheme="minorHAnsi" w:hAnsiTheme="minorHAnsi" w:cstheme="minorHAnsi"/>
          <w:sz w:val="22"/>
          <w:szCs w:val="22"/>
        </w:rPr>
        <w:t>Efektywność energetyczna i OZE w przedsiębiorstwach – inwestycje o największym potencjale redukcji gazów cieplarnianych</w:t>
      </w:r>
    </w:p>
    <w:p w14:paraId="59CDA953" w14:textId="77777777" w:rsidR="00692275" w:rsidRPr="00D07A00" w:rsidRDefault="00527CCB" w:rsidP="00FA0C69">
      <w:pPr>
        <w:pStyle w:val="Akapitzlist"/>
        <w:numPr>
          <w:ilvl w:val="0"/>
          <w:numId w:val="2"/>
        </w:numPr>
        <w:tabs>
          <w:tab w:val="left" w:pos="284"/>
        </w:tabs>
        <w:autoSpaceDE w:val="0"/>
        <w:autoSpaceDN w:val="0"/>
        <w:adjustRightInd w:val="0"/>
        <w:spacing w:before="240"/>
        <w:ind w:left="0" w:firstLine="0"/>
        <w:contextualSpacing w:val="0"/>
        <w:jc w:val="both"/>
        <w:rPr>
          <w:rFonts w:asciiTheme="minorHAnsi" w:hAnsiTheme="minorHAnsi" w:cstheme="minorHAnsi"/>
          <w:b/>
          <w:sz w:val="22"/>
          <w:szCs w:val="22"/>
        </w:rPr>
      </w:pPr>
      <w:r w:rsidRPr="00D07A00">
        <w:rPr>
          <w:rFonts w:asciiTheme="minorHAnsi" w:hAnsiTheme="minorHAnsi" w:cstheme="minorHAnsi"/>
          <w:b/>
          <w:sz w:val="22"/>
          <w:szCs w:val="22"/>
        </w:rPr>
        <w:t>Cel programu</w:t>
      </w:r>
    </w:p>
    <w:p w14:paraId="41E5B7AF" w14:textId="49512126" w:rsidR="000343DD" w:rsidRPr="00D07A00" w:rsidRDefault="00D60EE6" w:rsidP="002147E8">
      <w:pPr>
        <w:pStyle w:val="Akapitzlist"/>
        <w:tabs>
          <w:tab w:val="left" w:pos="284"/>
        </w:tabs>
        <w:autoSpaceDE w:val="0"/>
        <w:autoSpaceDN w:val="0"/>
        <w:adjustRightInd w:val="0"/>
        <w:spacing w:before="120"/>
        <w:ind w:left="284"/>
        <w:contextualSpacing w:val="0"/>
        <w:rPr>
          <w:rFonts w:asciiTheme="minorHAnsi" w:hAnsiTheme="minorHAnsi" w:cstheme="minorHAnsi"/>
          <w:b/>
          <w:sz w:val="22"/>
          <w:szCs w:val="22"/>
        </w:rPr>
      </w:pPr>
      <w:r>
        <w:rPr>
          <w:rFonts w:asciiTheme="minorHAnsi" w:hAnsiTheme="minorHAnsi" w:cstheme="minorHAnsi"/>
          <w:sz w:val="22"/>
          <w:szCs w:val="22"/>
        </w:rPr>
        <w:t>Celem programu jest o</w:t>
      </w:r>
      <w:r w:rsidR="00FA0C69" w:rsidRPr="00D07A00">
        <w:rPr>
          <w:rFonts w:asciiTheme="minorHAnsi" w:hAnsiTheme="minorHAnsi" w:cstheme="minorHAnsi"/>
          <w:sz w:val="22"/>
          <w:szCs w:val="22"/>
        </w:rPr>
        <w:t>graniczenie</w:t>
      </w:r>
      <w:r w:rsidR="00193FAD">
        <w:rPr>
          <w:rFonts w:asciiTheme="minorHAnsi" w:hAnsiTheme="minorHAnsi" w:cstheme="minorHAnsi"/>
          <w:sz w:val="22"/>
          <w:szCs w:val="22"/>
        </w:rPr>
        <w:t xml:space="preserve"> </w:t>
      </w:r>
      <w:r w:rsidR="00FA0C69" w:rsidRPr="00D07A00">
        <w:rPr>
          <w:rFonts w:asciiTheme="minorHAnsi" w:hAnsiTheme="minorHAnsi" w:cstheme="minorHAnsi"/>
          <w:sz w:val="22"/>
          <w:szCs w:val="22"/>
        </w:rPr>
        <w:t>konsumpcji energii końcowej oraz redukcja emisji gazów cieplarnianych poprzez inwestycje dotyczące efektywności energetycznej oraz odnawialnych źródeł energii w</w:t>
      </w:r>
      <w:r>
        <w:rPr>
          <w:rFonts w:asciiTheme="minorHAnsi" w:hAnsiTheme="minorHAnsi" w:cstheme="minorHAnsi"/>
          <w:sz w:val="22"/>
          <w:szCs w:val="22"/>
        </w:rPr>
        <w:t xml:space="preserve"> </w:t>
      </w:r>
      <w:r w:rsidR="00FA0C69" w:rsidRPr="00D07A00">
        <w:rPr>
          <w:rFonts w:asciiTheme="minorHAnsi" w:hAnsiTheme="minorHAnsi" w:cstheme="minorHAnsi"/>
          <w:sz w:val="22"/>
          <w:szCs w:val="22"/>
        </w:rPr>
        <w:t>przedsiębiorstwach.</w:t>
      </w:r>
      <w:r>
        <w:rPr>
          <w:rFonts w:asciiTheme="minorHAnsi" w:hAnsiTheme="minorHAnsi" w:cstheme="minorHAnsi"/>
          <w:sz w:val="22"/>
          <w:szCs w:val="22"/>
        </w:rPr>
        <w:t xml:space="preserve"> </w:t>
      </w:r>
      <w:r w:rsidRPr="00D60EE6">
        <w:rPr>
          <w:rFonts w:asciiTheme="minorHAnsi" w:hAnsiTheme="minorHAnsi" w:cstheme="minorHAnsi"/>
          <w:sz w:val="22"/>
          <w:szCs w:val="22"/>
        </w:rPr>
        <w:t>Program przyczyni się do</w:t>
      </w:r>
      <w:r>
        <w:rPr>
          <w:rFonts w:asciiTheme="minorHAnsi" w:hAnsiTheme="minorHAnsi" w:cstheme="minorHAnsi"/>
          <w:sz w:val="22"/>
          <w:szCs w:val="22"/>
        </w:rPr>
        <w:t xml:space="preserve"> </w:t>
      </w:r>
      <w:r w:rsidRPr="00D60EE6">
        <w:rPr>
          <w:rFonts w:asciiTheme="minorHAnsi" w:hAnsiTheme="minorHAnsi" w:cstheme="minorHAnsi"/>
          <w:sz w:val="22"/>
          <w:szCs w:val="22"/>
        </w:rPr>
        <w:t>osiągnięcia celów ramowych określonych w działaniu B</w:t>
      </w:r>
      <w:r>
        <w:rPr>
          <w:rFonts w:asciiTheme="minorHAnsi" w:hAnsiTheme="minorHAnsi" w:cstheme="minorHAnsi"/>
          <w:sz w:val="22"/>
          <w:szCs w:val="22"/>
        </w:rPr>
        <w:t>1</w:t>
      </w:r>
      <w:r w:rsidRPr="00D60EE6">
        <w:rPr>
          <w:rFonts w:asciiTheme="minorHAnsi" w:hAnsiTheme="minorHAnsi" w:cstheme="minorHAnsi"/>
          <w:sz w:val="22"/>
          <w:szCs w:val="22"/>
        </w:rPr>
        <w:t>.</w:t>
      </w:r>
      <w:r>
        <w:rPr>
          <w:rFonts w:asciiTheme="minorHAnsi" w:hAnsiTheme="minorHAnsi" w:cstheme="minorHAnsi"/>
          <w:sz w:val="22"/>
          <w:szCs w:val="22"/>
        </w:rPr>
        <w:t>2</w:t>
      </w:r>
      <w:r w:rsidRPr="00D60EE6">
        <w:rPr>
          <w:rFonts w:asciiTheme="minorHAnsi" w:hAnsiTheme="minorHAnsi" w:cstheme="minorHAnsi"/>
          <w:sz w:val="22"/>
          <w:szCs w:val="22"/>
        </w:rPr>
        <w:t>.1 w Krajowym Planie Odbudowy i</w:t>
      </w:r>
      <w:r>
        <w:rPr>
          <w:rFonts w:asciiTheme="minorHAnsi" w:hAnsiTheme="minorHAnsi" w:cstheme="minorHAnsi"/>
          <w:sz w:val="22"/>
          <w:szCs w:val="22"/>
        </w:rPr>
        <w:t xml:space="preserve"> </w:t>
      </w:r>
      <w:r w:rsidRPr="00D60EE6">
        <w:rPr>
          <w:rFonts w:asciiTheme="minorHAnsi" w:hAnsiTheme="minorHAnsi" w:cstheme="minorHAnsi"/>
          <w:sz w:val="22"/>
          <w:szCs w:val="22"/>
        </w:rPr>
        <w:t>Zwiększania Odporności (KPO).</w:t>
      </w:r>
    </w:p>
    <w:p w14:paraId="24C488F2" w14:textId="77777777" w:rsidR="00186184" w:rsidRPr="006162C3" w:rsidRDefault="00E25072" w:rsidP="0038786E">
      <w:pPr>
        <w:pStyle w:val="Akapitzlist"/>
        <w:numPr>
          <w:ilvl w:val="0"/>
          <w:numId w:val="2"/>
        </w:numPr>
        <w:tabs>
          <w:tab w:val="left" w:pos="284"/>
        </w:tabs>
        <w:spacing w:before="120"/>
        <w:ind w:left="0" w:firstLine="0"/>
        <w:contextualSpacing w:val="0"/>
        <w:jc w:val="both"/>
        <w:rPr>
          <w:rFonts w:asciiTheme="minorHAnsi" w:hAnsiTheme="minorHAnsi" w:cstheme="minorHAnsi"/>
          <w:b/>
          <w:sz w:val="22"/>
          <w:szCs w:val="22"/>
        </w:rPr>
      </w:pPr>
      <w:r w:rsidRPr="006162C3">
        <w:rPr>
          <w:rFonts w:asciiTheme="minorHAnsi" w:hAnsiTheme="minorHAnsi" w:cstheme="minorHAnsi"/>
          <w:b/>
          <w:sz w:val="22"/>
          <w:szCs w:val="22"/>
        </w:rPr>
        <w:t>Wskaźnik</w:t>
      </w:r>
      <w:r w:rsidR="00B64715" w:rsidRPr="006162C3">
        <w:rPr>
          <w:rFonts w:asciiTheme="minorHAnsi" w:hAnsiTheme="minorHAnsi" w:cstheme="minorHAnsi"/>
          <w:b/>
          <w:sz w:val="22"/>
          <w:szCs w:val="22"/>
        </w:rPr>
        <w:t xml:space="preserve"> osiągnięcia celu </w:t>
      </w:r>
    </w:p>
    <w:p w14:paraId="5DC2E144" w14:textId="520BDE33" w:rsidR="006162C3" w:rsidRPr="006162C3" w:rsidRDefault="006162C3" w:rsidP="002147E8">
      <w:pPr>
        <w:pStyle w:val="Akapitzlist"/>
        <w:numPr>
          <w:ilvl w:val="0"/>
          <w:numId w:val="14"/>
        </w:numPr>
        <w:tabs>
          <w:tab w:val="left" w:pos="284"/>
        </w:tabs>
        <w:spacing w:before="120"/>
        <w:ind w:left="1003" w:hanging="357"/>
        <w:contextualSpacing w:val="0"/>
        <w:rPr>
          <w:rFonts w:asciiTheme="minorHAnsi" w:hAnsiTheme="minorHAnsi" w:cstheme="minorHAnsi"/>
          <w:sz w:val="22"/>
          <w:szCs w:val="22"/>
        </w:rPr>
      </w:pPr>
      <w:r w:rsidRPr="006162C3">
        <w:rPr>
          <w:rFonts w:asciiTheme="minorHAnsi" w:hAnsiTheme="minorHAnsi" w:cstheme="minorHAnsi"/>
          <w:sz w:val="22"/>
          <w:szCs w:val="22"/>
        </w:rPr>
        <w:t>Liczba przedsiębiorstw otrzymujących wsparcie – planowana wartość wskaźnika osiągnięcia celu wynosi co najmniej 43 szt., w tym:</w:t>
      </w:r>
    </w:p>
    <w:p w14:paraId="60E047ED" w14:textId="71451CF7" w:rsidR="006162C3" w:rsidRPr="006162C3" w:rsidRDefault="006162C3" w:rsidP="002147E8">
      <w:pPr>
        <w:pStyle w:val="Akapitzlist"/>
        <w:tabs>
          <w:tab w:val="left" w:pos="284"/>
        </w:tabs>
        <w:spacing w:before="120"/>
        <w:ind w:left="1004"/>
        <w:rPr>
          <w:rFonts w:asciiTheme="minorHAnsi" w:hAnsiTheme="minorHAnsi" w:cstheme="minorHAnsi"/>
          <w:sz w:val="22"/>
          <w:szCs w:val="22"/>
        </w:rPr>
      </w:pPr>
      <w:r w:rsidRPr="006162C3">
        <w:rPr>
          <w:rFonts w:asciiTheme="minorHAnsi" w:hAnsiTheme="minorHAnsi" w:cstheme="minorHAnsi"/>
          <w:sz w:val="22"/>
          <w:szCs w:val="22"/>
        </w:rPr>
        <w:t>dla zwrotnych form dofinansowania – co najmniej</w:t>
      </w:r>
      <w:r w:rsidRPr="006162C3" w:rsidDel="004C0FE5">
        <w:rPr>
          <w:rFonts w:asciiTheme="minorHAnsi" w:hAnsiTheme="minorHAnsi" w:cstheme="minorHAnsi"/>
          <w:sz w:val="22"/>
          <w:szCs w:val="22"/>
        </w:rPr>
        <w:t xml:space="preserve"> </w:t>
      </w:r>
      <w:r w:rsidRPr="006162C3">
        <w:rPr>
          <w:rFonts w:asciiTheme="minorHAnsi" w:hAnsiTheme="minorHAnsi" w:cstheme="minorHAnsi"/>
          <w:sz w:val="22"/>
          <w:szCs w:val="22"/>
        </w:rPr>
        <w:t>43 szt.</w:t>
      </w:r>
      <w:r w:rsidRPr="006162C3" w:rsidDel="004C0FE5">
        <w:rPr>
          <w:rFonts w:asciiTheme="minorHAnsi" w:hAnsiTheme="minorHAnsi" w:cstheme="minorHAnsi"/>
          <w:sz w:val="22"/>
          <w:szCs w:val="22"/>
        </w:rPr>
        <w:t xml:space="preserve"> </w:t>
      </w:r>
    </w:p>
    <w:p w14:paraId="22C6739F" w14:textId="0E6E6A52" w:rsidR="00162B43" w:rsidRPr="006162C3" w:rsidRDefault="004C0FE5" w:rsidP="002147E8">
      <w:pPr>
        <w:pStyle w:val="Akapitzlist"/>
        <w:numPr>
          <w:ilvl w:val="0"/>
          <w:numId w:val="14"/>
        </w:numPr>
        <w:tabs>
          <w:tab w:val="left" w:pos="284"/>
        </w:tabs>
        <w:spacing w:before="60"/>
        <w:ind w:left="1003" w:hanging="357"/>
        <w:contextualSpacing w:val="0"/>
        <w:rPr>
          <w:rFonts w:asciiTheme="minorHAnsi" w:hAnsiTheme="minorHAnsi" w:cstheme="minorHAnsi"/>
          <w:sz w:val="22"/>
          <w:szCs w:val="22"/>
        </w:rPr>
      </w:pPr>
      <w:r w:rsidRPr="006162C3">
        <w:rPr>
          <w:rFonts w:asciiTheme="minorHAnsi" w:hAnsiTheme="minorHAnsi" w:cstheme="minorHAnsi"/>
          <w:sz w:val="22"/>
          <w:szCs w:val="22"/>
        </w:rPr>
        <w:t>Zmniejszenie emisji CO</w:t>
      </w:r>
      <w:r w:rsidRPr="006162C3">
        <w:rPr>
          <w:rFonts w:asciiTheme="minorHAnsi" w:hAnsiTheme="minorHAnsi" w:cstheme="minorHAnsi"/>
          <w:sz w:val="22"/>
          <w:szCs w:val="22"/>
          <w:vertAlign w:val="subscript"/>
        </w:rPr>
        <w:t>2</w:t>
      </w:r>
      <w:r w:rsidRPr="006162C3">
        <w:rPr>
          <w:rFonts w:asciiTheme="minorHAnsi" w:hAnsiTheme="minorHAnsi" w:cstheme="minorHAnsi"/>
          <w:sz w:val="22"/>
          <w:szCs w:val="22"/>
        </w:rPr>
        <w:t xml:space="preserve"> – planowana wartość wskaźnika osiągni</w:t>
      </w:r>
      <w:r w:rsidR="00512987" w:rsidRPr="006162C3">
        <w:rPr>
          <w:rFonts w:asciiTheme="minorHAnsi" w:hAnsiTheme="minorHAnsi" w:cstheme="minorHAnsi"/>
          <w:sz w:val="22"/>
          <w:szCs w:val="22"/>
        </w:rPr>
        <w:t>ęcia celu wynosi co</w:t>
      </w:r>
      <w:r w:rsidR="002147E8">
        <w:rPr>
          <w:rFonts w:asciiTheme="minorHAnsi" w:hAnsiTheme="minorHAnsi" w:cstheme="minorHAnsi"/>
          <w:sz w:val="22"/>
          <w:szCs w:val="22"/>
        </w:rPr>
        <w:t> </w:t>
      </w:r>
      <w:r w:rsidR="00512987" w:rsidRPr="006162C3">
        <w:rPr>
          <w:rFonts w:asciiTheme="minorHAnsi" w:hAnsiTheme="minorHAnsi" w:cstheme="minorHAnsi"/>
          <w:sz w:val="22"/>
          <w:szCs w:val="22"/>
        </w:rPr>
        <w:t xml:space="preserve">najmniej </w:t>
      </w:r>
      <w:r w:rsidR="006162C3">
        <w:rPr>
          <w:rFonts w:asciiTheme="minorHAnsi" w:hAnsiTheme="minorHAnsi" w:cstheme="minorHAnsi"/>
          <w:sz w:val="22"/>
          <w:szCs w:val="22"/>
        </w:rPr>
        <w:t>5</w:t>
      </w:r>
      <w:r w:rsidRPr="006162C3">
        <w:rPr>
          <w:rFonts w:asciiTheme="minorHAnsi" w:hAnsiTheme="minorHAnsi" w:cstheme="minorHAnsi"/>
          <w:sz w:val="22"/>
          <w:szCs w:val="22"/>
        </w:rPr>
        <w:t>0 000 Mg/rok</w:t>
      </w:r>
      <w:r w:rsidR="00162B43" w:rsidRPr="006162C3">
        <w:rPr>
          <w:rFonts w:asciiTheme="minorHAnsi" w:hAnsiTheme="minorHAnsi" w:cstheme="minorHAnsi"/>
          <w:sz w:val="22"/>
          <w:szCs w:val="22"/>
        </w:rPr>
        <w:t>, w tym:</w:t>
      </w:r>
    </w:p>
    <w:p w14:paraId="324E6E15" w14:textId="21934844" w:rsidR="00186184" w:rsidRPr="006162C3" w:rsidRDefault="00162B43" w:rsidP="002147E8">
      <w:pPr>
        <w:pStyle w:val="Akapitzlist"/>
        <w:tabs>
          <w:tab w:val="left" w:pos="284"/>
        </w:tabs>
        <w:spacing w:before="120"/>
        <w:ind w:left="1004"/>
        <w:rPr>
          <w:rFonts w:asciiTheme="minorHAnsi" w:hAnsiTheme="minorHAnsi" w:cstheme="minorHAnsi"/>
          <w:sz w:val="22"/>
          <w:szCs w:val="22"/>
        </w:rPr>
      </w:pPr>
      <w:r w:rsidRPr="006162C3">
        <w:rPr>
          <w:rFonts w:asciiTheme="minorHAnsi" w:hAnsiTheme="minorHAnsi" w:cstheme="minorHAnsi"/>
          <w:sz w:val="22"/>
          <w:szCs w:val="22"/>
        </w:rPr>
        <w:t>dla zwrotnych form dofinansowania – co najmniej</w:t>
      </w:r>
      <w:r w:rsidRPr="006162C3" w:rsidDel="004C0FE5">
        <w:rPr>
          <w:rFonts w:asciiTheme="minorHAnsi" w:hAnsiTheme="minorHAnsi" w:cstheme="minorHAnsi"/>
          <w:sz w:val="22"/>
          <w:szCs w:val="22"/>
        </w:rPr>
        <w:t xml:space="preserve"> </w:t>
      </w:r>
      <w:r w:rsidR="006162C3">
        <w:rPr>
          <w:rFonts w:asciiTheme="minorHAnsi" w:hAnsiTheme="minorHAnsi" w:cstheme="minorHAnsi"/>
          <w:sz w:val="22"/>
          <w:szCs w:val="22"/>
        </w:rPr>
        <w:t>5</w:t>
      </w:r>
      <w:r w:rsidRPr="006162C3">
        <w:rPr>
          <w:rFonts w:asciiTheme="minorHAnsi" w:hAnsiTheme="minorHAnsi" w:cstheme="minorHAnsi"/>
          <w:sz w:val="22"/>
          <w:szCs w:val="22"/>
        </w:rPr>
        <w:t>0 000 Mg/rok</w:t>
      </w:r>
      <w:r w:rsidRPr="006162C3" w:rsidDel="004C0FE5">
        <w:rPr>
          <w:rFonts w:asciiTheme="minorHAnsi" w:hAnsiTheme="minorHAnsi" w:cstheme="minorHAnsi"/>
          <w:sz w:val="22"/>
          <w:szCs w:val="22"/>
        </w:rPr>
        <w:t xml:space="preserve"> </w:t>
      </w:r>
    </w:p>
    <w:p w14:paraId="50CC90F7" w14:textId="415489A1" w:rsidR="00162B43" w:rsidRPr="006162C3" w:rsidRDefault="004B3F46" w:rsidP="002147E8">
      <w:pPr>
        <w:pStyle w:val="Akapitzlist"/>
        <w:numPr>
          <w:ilvl w:val="0"/>
          <w:numId w:val="14"/>
        </w:numPr>
        <w:tabs>
          <w:tab w:val="left" w:pos="284"/>
        </w:tabs>
        <w:spacing w:before="60"/>
        <w:ind w:left="1003" w:hanging="357"/>
        <w:contextualSpacing w:val="0"/>
        <w:rPr>
          <w:rFonts w:asciiTheme="minorHAnsi" w:hAnsiTheme="minorHAnsi" w:cstheme="minorHAnsi"/>
          <w:sz w:val="22"/>
          <w:szCs w:val="22"/>
        </w:rPr>
      </w:pPr>
      <w:r w:rsidRPr="006162C3">
        <w:rPr>
          <w:rFonts w:asciiTheme="minorHAnsi" w:hAnsiTheme="minorHAnsi" w:cstheme="minorHAnsi"/>
          <w:sz w:val="22"/>
          <w:szCs w:val="22"/>
        </w:rPr>
        <w:t xml:space="preserve">Ilość </w:t>
      </w:r>
      <w:r w:rsidR="00196C95" w:rsidRPr="006162C3">
        <w:rPr>
          <w:rFonts w:asciiTheme="minorHAnsi" w:hAnsiTheme="minorHAnsi" w:cstheme="minorHAnsi"/>
          <w:sz w:val="22"/>
          <w:szCs w:val="22"/>
        </w:rPr>
        <w:t xml:space="preserve">ograniczenia emisji pyłów o średnicy w przedziale 2,5 - 10 mikrometra </w:t>
      </w:r>
      <w:r w:rsidR="00760E9E" w:rsidRPr="006162C3">
        <w:rPr>
          <w:rFonts w:asciiTheme="minorHAnsi" w:hAnsiTheme="minorHAnsi" w:cstheme="minorHAnsi"/>
          <w:sz w:val="22"/>
          <w:szCs w:val="22"/>
        </w:rPr>
        <w:t xml:space="preserve">– planowana wartość wskaźnika osiągnięcia celu wynosi co najmniej </w:t>
      </w:r>
      <w:r w:rsidR="00196C95" w:rsidRPr="006162C3">
        <w:rPr>
          <w:rFonts w:asciiTheme="minorHAnsi" w:hAnsiTheme="minorHAnsi" w:cstheme="minorHAnsi"/>
          <w:sz w:val="22"/>
          <w:szCs w:val="22"/>
        </w:rPr>
        <w:t>1 500 kg</w:t>
      </w:r>
      <w:r w:rsidR="00760E9E" w:rsidRPr="006162C3">
        <w:rPr>
          <w:rFonts w:asciiTheme="minorHAnsi" w:hAnsiTheme="minorHAnsi" w:cstheme="minorHAnsi"/>
          <w:sz w:val="22"/>
          <w:szCs w:val="22"/>
        </w:rPr>
        <w:t>/rok</w:t>
      </w:r>
      <w:r w:rsidR="00162B43" w:rsidRPr="006162C3">
        <w:rPr>
          <w:rFonts w:asciiTheme="minorHAnsi" w:hAnsiTheme="minorHAnsi" w:cstheme="minorHAnsi"/>
          <w:sz w:val="22"/>
          <w:szCs w:val="22"/>
        </w:rPr>
        <w:t>, w tym:</w:t>
      </w:r>
    </w:p>
    <w:p w14:paraId="52E24552" w14:textId="3F29A111" w:rsidR="004B3F46" w:rsidRPr="00196C95" w:rsidRDefault="00162B43" w:rsidP="002147E8">
      <w:pPr>
        <w:pStyle w:val="Akapitzlist"/>
        <w:tabs>
          <w:tab w:val="left" w:pos="284"/>
        </w:tabs>
        <w:ind w:left="1004"/>
        <w:rPr>
          <w:rFonts w:asciiTheme="minorHAnsi" w:hAnsiTheme="minorHAnsi" w:cstheme="minorHAnsi"/>
          <w:sz w:val="22"/>
          <w:szCs w:val="22"/>
        </w:rPr>
      </w:pPr>
      <w:r w:rsidRPr="00196C95">
        <w:rPr>
          <w:rFonts w:asciiTheme="minorHAnsi" w:hAnsiTheme="minorHAnsi" w:cstheme="minorHAnsi"/>
          <w:sz w:val="22"/>
          <w:szCs w:val="22"/>
        </w:rPr>
        <w:t xml:space="preserve">dla zwrotnych form dofinansowania – co najmniej </w:t>
      </w:r>
      <w:r w:rsidR="00196C95" w:rsidRPr="00196C95">
        <w:rPr>
          <w:rFonts w:asciiTheme="minorHAnsi" w:hAnsiTheme="minorHAnsi" w:cstheme="minorHAnsi"/>
          <w:sz w:val="22"/>
          <w:szCs w:val="22"/>
        </w:rPr>
        <w:t>1 500 kg/rok</w:t>
      </w:r>
    </w:p>
    <w:p w14:paraId="1910E966" w14:textId="5FDC233E" w:rsidR="00196C95" w:rsidRPr="0064645F" w:rsidRDefault="000043D2" w:rsidP="002147E8">
      <w:pPr>
        <w:pStyle w:val="Akapitzlist"/>
        <w:numPr>
          <w:ilvl w:val="0"/>
          <w:numId w:val="14"/>
        </w:numPr>
        <w:tabs>
          <w:tab w:val="left" w:pos="284"/>
        </w:tabs>
        <w:spacing w:before="60"/>
        <w:ind w:left="1003" w:hanging="357"/>
        <w:contextualSpacing w:val="0"/>
        <w:rPr>
          <w:rFonts w:asciiTheme="minorHAnsi" w:hAnsiTheme="minorHAnsi" w:cstheme="minorHAnsi"/>
          <w:sz w:val="22"/>
          <w:szCs w:val="22"/>
        </w:rPr>
      </w:pPr>
      <w:r w:rsidRPr="000043D2">
        <w:rPr>
          <w:rFonts w:asciiTheme="minorHAnsi" w:hAnsiTheme="minorHAnsi" w:cstheme="minorHAnsi"/>
          <w:sz w:val="22"/>
          <w:szCs w:val="22"/>
        </w:rPr>
        <w:t>Zmniejszenie zużycia energii końcowej</w:t>
      </w:r>
      <w:r w:rsidR="00196C95" w:rsidRPr="00D07A00">
        <w:rPr>
          <w:rFonts w:asciiTheme="minorHAnsi" w:hAnsiTheme="minorHAnsi" w:cstheme="minorHAnsi"/>
          <w:sz w:val="22"/>
          <w:szCs w:val="22"/>
        </w:rPr>
        <w:t xml:space="preserve"> – planowana wartość wskaźnika osiągnięcia celu </w:t>
      </w:r>
      <w:r w:rsidR="00196C95" w:rsidRPr="0064645F">
        <w:rPr>
          <w:rFonts w:asciiTheme="minorHAnsi" w:hAnsiTheme="minorHAnsi" w:cstheme="minorHAnsi"/>
          <w:sz w:val="22"/>
          <w:szCs w:val="22"/>
        </w:rPr>
        <w:t>wynosi co najmniej 225 040 GJ/rok, w tym:</w:t>
      </w:r>
    </w:p>
    <w:p w14:paraId="1B9AB4A5" w14:textId="38D69E29" w:rsidR="00196C95" w:rsidRPr="0064645F" w:rsidRDefault="00196C95" w:rsidP="002147E8">
      <w:pPr>
        <w:pStyle w:val="Akapitzlist"/>
        <w:tabs>
          <w:tab w:val="left" w:pos="284"/>
        </w:tabs>
        <w:ind w:left="1004"/>
        <w:rPr>
          <w:rFonts w:asciiTheme="minorHAnsi" w:hAnsiTheme="minorHAnsi" w:cstheme="minorHAnsi"/>
          <w:sz w:val="22"/>
          <w:szCs w:val="22"/>
        </w:rPr>
      </w:pPr>
      <w:r w:rsidRPr="0064645F">
        <w:rPr>
          <w:rFonts w:asciiTheme="minorHAnsi" w:hAnsiTheme="minorHAnsi" w:cstheme="minorHAnsi"/>
          <w:sz w:val="22"/>
          <w:szCs w:val="22"/>
        </w:rPr>
        <w:t>dla zwrotnych form dofinansowania – co najmniej 225 040 GJ/rok</w:t>
      </w:r>
    </w:p>
    <w:p w14:paraId="64143682" w14:textId="77777777" w:rsidR="00EC2973" w:rsidRPr="0064645F" w:rsidRDefault="00E1289F" w:rsidP="00EF64FC">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cstheme="minorHAnsi"/>
          <w:sz w:val="22"/>
          <w:szCs w:val="22"/>
        </w:rPr>
      </w:pPr>
      <w:r w:rsidRPr="0064645F">
        <w:rPr>
          <w:rFonts w:asciiTheme="minorHAnsi" w:hAnsiTheme="minorHAnsi" w:cstheme="minorHAnsi"/>
          <w:b/>
          <w:sz w:val="22"/>
          <w:szCs w:val="22"/>
        </w:rPr>
        <w:t>Budżet</w:t>
      </w:r>
    </w:p>
    <w:p w14:paraId="35D8D61A" w14:textId="76F9E26D" w:rsidR="00C73347" w:rsidRPr="0064645F" w:rsidRDefault="00185EB9" w:rsidP="002147E8">
      <w:pPr>
        <w:pStyle w:val="Akapitzlist"/>
        <w:tabs>
          <w:tab w:val="left" w:pos="284"/>
        </w:tabs>
        <w:autoSpaceDE w:val="0"/>
        <w:autoSpaceDN w:val="0"/>
        <w:adjustRightInd w:val="0"/>
        <w:spacing w:before="120"/>
        <w:ind w:left="284"/>
        <w:contextualSpacing w:val="0"/>
        <w:rPr>
          <w:rFonts w:asciiTheme="minorHAnsi" w:hAnsiTheme="minorHAnsi" w:cstheme="minorHAnsi"/>
          <w:sz w:val="22"/>
          <w:szCs w:val="22"/>
        </w:rPr>
      </w:pPr>
      <w:r w:rsidRPr="0064645F">
        <w:rPr>
          <w:rFonts w:asciiTheme="minorHAnsi" w:hAnsiTheme="minorHAnsi" w:cstheme="minorHAnsi"/>
          <w:sz w:val="22"/>
          <w:szCs w:val="22"/>
        </w:rPr>
        <w:t xml:space="preserve">Budżet na realizację celu programu wynosi </w:t>
      </w:r>
      <w:r w:rsidR="00FA327D" w:rsidRPr="0064645F">
        <w:rPr>
          <w:rFonts w:asciiTheme="minorHAnsi" w:hAnsiTheme="minorHAnsi" w:cstheme="minorHAnsi"/>
          <w:sz w:val="22"/>
          <w:szCs w:val="22"/>
        </w:rPr>
        <w:t xml:space="preserve">do </w:t>
      </w:r>
      <w:r w:rsidR="004B1C43">
        <w:rPr>
          <w:rFonts w:asciiTheme="minorHAnsi" w:hAnsiTheme="minorHAnsi" w:cstheme="minorHAnsi"/>
          <w:sz w:val="22"/>
          <w:szCs w:val="22"/>
        </w:rPr>
        <w:t>1 340 190 </w:t>
      </w:r>
      <w:r w:rsidR="00C73347" w:rsidRPr="0064645F">
        <w:rPr>
          <w:rFonts w:asciiTheme="minorHAnsi" w:hAnsiTheme="minorHAnsi" w:cstheme="minorHAnsi"/>
          <w:sz w:val="22"/>
          <w:szCs w:val="22"/>
        </w:rPr>
        <w:t>tys. zł w tym:</w:t>
      </w:r>
    </w:p>
    <w:p w14:paraId="767C0C77" w14:textId="7163FF9B" w:rsidR="000F2A93" w:rsidRPr="0064645F" w:rsidRDefault="00185EB9" w:rsidP="002147E8">
      <w:pPr>
        <w:pStyle w:val="Akapitzlist"/>
        <w:numPr>
          <w:ilvl w:val="0"/>
          <w:numId w:val="15"/>
        </w:numPr>
        <w:tabs>
          <w:tab w:val="left" w:pos="284"/>
        </w:tabs>
        <w:autoSpaceDE w:val="0"/>
        <w:autoSpaceDN w:val="0"/>
        <w:adjustRightInd w:val="0"/>
        <w:ind w:left="511" w:hanging="227"/>
        <w:contextualSpacing w:val="0"/>
        <w:rPr>
          <w:rFonts w:asciiTheme="minorHAnsi" w:hAnsiTheme="minorHAnsi" w:cstheme="minorHAnsi"/>
          <w:sz w:val="22"/>
          <w:szCs w:val="22"/>
        </w:rPr>
      </w:pPr>
      <w:r w:rsidRPr="0064645F">
        <w:rPr>
          <w:rFonts w:asciiTheme="minorHAnsi" w:hAnsiTheme="minorHAnsi" w:cstheme="minorHAnsi"/>
          <w:sz w:val="22"/>
          <w:szCs w:val="22"/>
        </w:rPr>
        <w:t xml:space="preserve">dla zwrotnych form dofinansowania </w:t>
      </w:r>
      <w:r w:rsidR="00C73347" w:rsidRPr="0064645F">
        <w:rPr>
          <w:rFonts w:asciiTheme="minorHAnsi" w:hAnsiTheme="minorHAnsi" w:cstheme="minorHAnsi"/>
          <w:sz w:val="22"/>
          <w:szCs w:val="22"/>
        </w:rPr>
        <w:t xml:space="preserve">– </w:t>
      </w:r>
      <w:r w:rsidRPr="0064645F">
        <w:rPr>
          <w:rFonts w:asciiTheme="minorHAnsi" w:hAnsiTheme="minorHAnsi" w:cstheme="minorHAnsi"/>
          <w:sz w:val="22"/>
          <w:szCs w:val="22"/>
        </w:rPr>
        <w:t xml:space="preserve">do </w:t>
      </w:r>
      <w:r w:rsidR="004B1C43">
        <w:rPr>
          <w:rFonts w:asciiTheme="minorHAnsi" w:hAnsiTheme="minorHAnsi" w:cstheme="minorHAnsi"/>
          <w:sz w:val="22"/>
          <w:szCs w:val="22"/>
        </w:rPr>
        <w:t xml:space="preserve">1 340 190 </w:t>
      </w:r>
      <w:r w:rsidR="00C73347" w:rsidRPr="0064645F">
        <w:rPr>
          <w:rFonts w:asciiTheme="minorHAnsi" w:hAnsiTheme="minorHAnsi" w:cstheme="minorHAnsi"/>
          <w:sz w:val="22"/>
          <w:szCs w:val="22"/>
        </w:rPr>
        <w:t>tys. zł</w:t>
      </w:r>
    </w:p>
    <w:p w14:paraId="0FF71902" w14:textId="77777777" w:rsidR="00E1289F" w:rsidRPr="0064645F" w:rsidRDefault="00E1289F" w:rsidP="00EC2973">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cstheme="minorHAnsi"/>
          <w:sz w:val="22"/>
          <w:szCs w:val="22"/>
        </w:rPr>
      </w:pPr>
      <w:r w:rsidRPr="0064645F">
        <w:rPr>
          <w:rFonts w:asciiTheme="minorHAnsi" w:hAnsiTheme="minorHAnsi" w:cstheme="minorHAnsi"/>
          <w:b/>
          <w:sz w:val="22"/>
          <w:szCs w:val="22"/>
        </w:rPr>
        <w:t>Okres wdrażania</w:t>
      </w:r>
      <w:r w:rsidR="00006D28" w:rsidRPr="0064645F">
        <w:rPr>
          <w:rFonts w:asciiTheme="minorHAnsi" w:hAnsiTheme="minorHAnsi" w:cstheme="minorHAnsi"/>
          <w:b/>
          <w:sz w:val="22"/>
          <w:szCs w:val="22"/>
        </w:rPr>
        <w:t xml:space="preserve"> </w:t>
      </w:r>
    </w:p>
    <w:p w14:paraId="15872B3C" w14:textId="6ACA7179" w:rsidR="00625CA0" w:rsidRPr="0064645F" w:rsidRDefault="00E1289F" w:rsidP="002147E8">
      <w:pPr>
        <w:pStyle w:val="Akapitzlist"/>
        <w:tabs>
          <w:tab w:val="left" w:pos="284"/>
        </w:tabs>
        <w:autoSpaceDE w:val="0"/>
        <w:autoSpaceDN w:val="0"/>
        <w:adjustRightInd w:val="0"/>
        <w:spacing w:before="120"/>
        <w:ind w:left="0"/>
        <w:contextualSpacing w:val="0"/>
        <w:rPr>
          <w:rFonts w:asciiTheme="minorHAnsi" w:hAnsiTheme="minorHAnsi" w:cstheme="minorHAnsi"/>
          <w:sz w:val="22"/>
          <w:szCs w:val="22"/>
        </w:rPr>
      </w:pPr>
      <w:r w:rsidRPr="0064645F">
        <w:rPr>
          <w:rFonts w:asciiTheme="minorHAnsi" w:hAnsiTheme="minorHAnsi" w:cstheme="minorHAnsi"/>
          <w:b/>
          <w:sz w:val="22"/>
          <w:szCs w:val="22"/>
        </w:rPr>
        <w:tab/>
      </w:r>
      <w:r w:rsidR="00625CA0" w:rsidRPr="0064645F">
        <w:rPr>
          <w:rFonts w:asciiTheme="minorHAnsi" w:hAnsiTheme="minorHAnsi" w:cstheme="minorHAnsi"/>
          <w:sz w:val="22"/>
          <w:szCs w:val="22"/>
        </w:rPr>
        <w:t xml:space="preserve">Program realizowany będzie w latach </w:t>
      </w:r>
      <w:r w:rsidR="00625CA0" w:rsidRPr="0035626F">
        <w:rPr>
          <w:rFonts w:asciiTheme="minorHAnsi" w:hAnsiTheme="minorHAnsi" w:cstheme="minorHAnsi"/>
          <w:sz w:val="22"/>
          <w:szCs w:val="22"/>
        </w:rPr>
        <w:t>202</w:t>
      </w:r>
      <w:r w:rsidR="0064645F" w:rsidRPr="0035626F">
        <w:rPr>
          <w:rFonts w:asciiTheme="minorHAnsi" w:hAnsiTheme="minorHAnsi" w:cstheme="minorHAnsi"/>
          <w:sz w:val="22"/>
          <w:szCs w:val="22"/>
        </w:rPr>
        <w:t>4</w:t>
      </w:r>
      <w:r w:rsidR="00625CA0" w:rsidRPr="0035626F">
        <w:rPr>
          <w:rFonts w:asciiTheme="minorHAnsi" w:hAnsiTheme="minorHAnsi" w:cstheme="minorHAnsi"/>
          <w:sz w:val="22"/>
          <w:szCs w:val="22"/>
        </w:rPr>
        <w:t xml:space="preserve"> - 2030, przy</w:t>
      </w:r>
      <w:r w:rsidR="00625CA0" w:rsidRPr="0064645F">
        <w:rPr>
          <w:rFonts w:asciiTheme="minorHAnsi" w:hAnsiTheme="minorHAnsi" w:cstheme="minorHAnsi"/>
          <w:sz w:val="22"/>
          <w:szCs w:val="22"/>
        </w:rPr>
        <w:t xml:space="preserve"> czym: </w:t>
      </w:r>
    </w:p>
    <w:p w14:paraId="7D92578A" w14:textId="4A82669D" w:rsidR="00625CA0" w:rsidRPr="0064645F" w:rsidRDefault="00625CA0" w:rsidP="002147E8">
      <w:pPr>
        <w:pStyle w:val="Akapitzlist"/>
        <w:numPr>
          <w:ilvl w:val="0"/>
          <w:numId w:val="8"/>
        </w:numPr>
        <w:tabs>
          <w:tab w:val="left" w:pos="851"/>
        </w:tabs>
        <w:autoSpaceDE w:val="0"/>
        <w:autoSpaceDN w:val="0"/>
        <w:adjustRightInd w:val="0"/>
        <w:ind w:left="567" w:hanging="284"/>
        <w:contextualSpacing w:val="0"/>
        <w:rPr>
          <w:rFonts w:asciiTheme="minorHAnsi" w:hAnsiTheme="minorHAnsi" w:cstheme="minorHAnsi"/>
          <w:sz w:val="22"/>
          <w:szCs w:val="22"/>
        </w:rPr>
      </w:pPr>
      <w:r w:rsidRPr="0064645F">
        <w:rPr>
          <w:rFonts w:asciiTheme="minorHAnsi" w:hAnsiTheme="minorHAnsi" w:cstheme="minorHAnsi"/>
          <w:sz w:val="22"/>
          <w:szCs w:val="22"/>
        </w:rPr>
        <w:t xml:space="preserve">zobowiązania (rozumiane jako podpisywanie umów) podejmowane będą </w:t>
      </w:r>
      <w:r w:rsidR="000B5DC2">
        <w:rPr>
          <w:rFonts w:asciiTheme="minorHAnsi" w:hAnsiTheme="minorHAnsi" w:cstheme="minorHAnsi"/>
          <w:sz w:val="22"/>
          <w:szCs w:val="22"/>
        </w:rPr>
        <w:t xml:space="preserve">najpóźniej </w:t>
      </w:r>
      <w:r w:rsidRPr="0064645F">
        <w:rPr>
          <w:rFonts w:asciiTheme="minorHAnsi" w:hAnsiTheme="minorHAnsi" w:cstheme="minorHAnsi"/>
          <w:sz w:val="22"/>
          <w:szCs w:val="22"/>
        </w:rPr>
        <w:t xml:space="preserve">do </w:t>
      </w:r>
      <w:r w:rsidRPr="00ED0F8A">
        <w:rPr>
          <w:rFonts w:asciiTheme="minorHAnsi" w:hAnsiTheme="minorHAnsi" w:cstheme="minorHAnsi"/>
          <w:sz w:val="22"/>
          <w:szCs w:val="22"/>
        </w:rPr>
        <w:t>3</w:t>
      </w:r>
      <w:r w:rsidR="0096541B" w:rsidRPr="00ED0F8A">
        <w:rPr>
          <w:rFonts w:asciiTheme="minorHAnsi" w:hAnsiTheme="minorHAnsi" w:cstheme="minorHAnsi"/>
          <w:sz w:val="22"/>
          <w:szCs w:val="22"/>
        </w:rPr>
        <w:t>0</w:t>
      </w:r>
      <w:r w:rsidRPr="00ED0F8A">
        <w:rPr>
          <w:rFonts w:asciiTheme="minorHAnsi" w:hAnsiTheme="minorHAnsi" w:cstheme="minorHAnsi"/>
          <w:sz w:val="22"/>
          <w:szCs w:val="22"/>
        </w:rPr>
        <w:t>.</w:t>
      </w:r>
      <w:r w:rsidR="0096541B" w:rsidRPr="00ED0F8A">
        <w:rPr>
          <w:rFonts w:asciiTheme="minorHAnsi" w:hAnsiTheme="minorHAnsi" w:cstheme="minorHAnsi"/>
          <w:sz w:val="22"/>
          <w:szCs w:val="22"/>
        </w:rPr>
        <w:t>06</w:t>
      </w:r>
      <w:r w:rsidRPr="00ED0F8A">
        <w:rPr>
          <w:rFonts w:asciiTheme="minorHAnsi" w:hAnsiTheme="minorHAnsi" w:cstheme="minorHAnsi"/>
          <w:sz w:val="22"/>
          <w:szCs w:val="22"/>
        </w:rPr>
        <w:t>.202</w:t>
      </w:r>
      <w:r w:rsidR="0096541B" w:rsidRPr="00ED0F8A">
        <w:rPr>
          <w:rFonts w:asciiTheme="minorHAnsi" w:hAnsiTheme="minorHAnsi" w:cstheme="minorHAnsi"/>
          <w:sz w:val="22"/>
          <w:szCs w:val="22"/>
        </w:rPr>
        <w:t>6</w:t>
      </w:r>
      <w:r w:rsidRPr="00ED0F8A">
        <w:rPr>
          <w:rFonts w:asciiTheme="minorHAnsi" w:hAnsiTheme="minorHAnsi" w:cstheme="minorHAnsi"/>
          <w:sz w:val="22"/>
          <w:szCs w:val="22"/>
        </w:rPr>
        <w:t xml:space="preserve"> r.;</w:t>
      </w:r>
      <w:r w:rsidRPr="0064645F">
        <w:rPr>
          <w:rFonts w:asciiTheme="minorHAnsi" w:hAnsiTheme="minorHAnsi" w:cstheme="minorHAnsi"/>
          <w:sz w:val="22"/>
          <w:szCs w:val="22"/>
        </w:rPr>
        <w:t xml:space="preserve"> </w:t>
      </w:r>
    </w:p>
    <w:p w14:paraId="7235328E" w14:textId="77777777" w:rsidR="00625CA0" w:rsidRPr="0064645F" w:rsidRDefault="00625CA0" w:rsidP="002147E8">
      <w:pPr>
        <w:pStyle w:val="Akapitzlist"/>
        <w:numPr>
          <w:ilvl w:val="0"/>
          <w:numId w:val="8"/>
        </w:numPr>
        <w:tabs>
          <w:tab w:val="left" w:pos="851"/>
        </w:tabs>
        <w:autoSpaceDE w:val="0"/>
        <w:autoSpaceDN w:val="0"/>
        <w:adjustRightInd w:val="0"/>
        <w:ind w:left="567" w:hanging="284"/>
        <w:contextualSpacing w:val="0"/>
        <w:rPr>
          <w:rFonts w:asciiTheme="minorHAnsi" w:hAnsiTheme="minorHAnsi" w:cstheme="minorHAnsi"/>
          <w:sz w:val="22"/>
          <w:szCs w:val="22"/>
        </w:rPr>
      </w:pPr>
      <w:r w:rsidRPr="0064645F">
        <w:rPr>
          <w:rFonts w:asciiTheme="minorHAnsi" w:hAnsiTheme="minorHAnsi" w:cstheme="minorHAnsi"/>
          <w:sz w:val="22"/>
          <w:szCs w:val="22"/>
        </w:rPr>
        <w:t xml:space="preserve">środki wydatkowane będą do </w:t>
      </w:r>
      <w:r w:rsidRPr="00ED0F8A">
        <w:rPr>
          <w:rFonts w:asciiTheme="minorHAnsi" w:hAnsiTheme="minorHAnsi" w:cstheme="minorHAnsi"/>
          <w:sz w:val="22"/>
          <w:szCs w:val="22"/>
        </w:rPr>
        <w:t>31.12.2030 r.</w:t>
      </w:r>
    </w:p>
    <w:p w14:paraId="7DE1614D" w14:textId="77777777" w:rsidR="001742E2" w:rsidRPr="0064645F" w:rsidRDefault="00F5249F" w:rsidP="000A6A4E">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cstheme="minorHAnsi"/>
          <w:sz w:val="22"/>
          <w:szCs w:val="22"/>
        </w:rPr>
      </w:pPr>
      <w:r w:rsidRPr="0064645F">
        <w:rPr>
          <w:rFonts w:asciiTheme="minorHAnsi" w:hAnsiTheme="minorHAnsi" w:cstheme="minorHAnsi"/>
          <w:b/>
          <w:sz w:val="22"/>
          <w:szCs w:val="22"/>
        </w:rPr>
        <w:t xml:space="preserve">Terminy </w:t>
      </w:r>
      <w:r w:rsidR="00304B3F" w:rsidRPr="0064645F">
        <w:rPr>
          <w:rFonts w:asciiTheme="minorHAnsi" w:hAnsiTheme="minorHAnsi" w:cstheme="minorHAnsi"/>
          <w:b/>
          <w:sz w:val="22"/>
          <w:szCs w:val="22"/>
        </w:rPr>
        <w:t xml:space="preserve">i sposób </w:t>
      </w:r>
      <w:r w:rsidRPr="0064645F">
        <w:rPr>
          <w:rFonts w:asciiTheme="minorHAnsi" w:hAnsiTheme="minorHAnsi" w:cstheme="minorHAnsi"/>
          <w:b/>
          <w:sz w:val="22"/>
          <w:szCs w:val="22"/>
        </w:rPr>
        <w:t>składania wniosków</w:t>
      </w:r>
      <w:r w:rsidR="001742E2" w:rsidRPr="0064645F">
        <w:rPr>
          <w:rFonts w:asciiTheme="minorHAnsi" w:hAnsiTheme="minorHAnsi" w:cstheme="minorHAnsi"/>
          <w:b/>
          <w:sz w:val="22"/>
          <w:szCs w:val="22"/>
        </w:rPr>
        <w:t xml:space="preserve"> </w:t>
      </w:r>
    </w:p>
    <w:p w14:paraId="4A5EC095" w14:textId="77777777" w:rsidR="00E1289F" w:rsidRPr="0064645F" w:rsidRDefault="001742E2" w:rsidP="002147E8">
      <w:pPr>
        <w:pStyle w:val="Akapitzlist"/>
        <w:tabs>
          <w:tab w:val="left" w:pos="284"/>
        </w:tabs>
        <w:autoSpaceDE w:val="0"/>
        <w:autoSpaceDN w:val="0"/>
        <w:adjustRightInd w:val="0"/>
        <w:spacing w:before="120"/>
        <w:ind w:left="0"/>
        <w:contextualSpacing w:val="0"/>
        <w:rPr>
          <w:rFonts w:asciiTheme="minorHAnsi" w:hAnsiTheme="minorHAnsi" w:cstheme="minorHAnsi"/>
          <w:sz w:val="22"/>
          <w:szCs w:val="22"/>
        </w:rPr>
      </w:pPr>
      <w:r w:rsidRPr="0064645F">
        <w:rPr>
          <w:rFonts w:asciiTheme="minorHAnsi" w:hAnsiTheme="minorHAnsi" w:cstheme="minorHAnsi"/>
          <w:b/>
          <w:sz w:val="22"/>
          <w:szCs w:val="22"/>
        </w:rPr>
        <w:tab/>
      </w:r>
      <w:r w:rsidR="00A5246B" w:rsidRPr="0064645F">
        <w:rPr>
          <w:rFonts w:asciiTheme="minorHAnsi" w:hAnsiTheme="minorHAnsi" w:cstheme="minorHAnsi"/>
          <w:sz w:val="22"/>
          <w:szCs w:val="22"/>
        </w:rPr>
        <w:t>Nabór wniosków odbywa się trybie ciągłym.</w:t>
      </w:r>
    </w:p>
    <w:p w14:paraId="67C41F86" w14:textId="36827ECC" w:rsidR="00EC2973" w:rsidRPr="0064645F" w:rsidRDefault="00625CA0" w:rsidP="002147E8">
      <w:pPr>
        <w:pStyle w:val="Akapitzlist"/>
        <w:tabs>
          <w:tab w:val="left" w:pos="284"/>
        </w:tabs>
        <w:autoSpaceDE w:val="0"/>
        <w:autoSpaceDN w:val="0"/>
        <w:adjustRightInd w:val="0"/>
        <w:spacing w:before="120"/>
        <w:ind w:left="284"/>
      </w:pPr>
      <w:r w:rsidRPr="0064645F">
        <w:rPr>
          <w:rFonts w:asciiTheme="minorHAnsi" w:hAnsiTheme="minorHAnsi" w:cstheme="minorHAnsi"/>
          <w:sz w:val="22"/>
          <w:szCs w:val="22"/>
        </w:rPr>
        <w:t>Terminy, sposób składania i rozpatrywania wniosków określone zostaną odpowiednio w</w:t>
      </w:r>
      <w:r w:rsidR="002147E8">
        <w:rPr>
          <w:rFonts w:asciiTheme="minorHAnsi" w:hAnsiTheme="minorHAnsi" w:cstheme="minorHAnsi"/>
          <w:sz w:val="22"/>
          <w:szCs w:val="22"/>
        </w:rPr>
        <w:t> </w:t>
      </w:r>
      <w:r w:rsidRPr="0064645F">
        <w:rPr>
          <w:rFonts w:asciiTheme="minorHAnsi" w:hAnsiTheme="minorHAnsi" w:cstheme="minorHAnsi"/>
          <w:sz w:val="22"/>
          <w:szCs w:val="22"/>
        </w:rPr>
        <w:t>ogłoszeniu o</w:t>
      </w:r>
      <w:r w:rsidR="00D60EE6">
        <w:rPr>
          <w:rFonts w:asciiTheme="minorHAnsi" w:hAnsiTheme="minorHAnsi" w:cstheme="minorHAnsi"/>
          <w:sz w:val="22"/>
          <w:szCs w:val="22"/>
        </w:rPr>
        <w:t> </w:t>
      </w:r>
      <w:r w:rsidRPr="0064645F">
        <w:rPr>
          <w:rFonts w:asciiTheme="minorHAnsi" w:hAnsiTheme="minorHAnsi" w:cstheme="minorHAnsi"/>
          <w:sz w:val="22"/>
          <w:szCs w:val="22"/>
        </w:rPr>
        <w:t>naborze lub w regulaminie naboru, które zamieszczane będą na stronie internetowej NFOŚIGW.</w:t>
      </w:r>
    </w:p>
    <w:p w14:paraId="69FA4D2A" w14:textId="77777777" w:rsidR="00DA7CFB" w:rsidRPr="0064645F" w:rsidRDefault="00A50C64" w:rsidP="00EF64FC">
      <w:pPr>
        <w:pStyle w:val="Akapitzlist"/>
        <w:numPr>
          <w:ilvl w:val="0"/>
          <w:numId w:val="2"/>
        </w:numPr>
        <w:tabs>
          <w:tab w:val="left" w:pos="284"/>
        </w:tabs>
        <w:autoSpaceDE w:val="0"/>
        <w:autoSpaceDN w:val="0"/>
        <w:adjustRightInd w:val="0"/>
        <w:spacing w:before="120"/>
        <w:ind w:left="0" w:firstLine="0"/>
        <w:contextualSpacing w:val="0"/>
        <w:jc w:val="both"/>
        <w:rPr>
          <w:rFonts w:asciiTheme="minorHAnsi" w:hAnsiTheme="minorHAnsi" w:cstheme="minorHAnsi"/>
          <w:b/>
          <w:sz w:val="22"/>
          <w:szCs w:val="22"/>
        </w:rPr>
      </w:pPr>
      <w:r w:rsidRPr="0064645F">
        <w:rPr>
          <w:rFonts w:asciiTheme="minorHAnsi" w:hAnsiTheme="minorHAnsi" w:cstheme="minorHAnsi"/>
          <w:b/>
          <w:sz w:val="22"/>
          <w:szCs w:val="22"/>
        </w:rPr>
        <w:t>Koszty kwalifikowane</w:t>
      </w:r>
    </w:p>
    <w:p w14:paraId="426F3D44" w14:textId="468093CD" w:rsidR="00625CA0" w:rsidRPr="0064645F" w:rsidRDefault="0087112A" w:rsidP="002147E8">
      <w:pPr>
        <w:pStyle w:val="Akapitzlist"/>
        <w:numPr>
          <w:ilvl w:val="0"/>
          <w:numId w:val="9"/>
        </w:numPr>
        <w:spacing w:before="120"/>
        <w:ind w:left="568" w:hanging="284"/>
        <w:contextualSpacing w:val="0"/>
        <w:rPr>
          <w:rFonts w:asciiTheme="minorHAnsi" w:hAnsiTheme="minorHAnsi" w:cstheme="minorHAnsi"/>
          <w:sz w:val="22"/>
          <w:szCs w:val="22"/>
        </w:rPr>
      </w:pPr>
      <w:r w:rsidRPr="0064645F">
        <w:rPr>
          <w:rFonts w:asciiTheme="minorHAnsi" w:hAnsiTheme="minorHAnsi" w:cstheme="minorHAnsi"/>
          <w:sz w:val="22"/>
          <w:szCs w:val="22"/>
        </w:rPr>
        <w:t>O</w:t>
      </w:r>
      <w:r w:rsidR="00625CA0" w:rsidRPr="0064645F">
        <w:rPr>
          <w:rFonts w:asciiTheme="minorHAnsi" w:hAnsiTheme="minorHAnsi" w:cstheme="minorHAnsi"/>
          <w:sz w:val="22"/>
          <w:szCs w:val="22"/>
        </w:rPr>
        <w:t xml:space="preserve">kres kwalifikowalności kosztów </w:t>
      </w:r>
      <w:r w:rsidR="00625CA0" w:rsidRPr="00ED0F8A">
        <w:rPr>
          <w:rFonts w:asciiTheme="minorHAnsi" w:hAnsiTheme="minorHAnsi" w:cstheme="minorHAnsi"/>
          <w:sz w:val="22"/>
          <w:szCs w:val="22"/>
        </w:rPr>
        <w:t>od 01.01.202</w:t>
      </w:r>
      <w:r w:rsidR="0064645F" w:rsidRPr="00ED0F8A">
        <w:rPr>
          <w:rFonts w:asciiTheme="minorHAnsi" w:hAnsiTheme="minorHAnsi" w:cstheme="minorHAnsi"/>
          <w:sz w:val="22"/>
          <w:szCs w:val="22"/>
        </w:rPr>
        <w:t>1</w:t>
      </w:r>
      <w:r w:rsidR="00625CA0" w:rsidRPr="00ED0F8A">
        <w:rPr>
          <w:rFonts w:asciiTheme="minorHAnsi" w:hAnsiTheme="minorHAnsi" w:cstheme="minorHAnsi"/>
          <w:sz w:val="22"/>
          <w:szCs w:val="22"/>
        </w:rPr>
        <w:t xml:space="preserve"> r. do 3</w:t>
      </w:r>
      <w:r w:rsidRPr="00ED0F8A">
        <w:rPr>
          <w:rFonts w:asciiTheme="minorHAnsi" w:hAnsiTheme="minorHAnsi" w:cstheme="minorHAnsi"/>
          <w:sz w:val="22"/>
          <w:szCs w:val="22"/>
        </w:rPr>
        <w:t>0</w:t>
      </w:r>
      <w:r w:rsidR="00625CA0" w:rsidRPr="00ED0F8A">
        <w:rPr>
          <w:rFonts w:asciiTheme="minorHAnsi" w:hAnsiTheme="minorHAnsi" w:cstheme="minorHAnsi"/>
          <w:sz w:val="22"/>
          <w:szCs w:val="22"/>
        </w:rPr>
        <w:t>.</w:t>
      </w:r>
      <w:r w:rsidRPr="00ED0F8A">
        <w:rPr>
          <w:rFonts w:asciiTheme="minorHAnsi" w:hAnsiTheme="minorHAnsi" w:cstheme="minorHAnsi"/>
          <w:sz w:val="22"/>
          <w:szCs w:val="22"/>
        </w:rPr>
        <w:t>09</w:t>
      </w:r>
      <w:r w:rsidR="00625CA0" w:rsidRPr="00ED0F8A">
        <w:rPr>
          <w:rFonts w:asciiTheme="minorHAnsi" w:hAnsiTheme="minorHAnsi" w:cstheme="minorHAnsi"/>
          <w:sz w:val="22"/>
          <w:szCs w:val="22"/>
        </w:rPr>
        <w:t>.2030 r., w</w:t>
      </w:r>
      <w:r w:rsidR="00625CA0" w:rsidRPr="0064645F">
        <w:rPr>
          <w:rFonts w:asciiTheme="minorHAnsi" w:hAnsiTheme="minorHAnsi" w:cstheme="minorHAnsi"/>
          <w:sz w:val="22"/>
          <w:szCs w:val="22"/>
        </w:rPr>
        <w:t xml:space="preserve"> którym to poniesione koszty mogą być uznane za kwalifikowane; </w:t>
      </w:r>
    </w:p>
    <w:p w14:paraId="408E40F4" w14:textId="1CF8F8A9" w:rsidR="00EC2973" w:rsidRPr="0064645F" w:rsidRDefault="0087112A" w:rsidP="002147E8">
      <w:pPr>
        <w:pStyle w:val="Akapitzlist"/>
        <w:numPr>
          <w:ilvl w:val="0"/>
          <w:numId w:val="9"/>
        </w:numPr>
        <w:autoSpaceDE w:val="0"/>
        <w:autoSpaceDN w:val="0"/>
        <w:adjustRightInd w:val="0"/>
        <w:spacing w:before="120"/>
        <w:ind w:left="568" w:hanging="284"/>
        <w:contextualSpacing w:val="0"/>
        <w:rPr>
          <w:rFonts w:asciiTheme="minorHAnsi" w:hAnsiTheme="minorHAnsi" w:cstheme="minorHAnsi"/>
          <w:sz w:val="22"/>
          <w:szCs w:val="22"/>
        </w:rPr>
      </w:pPr>
      <w:r w:rsidRPr="0064645F">
        <w:rPr>
          <w:rFonts w:asciiTheme="minorHAnsi" w:hAnsiTheme="minorHAnsi" w:cstheme="minorHAnsi"/>
          <w:sz w:val="22"/>
          <w:szCs w:val="22"/>
        </w:rPr>
        <w:t>Koszty kwalifikowane - zgodnie z „Wytycznymi w zakresie kosztów kwalifikowanych", z</w:t>
      </w:r>
      <w:r w:rsidR="00B91A6E" w:rsidRPr="0064645F">
        <w:rPr>
          <w:rFonts w:asciiTheme="minorHAnsi" w:hAnsiTheme="minorHAnsi" w:cstheme="minorHAnsi"/>
          <w:sz w:val="22"/>
          <w:szCs w:val="22"/>
        </w:rPr>
        <w:t> </w:t>
      </w:r>
      <w:r w:rsidRPr="0064645F">
        <w:rPr>
          <w:rFonts w:asciiTheme="minorHAnsi" w:hAnsiTheme="minorHAnsi" w:cstheme="minorHAnsi"/>
          <w:sz w:val="22"/>
          <w:szCs w:val="22"/>
        </w:rPr>
        <w:t>zastrzeżeniem, że:</w:t>
      </w:r>
    </w:p>
    <w:p w14:paraId="2C5EB605" w14:textId="77777777" w:rsidR="0087112A" w:rsidRPr="0064645F" w:rsidRDefault="0087112A" w:rsidP="002147E8">
      <w:pPr>
        <w:pStyle w:val="Akapitzlist"/>
        <w:numPr>
          <w:ilvl w:val="0"/>
          <w:numId w:val="5"/>
        </w:numPr>
        <w:autoSpaceDE w:val="0"/>
        <w:autoSpaceDN w:val="0"/>
        <w:adjustRightInd w:val="0"/>
        <w:ind w:left="1134"/>
        <w:rPr>
          <w:rFonts w:asciiTheme="minorHAnsi" w:hAnsiTheme="minorHAnsi" w:cstheme="minorHAnsi"/>
          <w:sz w:val="22"/>
          <w:szCs w:val="22"/>
        </w:rPr>
      </w:pPr>
      <w:r w:rsidRPr="0064645F">
        <w:rPr>
          <w:rFonts w:asciiTheme="minorHAnsi" w:hAnsiTheme="minorHAnsi" w:cstheme="minorHAnsi"/>
          <w:sz w:val="22"/>
          <w:szCs w:val="22"/>
        </w:rPr>
        <w:t>koszty związane z przygotowaniem przedsięwzięcia kwalifikuje się do wysokości nieprzekraczającej 10% sumy kosztów kwalifikowanych przedsięwzięcia,</w:t>
      </w:r>
    </w:p>
    <w:p w14:paraId="4879AE70" w14:textId="77777777" w:rsidR="00EC2973" w:rsidRPr="0064645F" w:rsidRDefault="0087112A" w:rsidP="002147E8">
      <w:pPr>
        <w:pStyle w:val="Akapitzlist"/>
        <w:numPr>
          <w:ilvl w:val="0"/>
          <w:numId w:val="5"/>
        </w:numPr>
        <w:autoSpaceDE w:val="0"/>
        <w:autoSpaceDN w:val="0"/>
        <w:adjustRightInd w:val="0"/>
        <w:ind w:left="1134"/>
        <w:rPr>
          <w:rFonts w:asciiTheme="minorHAnsi" w:hAnsiTheme="minorHAnsi" w:cstheme="minorHAnsi"/>
          <w:sz w:val="22"/>
          <w:szCs w:val="22"/>
        </w:rPr>
      </w:pPr>
      <w:r w:rsidRPr="0064645F">
        <w:rPr>
          <w:rFonts w:asciiTheme="minorHAnsi" w:hAnsiTheme="minorHAnsi" w:cstheme="minorHAnsi"/>
          <w:sz w:val="22"/>
          <w:szCs w:val="22"/>
        </w:rPr>
        <w:lastRenderedPageBreak/>
        <w:t>koszty związane z zarządzaniem przedsięwzięciem kwalifikuje się do wysokości nieprzekraczającej 10% kosztów kwalifikowanych przedsięwzięcia,</w:t>
      </w:r>
    </w:p>
    <w:p w14:paraId="7F25E99B" w14:textId="1972E1E6" w:rsidR="00EC2973" w:rsidRPr="0064645F" w:rsidRDefault="0087112A" w:rsidP="002147E8">
      <w:pPr>
        <w:pStyle w:val="Akapitzlist"/>
        <w:numPr>
          <w:ilvl w:val="0"/>
          <w:numId w:val="5"/>
        </w:numPr>
        <w:autoSpaceDE w:val="0"/>
        <w:autoSpaceDN w:val="0"/>
        <w:adjustRightInd w:val="0"/>
        <w:ind w:left="1134"/>
        <w:rPr>
          <w:rFonts w:asciiTheme="minorHAnsi" w:hAnsiTheme="minorHAnsi" w:cstheme="minorHAnsi"/>
          <w:sz w:val="22"/>
          <w:szCs w:val="22"/>
        </w:rPr>
      </w:pPr>
      <w:r w:rsidRPr="0064645F">
        <w:rPr>
          <w:rFonts w:asciiTheme="minorHAnsi" w:hAnsiTheme="minorHAnsi" w:cstheme="minorHAnsi"/>
          <w:sz w:val="22"/>
          <w:szCs w:val="22"/>
        </w:rPr>
        <w:t>koszty nabycia nieruchomości kwalifikuje się do wysokości nieprzekraczającej 10% kosztów kwalifikowanych przedsięwzięcia,</w:t>
      </w:r>
    </w:p>
    <w:p w14:paraId="6C7FE73A" w14:textId="77777777" w:rsidR="00EC2973" w:rsidRPr="0064645F" w:rsidRDefault="0087112A" w:rsidP="002147E8">
      <w:pPr>
        <w:pStyle w:val="Akapitzlist"/>
        <w:numPr>
          <w:ilvl w:val="0"/>
          <w:numId w:val="5"/>
        </w:numPr>
        <w:autoSpaceDE w:val="0"/>
        <w:autoSpaceDN w:val="0"/>
        <w:adjustRightInd w:val="0"/>
        <w:ind w:left="1134"/>
        <w:rPr>
          <w:rFonts w:asciiTheme="minorHAnsi" w:hAnsiTheme="minorHAnsi" w:cstheme="minorHAnsi"/>
          <w:sz w:val="22"/>
          <w:szCs w:val="22"/>
        </w:rPr>
      </w:pPr>
      <w:r w:rsidRPr="0064645F">
        <w:rPr>
          <w:rFonts w:asciiTheme="minorHAnsi" w:hAnsiTheme="minorHAnsi" w:cstheme="minorHAnsi"/>
          <w:sz w:val="22"/>
          <w:szCs w:val="22"/>
        </w:rPr>
        <w:t>koszty związane z wartościami niematerialnymi i prawnymi kwalifikuje się do wysokości nieprzekraczającej 20% kosztów kwalifikowanych przedsięwzięcia</w:t>
      </w:r>
      <w:r w:rsidR="00F76CC2" w:rsidRPr="0064645F">
        <w:rPr>
          <w:rFonts w:asciiTheme="minorHAnsi" w:hAnsiTheme="minorHAnsi" w:cstheme="minorHAnsi"/>
          <w:sz w:val="22"/>
          <w:szCs w:val="22"/>
        </w:rPr>
        <w:t>;</w:t>
      </w:r>
    </w:p>
    <w:p w14:paraId="1E561C49" w14:textId="47C1813A" w:rsidR="00284304" w:rsidRPr="0064645F" w:rsidRDefault="0087112A" w:rsidP="002147E8">
      <w:pPr>
        <w:pStyle w:val="Akapitzlist"/>
        <w:numPr>
          <w:ilvl w:val="0"/>
          <w:numId w:val="8"/>
        </w:numPr>
        <w:autoSpaceDE w:val="0"/>
        <w:autoSpaceDN w:val="0"/>
        <w:adjustRightInd w:val="0"/>
        <w:spacing w:before="120"/>
        <w:ind w:left="568" w:hanging="284"/>
        <w:contextualSpacing w:val="0"/>
        <w:rPr>
          <w:rFonts w:asciiTheme="minorHAnsi" w:hAnsiTheme="minorHAnsi" w:cstheme="minorHAnsi"/>
          <w:b/>
          <w:sz w:val="22"/>
          <w:szCs w:val="22"/>
        </w:rPr>
      </w:pPr>
      <w:r w:rsidRPr="0064645F">
        <w:rPr>
          <w:rFonts w:asciiTheme="minorHAnsi" w:hAnsiTheme="minorHAnsi" w:cstheme="minorHAnsi"/>
          <w:sz w:val="22"/>
          <w:szCs w:val="22"/>
        </w:rPr>
        <w:t xml:space="preserve">podatek od towarów i usług (VAT) </w:t>
      </w:r>
      <w:r w:rsidR="0064645F" w:rsidRPr="0064645F">
        <w:rPr>
          <w:rFonts w:asciiTheme="minorHAnsi" w:hAnsiTheme="minorHAnsi" w:cstheme="minorHAnsi"/>
          <w:sz w:val="22"/>
          <w:szCs w:val="22"/>
        </w:rPr>
        <w:t>nie stanowi</w:t>
      </w:r>
      <w:r w:rsidRPr="0064645F">
        <w:rPr>
          <w:rFonts w:asciiTheme="minorHAnsi" w:hAnsiTheme="minorHAnsi" w:cstheme="minorHAnsi"/>
          <w:sz w:val="22"/>
          <w:szCs w:val="22"/>
        </w:rPr>
        <w:t xml:space="preserve"> koszt</w:t>
      </w:r>
      <w:r w:rsidR="0064645F" w:rsidRPr="0064645F">
        <w:rPr>
          <w:rFonts w:asciiTheme="minorHAnsi" w:hAnsiTheme="minorHAnsi" w:cstheme="minorHAnsi"/>
          <w:sz w:val="22"/>
          <w:szCs w:val="22"/>
        </w:rPr>
        <w:t>u</w:t>
      </w:r>
      <w:r w:rsidRPr="0064645F">
        <w:rPr>
          <w:rFonts w:asciiTheme="minorHAnsi" w:hAnsiTheme="minorHAnsi" w:cstheme="minorHAnsi"/>
          <w:sz w:val="22"/>
          <w:szCs w:val="22"/>
        </w:rPr>
        <w:t xml:space="preserve"> kwalifikowan</w:t>
      </w:r>
      <w:r w:rsidR="0064645F" w:rsidRPr="0064645F">
        <w:rPr>
          <w:rFonts w:asciiTheme="minorHAnsi" w:hAnsiTheme="minorHAnsi" w:cstheme="minorHAnsi"/>
          <w:sz w:val="22"/>
          <w:szCs w:val="22"/>
        </w:rPr>
        <w:t>ego.</w:t>
      </w:r>
    </w:p>
    <w:p w14:paraId="6887E9B2" w14:textId="77777777" w:rsidR="00E5082D" w:rsidRPr="0064645F" w:rsidRDefault="00610F15" w:rsidP="005E4114">
      <w:pPr>
        <w:pStyle w:val="Akapitzlist"/>
        <w:numPr>
          <w:ilvl w:val="0"/>
          <w:numId w:val="10"/>
        </w:numPr>
        <w:tabs>
          <w:tab w:val="left" w:pos="284"/>
        </w:tabs>
        <w:autoSpaceDE w:val="0"/>
        <w:autoSpaceDN w:val="0"/>
        <w:adjustRightInd w:val="0"/>
        <w:spacing w:before="120" w:after="120"/>
        <w:ind w:left="0" w:firstLine="0"/>
        <w:contextualSpacing w:val="0"/>
        <w:jc w:val="both"/>
        <w:rPr>
          <w:rFonts w:asciiTheme="minorHAnsi" w:hAnsiTheme="minorHAnsi" w:cstheme="minorHAnsi"/>
          <w:b/>
          <w:sz w:val="22"/>
          <w:szCs w:val="22"/>
        </w:rPr>
      </w:pPr>
      <w:r w:rsidRPr="0064645F">
        <w:rPr>
          <w:rFonts w:asciiTheme="minorHAnsi" w:hAnsiTheme="minorHAnsi" w:cstheme="minorHAnsi"/>
          <w:b/>
          <w:sz w:val="22"/>
          <w:szCs w:val="22"/>
        </w:rPr>
        <w:t xml:space="preserve">Formy i warunki </w:t>
      </w:r>
      <w:r w:rsidR="000F2A93" w:rsidRPr="0064645F">
        <w:rPr>
          <w:rFonts w:asciiTheme="minorHAnsi" w:hAnsiTheme="minorHAnsi" w:cstheme="minorHAnsi"/>
          <w:b/>
          <w:sz w:val="22"/>
          <w:szCs w:val="22"/>
        </w:rPr>
        <w:t xml:space="preserve">udzielania </w:t>
      </w:r>
      <w:r w:rsidR="00E1289F" w:rsidRPr="0064645F">
        <w:rPr>
          <w:rFonts w:asciiTheme="minorHAnsi" w:hAnsiTheme="minorHAnsi" w:cstheme="minorHAnsi"/>
          <w:b/>
          <w:sz w:val="22"/>
          <w:szCs w:val="22"/>
        </w:rPr>
        <w:t>dofinansowania</w:t>
      </w:r>
    </w:p>
    <w:p w14:paraId="411D45F4" w14:textId="77777777" w:rsidR="00EF2200" w:rsidRPr="0064645F" w:rsidRDefault="00B36E2E" w:rsidP="00EF64FC">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cstheme="minorHAnsi"/>
          <w:b/>
          <w:sz w:val="22"/>
          <w:szCs w:val="22"/>
        </w:rPr>
      </w:pPr>
      <w:r w:rsidRPr="0064645F">
        <w:rPr>
          <w:rFonts w:asciiTheme="minorHAnsi" w:hAnsiTheme="minorHAnsi" w:cstheme="minorHAnsi"/>
          <w:b/>
          <w:sz w:val="22"/>
          <w:szCs w:val="22"/>
        </w:rPr>
        <w:t>Form</w:t>
      </w:r>
      <w:r w:rsidR="000F2A93" w:rsidRPr="0064645F">
        <w:rPr>
          <w:rFonts w:asciiTheme="minorHAnsi" w:hAnsiTheme="minorHAnsi" w:cstheme="minorHAnsi"/>
          <w:b/>
          <w:sz w:val="22"/>
          <w:szCs w:val="22"/>
        </w:rPr>
        <w:t>y</w:t>
      </w:r>
      <w:r w:rsidR="00EF2200" w:rsidRPr="0064645F">
        <w:rPr>
          <w:rFonts w:asciiTheme="minorHAnsi" w:hAnsiTheme="minorHAnsi" w:cstheme="minorHAnsi"/>
          <w:b/>
          <w:sz w:val="22"/>
          <w:szCs w:val="22"/>
        </w:rPr>
        <w:t xml:space="preserve"> dofinansowania</w:t>
      </w:r>
    </w:p>
    <w:p w14:paraId="1B1177E3" w14:textId="77777777" w:rsidR="002E3655" w:rsidRPr="0064645F" w:rsidRDefault="00E1289F" w:rsidP="005E4114">
      <w:pPr>
        <w:pStyle w:val="Akapitzlist"/>
        <w:numPr>
          <w:ilvl w:val="0"/>
          <w:numId w:val="4"/>
        </w:numPr>
        <w:autoSpaceDE w:val="0"/>
        <w:autoSpaceDN w:val="0"/>
        <w:adjustRightInd w:val="0"/>
        <w:ind w:left="567" w:hanging="283"/>
        <w:contextualSpacing w:val="0"/>
        <w:jc w:val="both"/>
        <w:rPr>
          <w:rFonts w:asciiTheme="minorHAnsi" w:hAnsiTheme="minorHAnsi" w:cstheme="minorHAnsi"/>
          <w:sz w:val="22"/>
          <w:szCs w:val="22"/>
        </w:rPr>
      </w:pPr>
      <w:r w:rsidRPr="0064645F">
        <w:rPr>
          <w:rFonts w:asciiTheme="minorHAnsi" w:hAnsiTheme="minorHAnsi" w:cstheme="minorHAnsi"/>
          <w:sz w:val="22"/>
          <w:szCs w:val="22"/>
        </w:rPr>
        <w:t>P</w:t>
      </w:r>
      <w:r w:rsidR="002E3655" w:rsidRPr="0064645F">
        <w:rPr>
          <w:rFonts w:asciiTheme="minorHAnsi" w:hAnsiTheme="minorHAnsi" w:cstheme="minorHAnsi"/>
          <w:sz w:val="22"/>
          <w:szCs w:val="22"/>
        </w:rPr>
        <w:t>ożyczka</w:t>
      </w:r>
    </w:p>
    <w:p w14:paraId="594974B2" w14:textId="77777777" w:rsidR="00EF2200" w:rsidRPr="0096541B" w:rsidRDefault="00FC3057" w:rsidP="00EF64FC">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cstheme="minorHAnsi"/>
          <w:b/>
          <w:sz w:val="22"/>
          <w:szCs w:val="22"/>
        </w:rPr>
      </w:pPr>
      <w:r w:rsidRPr="0096541B">
        <w:rPr>
          <w:rFonts w:asciiTheme="minorHAnsi" w:hAnsiTheme="minorHAnsi" w:cstheme="minorHAnsi"/>
          <w:b/>
          <w:sz w:val="22"/>
          <w:szCs w:val="22"/>
        </w:rPr>
        <w:t xml:space="preserve">Intensywność dofinansowania </w:t>
      </w:r>
    </w:p>
    <w:p w14:paraId="720EB344" w14:textId="050A9B65" w:rsidR="00EC2973" w:rsidRPr="0096541B" w:rsidRDefault="00EC2973" w:rsidP="002147E8">
      <w:pPr>
        <w:pStyle w:val="Akapitzlist"/>
        <w:autoSpaceDE w:val="0"/>
        <w:autoSpaceDN w:val="0"/>
        <w:adjustRightInd w:val="0"/>
        <w:ind w:left="568"/>
        <w:rPr>
          <w:rFonts w:asciiTheme="minorHAnsi" w:hAnsiTheme="minorHAnsi" w:cstheme="minorHAnsi"/>
          <w:sz w:val="22"/>
          <w:szCs w:val="22"/>
        </w:rPr>
      </w:pPr>
      <w:r w:rsidRPr="0096541B">
        <w:rPr>
          <w:rFonts w:asciiTheme="minorHAnsi" w:hAnsiTheme="minorHAnsi" w:cstheme="minorHAnsi"/>
          <w:sz w:val="22"/>
          <w:szCs w:val="22"/>
        </w:rPr>
        <w:t xml:space="preserve">Dofinansowanie w formie pożyczki </w:t>
      </w:r>
      <w:r w:rsidR="008B7D8E">
        <w:rPr>
          <w:rFonts w:asciiTheme="minorHAnsi" w:hAnsiTheme="minorHAnsi" w:cstheme="minorHAnsi"/>
          <w:sz w:val="22"/>
          <w:szCs w:val="22"/>
        </w:rPr>
        <w:t xml:space="preserve">preferencyjnej </w:t>
      </w:r>
      <w:r w:rsidRPr="0096541B">
        <w:rPr>
          <w:rFonts w:asciiTheme="minorHAnsi" w:hAnsiTheme="minorHAnsi" w:cstheme="minorHAnsi"/>
          <w:sz w:val="22"/>
          <w:szCs w:val="22"/>
        </w:rPr>
        <w:t xml:space="preserve">do </w:t>
      </w:r>
      <w:r w:rsidR="0096541B" w:rsidRPr="0096541B">
        <w:rPr>
          <w:rFonts w:asciiTheme="minorHAnsi" w:hAnsiTheme="minorHAnsi" w:cstheme="minorHAnsi"/>
          <w:sz w:val="22"/>
          <w:szCs w:val="22"/>
        </w:rPr>
        <w:t>9</w:t>
      </w:r>
      <w:r w:rsidRPr="0096541B">
        <w:rPr>
          <w:rFonts w:asciiTheme="minorHAnsi" w:hAnsiTheme="minorHAnsi" w:cstheme="minorHAnsi"/>
          <w:sz w:val="22"/>
          <w:szCs w:val="22"/>
        </w:rPr>
        <w:t>0% kosztów kwalifikowanych</w:t>
      </w:r>
      <w:r w:rsidR="00287A96">
        <w:rPr>
          <w:rFonts w:asciiTheme="minorHAnsi" w:hAnsiTheme="minorHAnsi" w:cstheme="minorHAnsi"/>
          <w:sz w:val="22"/>
          <w:szCs w:val="22"/>
        </w:rPr>
        <w:t>.</w:t>
      </w:r>
      <w:r w:rsidR="00C101E3" w:rsidRPr="0096541B">
        <w:rPr>
          <w:rFonts w:asciiTheme="minorHAnsi" w:hAnsiTheme="minorHAnsi" w:cstheme="minorHAnsi"/>
          <w:sz w:val="22"/>
          <w:szCs w:val="22"/>
        </w:rPr>
        <w:t xml:space="preserve"> </w:t>
      </w:r>
    </w:p>
    <w:p w14:paraId="1BE1DFB7" w14:textId="77777777" w:rsidR="000F2A93" w:rsidRPr="0096541B" w:rsidRDefault="000F2A93" w:rsidP="00EF64FC">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cstheme="minorHAnsi"/>
          <w:b/>
          <w:sz w:val="22"/>
          <w:szCs w:val="22"/>
        </w:rPr>
      </w:pPr>
      <w:r w:rsidRPr="0096541B">
        <w:rPr>
          <w:rFonts w:asciiTheme="minorHAnsi" w:hAnsiTheme="minorHAnsi" w:cstheme="minorHAnsi"/>
          <w:b/>
          <w:sz w:val="22"/>
          <w:szCs w:val="22"/>
        </w:rPr>
        <w:t>Warunki dofinansowania</w:t>
      </w:r>
    </w:p>
    <w:p w14:paraId="43504114" w14:textId="4B964024" w:rsidR="00A50C64" w:rsidRPr="0096541B" w:rsidRDefault="00A50C64" w:rsidP="002147E8">
      <w:pPr>
        <w:pStyle w:val="Akapitzlist"/>
        <w:numPr>
          <w:ilvl w:val="0"/>
          <w:numId w:val="6"/>
        </w:numPr>
        <w:tabs>
          <w:tab w:val="left" w:pos="567"/>
        </w:tabs>
        <w:autoSpaceDE w:val="0"/>
        <w:autoSpaceDN w:val="0"/>
        <w:adjustRightInd w:val="0"/>
        <w:ind w:left="567" w:hanging="283"/>
        <w:rPr>
          <w:rFonts w:asciiTheme="minorHAnsi" w:hAnsiTheme="minorHAnsi" w:cstheme="minorHAnsi"/>
          <w:sz w:val="22"/>
          <w:szCs w:val="22"/>
        </w:rPr>
      </w:pPr>
      <w:r w:rsidRPr="0096541B">
        <w:rPr>
          <w:rFonts w:asciiTheme="minorHAnsi" w:hAnsiTheme="minorHAnsi" w:cstheme="minorHAnsi"/>
          <w:sz w:val="22"/>
          <w:szCs w:val="22"/>
        </w:rPr>
        <w:t>Dofinansowanie w formie pożyczki</w:t>
      </w:r>
      <w:r w:rsidR="008B7D8E">
        <w:rPr>
          <w:rFonts w:asciiTheme="minorHAnsi" w:hAnsiTheme="minorHAnsi" w:cstheme="minorHAnsi"/>
          <w:sz w:val="22"/>
          <w:szCs w:val="22"/>
        </w:rPr>
        <w:t xml:space="preserve"> preferencyjnej</w:t>
      </w:r>
      <w:r w:rsidR="004D4949">
        <w:rPr>
          <w:rFonts w:asciiTheme="minorHAnsi" w:hAnsiTheme="minorHAnsi" w:cstheme="minorHAnsi"/>
          <w:sz w:val="22"/>
          <w:szCs w:val="22"/>
        </w:rPr>
        <w:t>:</w:t>
      </w:r>
    </w:p>
    <w:p w14:paraId="3BD243F9" w14:textId="24E88988" w:rsidR="00DA7405" w:rsidRPr="004D4949" w:rsidRDefault="00DA7405" w:rsidP="002147E8">
      <w:pPr>
        <w:pStyle w:val="Akapitzlist"/>
        <w:numPr>
          <w:ilvl w:val="0"/>
          <w:numId w:val="7"/>
        </w:numPr>
        <w:tabs>
          <w:tab w:val="left" w:pos="851"/>
        </w:tabs>
        <w:autoSpaceDE w:val="0"/>
        <w:autoSpaceDN w:val="0"/>
        <w:adjustRightInd w:val="0"/>
        <w:ind w:left="851" w:hanging="284"/>
        <w:rPr>
          <w:rFonts w:asciiTheme="minorHAnsi" w:hAnsiTheme="minorHAnsi" w:cstheme="minorHAnsi"/>
          <w:sz w:val="22"/>
          <w:szCs w:val="22"/>
        </w:rPr>
      </w:pPr>
      <w:bookmarkStart w:id="0" w:name="_Hlk169701390"/>
      <w:r w:rsidRPr="004D4949">
        <w:rPr>
          <w:rFonts w:asciiTheme="minorHAnsi" w:hAnsiTheme="minorHAnsi" w:cstheme="minorHAnsi"/>
          <w:sz w:val="22"/>
          <w:szCs w:val="22"/>
        </w:rPr>
        <w:t xml:space="preserve">kwota pożyczki: </w:t>
      </w:r>
      <w:r w:rsidR="007D1A08" w:rsidRPr="004D4949">
        <w:rPr>
          <w:rFonts w:asciiTheme="minorHAnsi" w:hAnsiTheme="minorHAnsi" w:cstheme="minorHAnsi"/>
          <w:sz w:val="22"/>
          <w:szCs w:val="22"/>
        </w:rPr>
        <w:t xml:space="preserve">od </w:t>
      </w:r>
      <w:r w:rsidR="004D4949" w:rsidRPr="004D4949">
        <w:rPr>
          <w:rFonts w:asciiTheme="minorHAnsi" w:hAnsiTheme="minorHAnsi" w:cstheme="minorHAnsi"/>
          <w:sz w:val="22"/>
          <w:szCs w:val="22"/>
        </w:rPr>
        <w:t>1</w:t>
      </w:r>
      <w:r w:rsidR="001F63C0" w:rsidRPr="004D4949">
        <w:rPr>
          <w:rFonts w:asciiTheme="minorHAnsi" w:hAnsiTheme="minorHAnsi" w:cstheme="minorHAnsi"/>
          <w:sz w:val="22"/>
          <w:szCs w:val="22"/>
        </w:rPr>
        <w:t xml:space="preserve"> </w:t>
      </w:r>
      <w:r w:rsidR="007D1A08" w:rsidRPr="004D4949">
        <w:rPr>
          <w:rFonts w:asciiTheme="minorHAnsi" w:hAnsiTheme="minorHAnsi" w:cstheme="minorHAnsi"/>
          <w:sz w:val="22"/>
          <w:szCs w:val="22"/>
        </w:rPr>
        <w:t xml:space="preserve">mln zł do </w:t>
      </w:r>
      <w:r w:rsidR="004D4949" w:rsidRPr="004D4949">
        <w:rPr>
          <w:rFonts w:asciiTheme="minorHAnsi" w:hAnsiTheme="minorHAnsi" w:cstheme="minorHAnsi"/>
          <w:sz w:val="22"/>
          <w:szCs w:val="22"/>
        </w:rPr>
        <w:t>5</w:t>
      </w:r>
      <w:r w:rsidR="007A7D72" w:rsidRPr="004D4949">
        <w:rPr>
          <w:rFonts w:asciiTheme="minorHAnsi" w:hAnsiTheme="minorHAnsi" w:cstheme="minorHAnsi"/>
          <w:sz w:val="22"/>
          <w:szCs w:val="22"/>
        </w:rPr>
        <w:t>0</w:t>
      </w:r>
      <w:r w:rsidR="001E1E2C" w:rsidRPr="004D4949">
        <w:rPr>
          <w:rFonts w:asciiTheme="minorHAnsi" w:hAnsiTheme="minorHAnsi" w:cstheme="minorHAnsi"/>
          <w:sz w:val="22"/>
          <w:szCs w:val="22"/>
        </w:rPr>
        <w:t xml:space="preserve"> </w:t>
      </w:r>
      <w:r w:rsidR="007D1A08" w:rsidRPr="004D4949">
        <w:rPr>
          <w:rFonts w:asciiTheme="minorHAnsi" w:hAnsiTheme="minorHAnsi" w:cstheme="minorHAnsi"/>
          <w:sz w:val="22"/>
          <w:szCs w:val="22"/>
        </w:rPr>
        <w:t>mln zł</w:t>
      </w:r>
      <w:r w:rsidR="004D4949">
        <w:rPr>
          <w:rFonts w:asciiTheme="minorHAnsi" w:hAnsiTheme="minorHAnsi" w:cstheme="minorHAnsi"/>
          <w:sz w:val="22"/>
          <w:szCs w:val="22"/>
        </w:rPr>
        <w:t>,</w:t>
      </w:r>
      <w:bookmarkEnd w:id="0"/>
      <w:r w:rsidR="007D1A08" w:rsidRPr="004D4949">
        <w:rPr>
          <w:rFonts w:asciiTheme="minorHAnsi" w:hAnsiTheme="minorHAnsi" w:cstheme="minorHAnsi"/>
          <w:sz w:val="22"/>
          <w:szCs w:val="22"/>
        </w:rPr>
        <w:t xml:space="preserve"> </w:t>
      </w:r>
    </w:p>
    <w:p w14:paraId="0A389078" w14:textId="7C43D5A6" w:rsidR="00EC2973" w:rsidRPr="004D4949" w:rsidRDefault="00EC2973" w:rsidP="002147E8">
      <w:pPr>
        <w:pStyle w:val="Akapitzlist"/>
        <w:numPr>
          <w:ilvl w:val="0"/>
          <w:numId w:val="7"/>
        </w:numPr>
        <w:tabs>
          <w:tab w:val="left" w:pos="851"/>
        </w:tabs>
        <w:autoSpaceDE w:val="0"/>
        <w:autoSpaceDN w:val="0"/>
        <w:adjustRightInd w:val="0"/>
        <w:ind w:left="851" w:hanging="284"/>
        <w:rPr>
          <w:rFonts w:asciiTheme="minorHAnsi" w:hAnsiTheme="minorHAnsi" w:cstheme="minorHAnsi"/>
          <w:sz w:val="22"/>
          <w:szCs w:val="22"/>
        </w:rPr>
      </w:pPr>
      <w:bookmarkStart w:id="1" w:name="_Hlk169701401"/>
      <w:r w:rsidRPr="004D4949">
        <w:rPr>
          <w:rFonts w:asciiTheme="minorHAnsi" w:hAnsiTheme="minorHAnsi" w:cstheme="minorHAnsi"/>
          <w:sz w:val="22"/>
          <w:szCs w:val="22"/>
        </w:rPr>
        <w:t xml:space="preserve">oprocentowanie pożyczki: </w:t>
      </w:r>
      <w:r w:rsidR="004D4949" w:rsidRPr="004D4949">
        <w:rPr>
          <w:rFonts w:asciiTheme="minorHAnsi" w:hAnsiTheme="minorHAnsi" w:cstheme="minorHAnsi"/>
          <w:sz w:val="22"/>
          <w:szCs w:val="22"/>
        </w:rPr>
        <w:t xml:space="preserve">0,3 x WIBOR 3M + 50 </w:t>
      </w:r>
      <w:proofErr w:type="spellStart"/>
      <w:r w:rsidR="004D4949" w:rsidRPr="004D4949">
        <w:rPr>
          <w:rFonts w:asciiTheme="minorHAnsi" w:hAnsiTheme="minorHAnsi" w:cstheme="minorHAnsi"/>
          <w:sz w:val="22"/>
          <w:szCs w:val="22"/>
        </w:rPr>
        <w:t>pb</w:t>
      </w:r>
      <w:proofErr w:type="spellEnd"/>
      <w:r w:rsidR="004D4949" w:rsidRPr="004D4949">
        <w:rPr>
          <w:rFonts w:asciiTheme="minorHAnsi" w:hAnsiTheme="minorHAnsi" w:cstheme="minorHAnsi"/>
          <w:sz w:val="22"/>
          <w:szCs w:val="22"/>
        </w:rPr>
        <w:t>, nie mniej niż 1,5 % w skali roku</w:t>
      </w:r>
      <w:r w:rsidRPr="004D4949">
        <w:rPr>
          <w:rFonts w:asciiTheme="minorHAnsi" w:hAnsiTheme="minorHAnsi" w:cstheme="minorHAnsi"/>
          <w:sz w:val="22"/>
          <w:szCs w:val="22"/>
        </w:rPr>
        <w:t>,</w:t>
      </w:r>
      <w:bookmarkEnd w:id="1"/>
    </w:p>
    <w:p w14:paraId="47D9A1B7" w14:textId="77777777" w:rsidR="00E1289F" w:rsidRPr="004D4949" w:rsidRDefault="00EC2973" w:rsidP="002147E8">
      <w:pPr>
        <w:pStyle w:val="Akapitzlist"/>
        <w:numPr>
          <w:ilvl w:val="0"/>
          <w:numId w:val="7"/>
        </w:numPr>
        <w:tabs>
          <w:tab w:val="left" w:pos="567"/>
        </w:tabs>
        <w:autoSpaceDE w:val="0"/>
        <w:autoSpaceDN w:val="0"/>
        <w:adjustRightInd w:val="0"/>
        <w:ind w:left="851" w:hanging="284"/>
        <w:rPr>
          <w:rFonts w:asciiTheme="minorHAnsi" w:hAnsiTheme="minorHAnsi" w:cstheme="minorHAnsi"/>
          <w:sz w:val="22"/>
          <w:szCs w:val="22"/>
        </w:rPr>
      </w:pPr>
      <w:r w:rsidRPr="004D4949">
        <w:rPr>
          <w:rFonts w:asciiTheme="minorHAnsi" w:hAnsiTheme="minorHAnsi" w:cstheme="minorHAnsi"/>
          <w:sz w:val="22"/>
          <w:szCs w:val="22"/>
        </w:rPr>
        <w:t xml:space="preserve">odsetki z tytułu oprocentowania spłacane są na bieżąco w okresach kwartalnych. Pierwsza spłata na koniec kwartału kalendarzowego, następującego po kwartale, w którym wypłacono pierwszą transzę środków, </w:t>
      </w:r>
    </w:p>
    <w:p w14:paraId="031DD71B" w14:textId="4DB180BA" w:rsidR="00E1289F" w:rsidRPr="00D82E97" w:rsidRDefault="00EC2973" w:rsidP="002147E8">
      <w:pPr>
        <w:pStyle w:val="Akapitzlist"/>
        <w:numPr>
          <w:ilvl w:val="0"/>
          <w:numId w:val="7"/>
        </w:numPr>
        <w:tabs>
          <w:tab w:val="left" w:pos="567"/>
        </w:tabs>
        <w:autoSpaceDE w:val="0"/>
        <w:autoSpaceDN w:val="0"/>
        <w:adjustRightInd w:val="0"/>
        <w:ind w:left="851" w:hanging="284"/>
        <w:rPr>
          <w:rFonts w:asciiTheme="minorHAnsi" w:hAnsiTheme="minorHAnsi" w:cstheme="minorHAnsi"/>
          <w:sz w:val="22"/>
          <w:szCs w:val="22"/>
        </w:rPr>
      </w:pPr>
      <w:r w:rsidRPr="00D82E97">
        <w:rPr>
          <w:rFonts w:asciiTheme="minorHAnsi" w:hAnsiTheme="minorHAnsi" w:cstheme="minorHAnsi"/>
          <w:sz w:val="22"/>
          <w:szCs w:val="22"/>
        </w:rPr>
        <w:t xml:space="preserve">okres finansowania — pożyczka może być udzielona na okres nie dłuższy niż </w:t>
      </w:r>
      <w:r w:rsidR="006D7BA5" w:rsidRPr="00D82E97">
        <w:rPr>
          <w:rFonts w:asciiTheme="minorHAnsi" w:hAnsiTheme="minorHAnsi" w:cstheme="minorHAnsi"/>
          <w:sz w:val="22"/>
          <w:szCs w:val="22"/>
        </w:rPr>
        <w:t>20</w:t>
      </w:r>
      <w:r w:rsidRPr="00D82E97">
        <w:rPr>
          <w:rFonts w:asciiTheme="minorHAnsi" w:hAnsiTheme="minorHAnsi" w:cstheme="minorHAnsi"/>
          <w:sz w:val="22"/>
          <w:szCs w:val="22"/>
        </w:rPr>
        <w:t xml:space="preserve"> lat liczony od daty planowanej wypłaty pierwszej transzy pożyczki do daty planowanej sp</w:t>
      </w:r>
      <w:r w:rsidR="005F0795" w:rsidRPr="00D82E97">
        <w:rPr>
          <w:rFonts w:asciiTheme="minorHAnsi" w:hAnsiTheme="minorHAnsi" w:cstheme="minorHAnsi"/>
          <w:sz w:val="22"/>
          <w:szCs w:val="22"/>
        </w:rPr>
        <w:t>łaty ostatniej raty kapitałowej,</w:t>
      </w:r>
      <w:r w:rsidRPr="00D82E97">
        <w:rPr>
          <w:rFonts w:asciiTheme="minorHAnsi" w:hAnsiTheme="minorHAnsi" w:cstheme="minorHAnsi"/>
          <w:sz w:val="22"/>
          <w:szCs w:val="22"/>
        </w:rPr>
        <w:t xml:space="preserve"> </w:t>
      </w:r>
    </w:p>
    <w:p w14:paraId="10B85EE2" w14:textId="77777777" w:rsidR="00806CAE" w:rsidRDefault="00EC2973" w:rsidP="002147E8">
      <w:pPr>
        <w:pStyle w:val="Akapitzlist"/>
        <w:numPr>
          <w:ilvl w:val="0"/>
          <w:numId w:val="7"/>
        </w:numPr>
        <w:tabs>
          <w:tab w:val="left" w:pos="567"/>
        </w:tabs>
        <w:autoSpaceDE w:val="0"/>
        <w:autoSpaceDN w:val="0"/>
        <w:adjustRightInd w:val="0"/>
        <w:ind w:left="851" w:hanging="284"/>
        <w:rPr>
          <w:rFonts w:asciiTheme="minorHAnsi" w:hAnsiTheme="minorHAnsi" w:cstheme="minorHAnsi"/>
          <w:sz w:val="22"/>
          <w:szCs w:val="22"/>
        </w:rPr>
      </w:pPr>
      <w:r w:rsidRPr="00D82E97">
        <w:rPr>
          <w:rFonts w:asciiTheme="minorHAnsi" w:hAnsiTheme="minorHAnsi" w:cstheme="minorHAnsi"/>
          <w:sz w:val="22"/>
          <w:szCs w:val="22"/>
        </w:rPr>
        <w:t>okres karencji — przy udzielaniu pożyczki może być stosowana karencja w spłacie rat kapitałowych, liczona od daty wypłaty ostatniej transzy pożyczki do daty spłaty pierwszej raty kapitałowej, lecz nie dłuższa niż 1</w:t>
      </w:r>
      <w:r w:rsidR="00D82E97" w:rsidRPr="00D82E97">
        <w:rPr>
          <w:rFonts w:asciiTheme="minorHAnsi" w:hAnsiTheme="minorHAnsi" w:cstheme="minorHAnsi"/>
          <w:sz w:val="22"/>
          <w:szCs w:val="22"/>
        </w:rPr>
        <w:t>2</w:t>
      </w:r>
      <w:r w:rsidRPr="00D82E97">
        <w:rPr>
          <w:rFonts w:asciiTheme="minorHAnsi" w:hAnsiTheme="minorHAnsi" w:cstheme="minorHAnsi"/>
          <w:sz w:val="22"/>
          <w:szCs w:val="22"/>
        </w:rPr>
        <w:t xml:space="preserve"> miesięcy od daty zakończenia realizacji przedsięwzięcia</w:t>
      </w:r>
      <w:r w:rsidR="00806CAE">
        <w:rPr>
          <w:rFonts w:asciiTheme="minorHAnsi" w:hAnsiTheme="minorHAnsi" w:cstheme="minorHAnsi"/>
          <w:sz w:val="22"/>
          <w:szCs w:val="22"/>
        </w:rPr>
        <w:t>,</w:t>
      </w:r>
    </w:p>
    <w:p w14:paraId="2AD1D052" w14:textId="13C73EC8" w:rsidR="00EC2973" w:rsidRPr="00D82E97" w:rsidRDefault="00806CAE" w:rsidP="002147E8">
      <w:pPr>
        <w:pStyle w:val="Akapitzlist"/>
        <w:numPr>
          <w:ilvl w:val="0"/>
          <w:numId w:val="7"/>
        </w:numPr>
        <w:tabs>
          <w:tab w:val="left" w:pos="567"/>
        </w:tabs>
        <w:autoSpaceDE w:val="0"/>
        <w:autoSpaceDN w:val="0"/>
        <w:adjustRightInd w:val="0"/>
        <w:ind w:left="851" w:hanging="284"/>
        <w:rPr>
          <w:rFonts w:asciiTheme="minorHAnsi" w:hAnsiTheme="minorHAnsi" w:cstheme="minorHAnsi"/>
          <w:sz w:val="22"/>
          <w:szCs w:val="22"/>
        </w:rPr>
      </w:pPr>
      <w:r>
        <w:rPr>
          <w:rFonts w:asciiTheme="minorHAnsi" w:hAnsiTheme="minorHAnsi" w:cstheme="minorHAnsi"/>
          <w:sz w:val="22"/>
          <w:szCs w:val="22"/>
        </w:rPr>
        <w:t>pożyczka nie podlega umorzeniu.</w:t>
      </w:r>
      <w:r w:rsidR="00C00078" w:rsidRPr="00D82E97">
        <w:rPr>
          <w:rFonts w:asciiTheme="minorHAnsi" w:hAnsiTheme="minorHAnsi" w:cstheme="minorHAnsi"/>
          <w:sz w:val="22"/>
          <w:szCs w:val="22"/>
        </w:rPr>
        <w:t xml:space="preserve"> </w:t>
      </w:r>
    </w:p>
    <w:p w14:paraId="5D6EE5E5" w14:textId="1D8F2340" w:rsidR="00EC2973" w:rsidRPr="009859FA" w:rsidRDefault="004D52DB" w:rsidP="002147E8">
      <w:pPr>
        <w:pStyle w:val="Akapitzlist"/>
        <w:numPr>
          <w:ilvl w:val="0"/>
          <w:numId w:val="16"/>
        </w:numPr>
        <w:autoSpaceDE w:val="0"/>
        <w:autoSpaceDN w:val="0"/>
        <w:adjustRightInd w:val="0"/>
        <w:ind w:left="567" w:hanging="283"/>
        <w:rPr>
          <w:rFonts w:asciiTheme="minorHAnsi" w:hAnsiTheme="minorHAnsi" w:cstheme="minorHAnsi"/>
          <w:sz w:val="22"/>
          <w:szCs w:val="22"/>
        </w:rPr>
      </w:pPr>
      <w:r>
        <w:rPr>
          <w:rFonts w:asciiTheme="minorHAnsi" w:hAnsiTheme="minorHAnsi" w:cstheme="minorHAnsi"/>
          <w:sz w:val="22"/>
          <w:szCs w:val="22"/>
        </w:rPr>
        <w:t>W</w:t>
      </w:r>
      <w:r w:rsidRPr="004D52DB">
        <w:rPr>
          <w:rFonts w:asciiTheme="minorHAnsi" w:hAnsiTheme="minorHAnsi" w:cstheme="minorHAnsi"/>
          <w:sz w:val="22"/>
          <w:szCs w:val="22"/>
        </w:rPr>
        <w:t xml:space="preserve"> przypadku, gdy dofinansowanie stanowi pomoc publiczną, musi być ono udzielane </w:t>
      </w:r>
      <w:r w:rsidR="00C14567">
        <w:rPr>
          <w:rFonts w:asciiTheme="minorHAnsi" w:hAnsiTheme="minorHAnsi" w:cstheme="minorHAnsi"/>
          <w:sz w:val="22"/>
          <w:szCs w:val="22"/>
        </w:rPr>
        <w:t xml:space="preserve">zgodnie </w:t>
      </w:r>
      <w:r w:rsidR="00EC2973" w:rsidRPr="009859FA">
        <w:rPr>
          <w:rFonts w:asciiTheme="minorHAnsi" w:hAnsiTheme="minorHAnsi" w:cstheme="minorHAnsi"/>
          <w:sz w:val="22"/>
          <w:szCs w:val="22"/>
        </w:rPr>
        <w:t>z</w:t>
      </w:r>
      <w:r>
        <w:rPr>
          <w:rFonts w:asciiTheme="minorHAnsi" w:hAnsiTheme="minorHAnsi" w:cstheme="minorHAnsi"/>
          <w:sz w:val="22"/>
          <w:szCs w:val="22"/>
        </w:rPr>
        <w:t> </w:t>
      </w:r>
      <w:r w:rsidR="00E944D9">
        <w:rPr>
          <w:rFonts w:asciiTheme="minorHAnsi" w:hAnsiTheme="minorHAnsi" w:cstheme="minorHAnsi"/>
          <w:sz w:val="22"/>
          <w:szCs w:val="22"/>
        </w:rPr>
        <w:t xml:space="preserve">przepisami </w:t>
      </w:r>
      <w:r w:rsidR="009859FA" w:rsidRPr="009859FA">
        <w:rPr>
          <w:rFonts w:asciiTheme="minorHAnsi" w:hAnsiTheme="minorHAnsi" w:cstheme="minorHAnsi"/>
          <w:sz w:val="22"/>
          <w:szCs w:val="22"/>
        </w:rPr>
        <w:t>Rozporządzeni</w:t>
      </w:r>
      <w:r w:rsidR="00E944D9">
        <w:rPr>
          <w:rFonts w:asciiTheme="minorHAnsi" w:hAnsiTheme="minorHAnsi" w:cstheme="minorHAnsi"/>
          <w:sz w:val="22"/>
          <w:szCs w:val="22"/>
        </w:rPr>
        <w:t>a</w:t>
      </w:r>
      <w:r w:rsidR="009859FA" w:rsidRPr="009859FA">
        <w:rPr>
          <w:rFonts w:asciiTheme="minorHAnsi" w:hAnsiTheme="minorHAnsi" w:cstheme="minorHAnsi"/>
          <w:sz w:val="22"/>
          <w:szCs w:val="22"/>
        </w:rPr>
        <w:t xml:space="preserve"> Ministra Aktywów Państwowych z dnia 15 listopada 2023 r. w</w:t>
      </w:r>
      <w:r>
        <w:rPr>
          <w:rFonts w:asciiTheme="minorHAnsi" w:hAnsiTheme="minorHAnsi" w:cstheme="minorHAnsi"/>
          <w:sz w:val="22"/>
          <w:szCs w:val="22"/>
        </w:rPr>
        <w:t> </w:t>
      </w:r>
      <w:r w:rsidR="009859FA" w:rsidRPr="009859FA">
        <w:rPr>
          <w:rFonts w:asciiTheme="minorHAnsi" w:hAnsiTheme="minorHAnsi" w:cstheme="minorHAnsi"/>
          <w:sz w:val="22"/>
          <w:szCs w:val="22"/>
        </w:rPr>
        <w:t>sprawie udzielania pomocy publicznej na inwestycje wspierające efektywność energetyczną i odnawialne źródła energii w przedsiębiorstwach w ramach Krajowego Planu Odbudowy i Zwiększania Odporności.</w:t>
      </w:r>
    </w:p>
    <w:p w14:paraId="67B622D2" w14:textId="7E365ADD" w:rsidR="009213BF" w:rsidRDefault="004D52DB" w:rsidP="002147E8">
      <w:pPr>
        <w:pStyle w:val="Akapitzlist"/>
        <w:numPr>
          <w:ilvl w:val="0"/>
          <w:numId w:val="16"/>
        </w:numPr>
        <w:autoSpaceDE w:val="0"/>
        <w:autoSpaceDN w:val="0"/>
        <w:adjustRightInd w:val="0"/>
        <w:ind w:left="568" w:hanging="284"/>
        <w:rPr>
          <w:rFonts w:asciiTheme="minorHAnsi" w:hAnsiTheme="minorHAnsi" w:cstheme="minorHAnsi"/>
          <w:sz w:val="22"/>
          <w:szCs w:val="22"/>
        </w:rPr>
      </w:pPr>
      <w:r>
        <w:rPr>
          <w:rFonts w:asciiTheme="minorHAnsi" w:hAnsiTheme="minorHAnsi" w:cstheme="minorHAnsi"/>
          <w:sz w:val="22"/>
          <w:szCs w:val="22"/>
        </w:rPr>
        <w:t>D</w:t>
      </w:r>
      <w:r w:rsidRPr="004D52DB">
        <w:rPr>
          <w:rFonts w:asciiTheme="minorHAnsi" w:hAnsiTheme="minorHAnsi" w:cstheme="minorHAnsi"/>
          <w:sz w:val="22"/>
          <w:szCs w:val="22"/>
        </w:rPr>
        <w:t xml:space="preserve">ofinansowanie nie będzie udzielone na </w:t>
      </w:r>
      <w:r w:rsidR="006058C0">
        <w:rPr>
          <w:rFonts w:asciiTheme="minorHAnsi" w:hAnsiTheme="minorHAnsi" w:cstheme="minorHAnsi"/>
          <w:sz w:val="22"/>
          <w:szCs w:val="22"/>
        </w:rPr>
        <w:t>przedsięwzięcia</w:t>
      </w:r>
      <w:r w:rsidRPr="004D52DB">
        <w:rPr>
          <w:rFonts w:asciiTheme="minorHAnsi" w:hAnsiTheme="minorHAnsi" w:cstheme="minorHAnsi"/>
          <w:sz w:val="22"/>
          <w:szCs w:val="22"/>
        </w:rPr>
        <w:t xml:space="preserve"> zakończone przed dniem złożenia wniosku o dofinansowanie</w:t>
      </w:r>
      <w:r w:rsidR="009213BF" w:rsidRPr="00D82E97">
        <w:rPr>
          <w:rFonts w:asciiTheme="minorHAnsi" w:hAnsiTheme="minorHAnsi" w:cstheme="minorHAnsi"/>
          <w:sz w:val="22"/>
          <w:szCs w:val="22"/>
        </w:rPr>
        <w:t>.</w:t>
      </w:r>
    </w:p>
    <w:p w14:paraId="2D8DDF00" w14:textId="0F417902" w:rsidR="00D82E97" w:rsidRDefault="00D82E97" w:rsidP="002147E8">
      <w:pPr>
        <w:pStyle w:val="Akapitzlist"/>
        <w:numPr>
          <w:ilvl w:val="0"/>
          <w:numId w:val="16"/>
        </w:numPr>
        <w:autoSpaceDE w:val="0"/>
        <w:autoSpaceDN w:val="0"/>
        <w:adjustRightInd w:val="0"/>
        <w:ind w:left="568" w:hanging="284"/>
        <w:rPr>
          <w:rFonts w:asciiTheme="minorHAnsi" w:hAnsiTheme="minorHAnsi" w:cstheme="minorHAnsi"/>
          <w:sz w:val="22"/>
          <w:szCs w:val="22"/>
        </w:rPr>
      </w:pPr>
      <w:r>
        <w:rPr>
          <w:rFonts w:asciiTheme="minorHAnsi" w:hAnsiTheme="minorHAnsi" w:cstheme="minorHAnsi"/>
          <w:sz w:val="22"/>
          <w:szCs w:val="22"/>
        </w:rPr>
        <w:t xml:space="preserve">Dofinansowanie nie będzie udzielane na koszty przedsięwzięcia, </w:t>
      </w:r>
      <w:r w:rsidRPr="00D82E97">
        <w:rPr>
          <w:rFonts w:asciiTheme="minorHAnsi" w:hAnsiTheme="minorHAnsi" w:cstheme="minorHAnsi"/>
          <w:sz w:val="22"/>
          <w:szCs w:val="22"/>
        </w:rPr>
        <w:t>które zostały sfinansowane z</w:t>
      </w:r>
      <w:r>
        <w:rPr>
          <w:rFonts w:asciiTheme="minorHAnsi" w:hAnsiTheme="minorHAnsi" w:cstheme="minorHAnsi"/>
          <w:sz w:val="22"/>
          <w:szCs w:val="22"/>
        </w:rPr>
        <w:t> </w:t>
      </w:r>
      <w:r w:rsidRPr="00D82E97">
        <w:rPr>
          <w:rFonts w:asciiTheme="minorHAnsi" w:hAnsiTheme="minorHAnsi" w:cstheme="minorHAnsi"/>
          <w:sz w:val="22"/>
          <w:szCs w:val="22"/>
        </w:rPr>
        <w:t>publicznych środków krajowych lub zagranicznych, oraz innych środków budżetu Unii Europejskiej</w:t>
      </w:r>
      <w:r>
        <w:rPr>
          <w:rFonts w:asciiTheme="minorHAnsi" w:hAnsiTheme="minorHAnsi" w:cstheme="minorHAnsi"/>
          <w:sz w:val="22"/>
          <w:szCs w:val="22"/>
        </w:rPr>
        <w:t>.</w:t>
      </w:r>
    </w:p>
    <w:p w14:paraId="3ED916A4" w14:textId="65F03492" w:rsidR="00806CAE" w:rsidRDefault="00806CAE" w:rsidP="002147E8">
      <w:pPr>
        <w:pStyle w:val="Akapitzlist"/>
        <w:numPr>
          <w:ilvl w:val="0"/>
          <w:numId w:val="16"/>
        </w:numPr>
        <w:autoSpaceDE w:val="0"/>
        <w:autoSpaceDN w:val="0"/>
        <w:adjustRightInd w:val="0"/>
        <w:ind w:left="568" w:hanging="284"/>
        <w:rPr>
          <w:rFonts w:asciiTheme="minorHAnsi" w:hAnsiTheme="minorHAnsi" w:cstheme="minorHAnsi"/>
          <w:sz w:val="22"/>
          <w:szCs w:val="22"/>
        </w:rPr>
      </w:pPr>
      <w:r>
        <w:rPr>
          <w:rFonts w:asciiTheme="minorHAnsi" w:hAnsiTheme="minorHAnsi" w:cstheme="minorHAnsi"/>
          <w:sz w:val="22"/>
          <w:szCs w:val="22"/>
        </w:rPr>
        <w:t>D</w:t>
      </w:r>
      <w:r w:rsidRPr="00806CAE">
        <w:rPr>
          <w:rFonts w:asciiTheme="minorHAnsi" w:hAnsiTheme="minorHAnsi" w:cstheme="minorHAnsi"/>
          <w:sz w:val="22"/>
          <w:szCs w:val="22"/>
        </w:rPr>
        <w:t xml:space="preserve">ofinansowanie może odbywać się w formie refundacji poniesionych kosztów kwalifikowanych lub w formie zaliczek. </w:t>
      </w:r>
    </w:p>
    <w:p w14:paraId="0CA89BA0" w14:textId="66B24F05" w:rsidR="009213BF" w:rsidRPr="004E5C2D" w:rsidRDefault="009213BF" w:rsidP="002147E8">
      <w:pPr>
        <w:pStyle w:val="Akapitzlist"/>
        <w:numPr>
          <w:ilvl w:val="0"/>
          <w:numId w:val="16"/>
        </w:numPr>
        <w:autoSpaceDE w:val="0"/>
        <w:autoSpaceDN w:val="0"/>
        <w:adjustRightInd w:val="0"/>
        <w:ind w:left="568" w:hanging="284"/>
        <w:rPr>
          <w:rFonts w:asciiTheme="minorHAnsi" w:hAnsiTheme="minorHAnsi" w:cstheme="minorHAnsi"/>
          <w:sz w:val="22"/>
          <w:szCs w:val="22"/>
        </w:rPr>
      </w:pPr>
      <w:r w:rsidRPr="004E5C2D">
        <w:rPr>
          <w:rFonts w:asciiTheme="minorHAnsi" w:hAnsiTheme="minorHAnsi" w:cstheme="minorHAnsi"/>
          <w:sz w:val="22"/>
          <w:szCs w:val="22"/>
        </w:rPr>
        <w:t xml:space="preserve">Okres trwałości wynosi 5 lat od dnia zakończenia realizacji </w:t>
      </w:r>
      <w:r w:rsidR="00487AAE" w:rsidRPr="004E5C2D">
        <w:rPr>
          <w:rFonts w:asciiTheme="minorHAnsi" w:hAnsiTheme="minorHAnsi" w:cstheme="minorHAnsi"/>
          <w:sz w:val="22"/>
          <w:szCs w:val="22"/>
        </w:rPr>
        <w:t>przedsięwzięcia</w:t>
      </w:r>
      <w:r w:rsidRPr="004E5C2D">
        <w:rPr>
          <w:rFonts w:asciiTheme="minorHAnsi" w:hAnsiTheme="minorHAnsi" w:cstheme="minorHAnsi"/>
          <w:sz w:val="22"/>
          <w:szCs w:val="22"/>
        </w:rPr>
        <w:t>.</w:t>
      </w:r>
    </w:p>
    <w:p w14:paraId="73D6F3C7" w14:textId="43CCD7ED" w:rsidR="009859FA" w:rsidRPr="00806CAE" w:rsidRDefault="009859FA" w:rsidP="002147E8">
      <w:pPr>
        <w:pStyle w:val="Akapitzlist"/>
        <w:numPr>
          <w:ilvl w:val="0"/>
          <w:numId w:val="16"/>
        </w:numPr>
        <w:autoSpaceDE w:val="0"/>
        <w:autoSpaceDN w:val="0"/>
        <w:adjustRightInd w:val="0"/>
        <w:ind w:left="567" w:hanging="283"/>
        <w:rPr>
          <w:rFonts w:asciiTheme="minorHAnsi" w:hAnsiTheme="minorHAnsi" w:cstheme="minorHAnsi"/>
          <w:sz w:val="22"/>
          <w:szCs w:val="22"/>
        </w:rPr>
      </w:pPr>
      <w:r w:rsidRPr="00806CAE">
        <w:rPr>
          <w:rFonts w:asciiTheme="minorHAnsi" w:hAnsiTheme="minorHAnsi" w:cstheme="minorHAnsi"/>
          <w:sz w:val="22"/>
          <w:szCs w:val="22"/>
        </w:rPr>
        <w:t>Wcześniejsza spłata kapitału pożyczki nie powoduje naliczani</w:t>
      </w:r>
      <w:r w:rsidR="004E5C2D" w:rsidRPr="00806CAE">
        <w:rPr>
          <w:rFonts w:asciiTheme="minorHAnsi" w:hAnsiTheme="minorHAnsi" w:cstheme="minorHAnsi"/>
          <w:sz w:val="22"/>
          <w:szCs w:val="22"/>
        </w:rPr>
        <w:t>a</w:t>
      </w:r>
      <w:r w:rsidRPr="00806CAE">
        <w:rPr>
          <w:rFonts w:asciiTheme="minorHAnsi" w:hAnsiTheme="minorHAnsi" w:cstheme="minorHAnsi"/>
          <w:sz w:val="22"/>
          <w:szCs w:val="22"/>
        </w:rPr>
        <w:t xml:space="preserve"> dodatkowych </w:t>
      </w:r>
      <w:r w:rsidR="00806CAE" w:rsidRPr="00806CAE">
        <w:rPr>
          <w:rFonts w:asciiTheme="minorHAnsi" w:hAnsiTheme="minorHAnsi" w:cstheme="minorHAnsi"/>
          <w:sz w:val="22"/>
          <w:szCs w:val="22"/>
        </w:rPr>
        <w:t>prowizji i kar</w:t>
      </w:r>
      <w:r w:rsidR="00806CAE">
        <w:rPr>
          <w:rFonts w:asciiTheme="minorHAnsi" w:hAnsiTheme="minorHAnsi" w:cstheme="minorHAnsi"/>
          <w:sz w:val="22"/>
          <w:szCs w:val="22"/>
        </w:rPr>
        <w:t xml:space="preserve"> </w:t>
      </w:r>
      <w:r w:rsidR="00806CAE" w:rsidRPr="00806CAE">
        <w:rPr>
          <w:rFonts w:asciiTheme="minorHAnsi" w:hAnsiTheme="minorHAnsi" w:cstheme="minorHAnsi"/>
          <w:sz w:val="22"/>
          <w:szCs w:val="22"/>
        </w:rPr>
        <w:t>umownych.</w:t>
      </w:r>
    </w:p>
    <w:p w14:paraId="02767BE1" w14:textId="77777777" w:rsidR="00E232BE" w:rsidRPr="00EF7145" w:rsidRDefault="00E1289F" w:rsidP="00EF64FC">
      <w:pPr>
        <w:pStyle w:val="Akapitzlist"/>
        <w:numPr>
          <w:ilvl w:val="1"/>
          <w:numId w:val="3"/>
        </w:numPr>
        <w:tabs>
          <w:tab w:val="left" w:pos="426"/>
        </w:tabs>
        <w:autoSpaceDE w:val="0"/>
        <w:autoSpaceDN w:val="0"/>
        <w:adjustRightInd w:val="0"/>
        <w:spacing w:before="120"/>
        <w:ind w:left="425" w:hanging="425"/>
        <w:contextualSpacing w:val="0"/>
        <w:jc w:val="both"/>
        <w:rPr>
          <w:rFonts w:asciiTheme="minorHAnsi" w:hAnsiTheme="minorHAnsi" w:cstheme="minorHAnsi"/>
          <w:b/>
          <w:sz w:val="22"/>
          <w:szCs w:val="22"/>
        </w:rPr>
      </w:pPr>
      <w:r w:rsidRPr="00EF7145">
        <w:rPr>
          <w:rFonts w:asciiTheme="minorHAnsi" w:hAnsiTheme="minorHAnsi" w:cstheme="minorHAnsi"/>
          <w:b/>
          <w:sz w:val="22"/>
          <w:szCs w:val="22"/>
        </w:rPr>
        <w:t>Beneficjenci</w:t>
      </w:r>
    </w:p>
    <w:p w14:paraId="6913ADB0" w14:textId="4E1347B8" w:rsidR="00DA2497" w:rsidRPr="00EF7145" w:rsidRDefault="002548B8" w:rsidP="002147E8">
      <w:pPr>
        <w:pStyle w:val="Akapitzlist"/>
        <w:autoSpaceDE w:val="0"/>
        <w:autoSpaceDN w:val="0"/>
        <w:adjustRightInd w:val="0"/>
        <w:ind w:left="284"/>
        <w:contextualSpacing w:val="0"/>
        <w:rPr>
          <w:rFonts w:asciiTheme="minorHAnsi" w:hAnsiTheme="minorHAnsi"/>
          <w:sz w:val="22"/>
          <w:szCs w:val="22"/>
        </w:rPr>
      </w:pPr>
      <w:r>
        <w:rPr>
          <w:rFonts w:asciiTheme="minorHAnsi" w:hAnsiTheme="minorHAnsi"/>
          <w:sz w:val="22"/>
          <w:szCs w:val="22"/>
        </w:rPr>
        <w:t>D</w:t>
      </w:r>
      <w:r w:rsidR="007C5FC9" w:rsidRPr="00EF7145">
        <w:rPr>
          <w:rFonts w:asciiTheme="minorHAnsi" w:hAnsiTheme="minorHAnsi"/>
          <w:sz w:val="22"/>
          <w:szCs w:val="22"/>
        </w:rPr>
        <w:t xml:space="preserve">uże przedsiębiorstwa, </w:t>
      </w:r>
      <w:r w:rsidR="00DA2497" w:rsidRPr="00EF7145">
        <w:rPr>
          <w:rFonts w:asciiTheme="minorHAnsi" w:hAnsiTheme="minorHAnsi"/>
          <w:sz w:val="22"/>
          <w:szCs w:val="22"/>
        </w:rPr>
        <w:t>tj. przedsiębiorstwa, które nie</w:t>
      </w:r>
      <w:r w:rsidR="0006682E">
        <w:rPr>
          <w:rFonts w:asciiTheme="minorHAnsi" w:hAnsiTheme="minorHAnsi"/>
          <w:sz w:val="22"/>
          <w:szCs w:val="22"/>
        </w:rPr>
        <w:t xml:space="preserve"> spełniają kryteriów</w:t>
      </w:r>
      <w:r w:rsidR="00E944D9">
        <w:rPr>
          <w:rFonts w:asciiTheme="minorHAnsi" w:hAnsiTheme="minorHAnsi"/>
          <w:sz w:val="22"/>
          <w:szCs w:val="22"/>
        </w:rPr>
        <w:t xml:space="preserve"> określonych w</w:t>
      </w:r>
      <w:r w:rsidR="002147E8">
        <w:rPr>
          <w:rFonts w:asciiTheme="minorHAnsi" w:hAnsiTheme="minorHAnsi"/>
          <w:sz w:val="22"/>
          <w:szCs w:val="22"/>
        </w:rPr>
        <w:t> </w:t>
      </w:r>
      <w:r w:rsidR="00DA2497" w:rsidRPr="00EF7145">
        <w:rPr>
          <w:rFonts w:asciiTheme="minorHAnsi" w:hAnsiTheme="minorHAnsi"/>
          <w:sz w:val="22"/>
          <w:szCs w:val="22"/>
        </w:rPr>
        <w:t>załącznik</w:t>
      </w:r>
      <w:r w:rsidR="0006682E">
        <w:rPr>
          <w:rFonts w:asciiTheme="minorHAnsi" w:hAnsiTheme="minorHAnsi"/>
          <w:sz w:val="22"/>
          <w:szCs w:val="22"/>
        </w:rPr>
        <w:t>u</w:t>
      </w:r>
      <w:r w:rsidR="00DA2497" w:rsidRPr="00EF7145">
        <w:rPr>
          <w:rFonts w:asciiTheme="minorHAnsi" w:hAnsiTheme="minorHAnsi"/>
          <w:sz w:val="22"/>
          <w:szCs w:val="22"/>
        </w:rPr>
        <w:t xml:space="preserve"> I do </w:t>
      </w:r>
      <w:r w:rsidR="00EF7145" w:rsidRPr="00EF7145">
        <w:rPr>
          <w:rFonts w:asciiTheme="minorHAnsi" w:hAnsiTheme="minorHAnsi"/>
          <w:sz w:val="22"/>
          <w:szCs w:val="22"/>
        </w:rPr>
        <w:t>Rozporządzeni</w:t>
      </w:r>
      <w:r w:rsidR="008B7D8E">
        <w:rPr>
          <w:rFonts w:asciiTheme="minorHAnsi" w:hAnsiTheme="minorHAnsi"/>
          <w:sz w:val="22"/>
          <w:szCs w:val="22"/>
        </w:rPr>
        <w:t>a</w:t>
      </w:r>
      <w:r w:rsidR="00EF7145" w:rsidRPr="00EF7145">
        <w:rPr>
          <w:rFonts w:asciiTheme="minorHAnsi" w:hAnsiTheme="minorHAnsi"/>
          <w:sz w:val="22"/>
          <w:szCs w:val="22"/>
        </w:rPr>
        <w:t xml:space="preserve"> Komisji (UE) nr 651/2014 z dnia 17 czerwca 2014 r. uznające</w:t>
      </w:r>
      <w:r w:rsidR="00E944D9">
        <w:rPr>
          <w:rFonts w:asciiTheme="minorHAnsi" w:hAnsiTheme="minorHAnsi"/>
          <w:sz w:val="22"/>
          <w:szCs w:val="22"/>
        </w:rPr>
        <w:t>go</w:t>
      </w:r>
      <w:r w:rsidR="00EF7145" w:rsidRPr="00EF7145">
        <w:rPr>
          <w:rFonts w:asciiTheme="minorHAnsi" w:hAnsiTheme="minorHAnsi"/>
          <w:sz w:val="22"/>
          <w:szCs w:val="22"/>
        </w:rPr>
        <w:t xml:space="preserve"> niektóre rodzaje pomocy za zgodne z rynkiem wewnętrznym w zastosowaniu art.</w:t>
      </w:r>
      <w:r w:rsidR="005E4114">
        <w:rPr>
          <w:rFonts w:asciiTheme="minorHAnsi" w:hAnsiTheme="minorHAnsi"/>
          <w:sz w:val="22"/>
          <w:szCs w:val="22"/>
        </w:rPr>
        <w:t> </w:t>
      </w:r>
      <w:r w:rsidR="00EF7145" w:rsidRPr="00EF7145">
        <w:rPr>
          <w:rFonts w:asciiTheme="minorHAnsi" w:hAnsiTheme="minorHAnsi"/>
          <w:sz w:val="22"/>
          <w:szCs w:val="22"/>
        </w:rPr>
        <w:t>107 i 108 Traktatu.</w:t>
      </w:r>
    </w:p>
    <w:p w14:paraId="6DEF4B2B" w14:textId="78E4B40F" w:rsidR="002431AC" w:rsidRPr="0061251B" w:rsidRDefault="00825F71" w:rsidP="004B0C3F">
      <w:pPr>
        <w:pStyle w:val="Akapitzlist"/>
        <w:numPr>
          <w:ilvl w:val="1"/>
          <w:numId w:val="3"/>
        </w:numPr>
        <w:tabs>
          <w:tab w:val="left" w:pos="426"/>
        </w:tabs>
        <w:autoSpaceDE w:val="0"/>
        <w:autoSpaceDN w:val="0"/>
        <w:adjustRightInd w:val="0"/>
        <w:spacing w:before="240"/>
        <w:ind w:left="425" w:hanging="425"/>
        <w:contextualSpacing w:val="0"/>
        <w:jc w:val="both"/>
        <w:rPr>
          <w:rFonts w:asciiTheme="minorHAnsi" w:hAnsiTheme="minorHAnsi" w:cstheme="minorHAnsi"/>
          <w:b/>
          <w:sz w:val="22"/>
          <w:szCs w:val="22"/>
        </w:rPr>
      </w:pPr>
      <w:r w:rsidRPr="0061251B">
        <w:rPr>
          <w:rFonts w:asciiTheme="minorHAnsi" w:hAnsiTheme="minorHAnsi" w:cstheme="minorHAnsi"/>
          <w:b/>
          <w:sz w:val="22"/>
          <w:szCs w:val="22"/>
        </w:rPr>
        <w:lastRenderedPageBreak/>
        <w:t>Rodzaje przedsięwzięć</w:t>
      </w:r>
    </w:p>
    <w:p w14:paraId="7E0DEE53" w14:textId="781F7411" w:rsidR="002B1D6E" w:rsidRPr="0061251B" w:rsidRDefault="002B1D6E" w:rsidP="002147E8">
      <w:pPr>
        <w:pStyle w:val="Akapitzlist"/>
        <w:numPr>
          <w:ilvl w:val="2"/>
          <w:numId w:val="3"/>
        </w:numPr>
        <w:autoSpaceDE w:val="0"/>
        <w:autoSpaceDN w:val="0"/>
        <w:adjustRightInd w:val="0"/>
        <w:spacing w:before="120"/>
        <w:rPr>
          <w:rFonts w:asciiTheme="minorHAnsi" w:hAnsiTheme="minorHAnsi" w:cstheme="minorHAnsi"/>
          <w:sz w:val="22"/>
          <w:szCs w:val="22"/>
        </w:rPr>
      </w:pPr>
      <w:r w:rsidRPr="0061251B">
        <w:rPr>
          <w:rFonts w:asciiTheme="minorHAnsi" w:hAnsiTheme="minorHAnsi" w:cstheme="minorHAnsi"/>
          <w:sz w:val="22"/>
          <w:szCs w:val="22"/>
        </w:rPr>
        <w:t>Przedsięwzięcia służące poprawie efektywności energetycznej</w:t>
      </w:r>
      <w:r w:rsidR="00EF7145" w:rsidRPr="0061251B">
        <w:rPr>
          <w:rFonts w:asciiTheme="minorHAnsi" w:hAnsiTheme="minorHAnsi" w:cstheme="minorHAnsi"/>
          <w:sz w:val="22"/>
          <w:szCs w:val="22"/>
        </w:rPr>
        <w:t>:</w:t>
      </w:r>
    </w:p>
    <w:p w14:paraId="5197C52A" w14:textId="2795EE2F" w:rsidR="00EF7145" w:rsidRPr="00485FD5" w:rsidRDefault="004D52DB" w:rsidP="002147E8">
      <w:pPr>
        <w:pStyle w:val="Akapitzlist"/>
        <w:numPr>
          <w:ilvl w:val="0"/>
          <w:numId w:val="17"/>
        </w:numPr>
        <w:autoSpaceDE w:val="0"/>
        <w:autoSpaceDN w:val="0"/>
        <w:adjustRightInd w:val="0"/>
        <w:spacing w:before="120"/>
        <w:ind w:left="1418" w:hanging="284"/>
        <w:contextualSpacing w:val="0"/>
        <w:rPr>
          <w:rFonts w:asciiTheme="minorHAnsi" w:hAnsiTheme="minorHAnsi" w:cstheme="minorHAnsi"/>
          <w:sz w:val="22"/>
          <w:szCs w:val="22"/>
        </w:rPr>
      </w:pPr>
      <w:r w:rsidRPr="004D52DB">
        <w:rPr>
          <w:rFonts w:asciiTheme="minorHAnsi" w:hAnsiTheme="minorHAnsi" w:cstheme="minorHAnsi"/>
          <w:bCs/>
          <w:sz w:val="22"/>
          <w:szCs w:val="22"/>
        </w:rPr>
        <w:t>polegające m.in. na budowie, rozbudowie lub modernizacji istniejących instalacji przemysłowo-produkcyjnych, urządzeń przemysłowych i instalacji elektroenergetycznych mających na celu poprawę ich efektywności energetycznej,</w:t>
      </w:r>
    </w:p>
    <w:p w14:paraId="0D2C4629" w14:textId="0B238FA3" w:rsidR="00EF7145" w:rsidRPr="00561E48" w:rsidRDefault="00EF7145" w:rsidP="002147E8">
      <w:pPr>
        <w:pStyle w:val="Akapitzlist"/>
        <w:numPr>
          <w:ilvl w:val="0"/>
          <w:numId w:val="17"/>
        </w:numPr>
        <w:autoSpaceDE w:val="0"/>
        <w:autoSpaceDN w:val="0"/>
        <w:adjustRightInd w:val="0"/>
        <w:spacing w:before="60"/>
        <w:ind w:left="1418" w:hanging="284"/>
        <w:contextualSpacing w:val="0"/>
        <w:rPr>
          <w:rFonts w:asciiTheme="minorHAnsi" w:hAnsiTheme="minorHAnsi" w:cstheme="minorHAnsi"/>
          <w:sz w:val="22"/>
          <w:szCs w:val="22"/>
        </w:rPr>
      </w:pPr>
      <w:r w:rsidRPr="0061251B">
        <w:rPr>
          <w:rFonts w:asciiTheme="minorHAnsi" w:hAnsiTheme="minorHAnsi" w:cstheme="minorHAnsi"/>
          <w:bCs/>
          <w:sz w:val="22"/>
          <w:szCs w:val="22"/>
        </w:rPr>
        <w:t>zwiększające udział wykorzystywania niskoemisyjnych lub zeroemisyjnych paliw w</w:t>
      </w:r>
      <w:r w:rsidR="0061251B">
        <w:rPr>
          <w:rFonts w:asciiTheme="minorHAnsi" w:hAnsiTheme="minorHAnsi" w:cstheme="minorHAnsi"/>
          <w:bCs/>
          <w:sz w:val="22"/>
          <w:szCs w:val="22"/>
        </w:rPr>
        <w:t> </w:t>
      </w:r>
      <w:r w:rsidRPr="0061251B">
        <w:rPr>
          <w:rFonts w:asciiTheme="minorHAnsi" w:hAnsiTheme="minorHAnsi" w:cstheme="minorHAnsi"/>
          <w:bCs/>
          <w:sz w:val="22"/>
          <w:szCs w:val="22"/>
        </w:rPr>
        <w:t>procesach wytwarzania, z zachowaniem najwyższych standardów emisyjnych,</w:t>
      </w:r>
    </w:p>
    <w:p w14:paraId="4578EB90" w14:textId="303F033F" w:rsidR="00EF7145" w:rsidRPr="00561E48" w:rsidRDefault="00EF7145" w:rsidP="002147E8">
      <w:pPr>
        <w:pStyle w:val="Akapitzlist"/>
        <w:numPr>
          <w:ilvl w:val="0"/>
          <w:numId w:val="17"/>
        </w:numPr>
        <w:autoSpaceDE w:val="0"/>
        <w:autoSpaceDN w:val="0"/>
        <w:adjustRightInd w:val="0"/>
        <w:spacing w:before="60"/>
        <w:ind w:left="1418" w:hanging="284"/>
        <w:contextualSpacing w:val="0"/>
        <w:rPr>
          <w:rFonts w:asciiTheme="minorHAnsi" w:hAnsiTheme="minorHAnsi" w:cstheme="minorHAnsi"/>
          <w:sz w:val="22"/>
          <w:szCs w:val="22"/>
        </w:rPr>
      </w:pPr>
      <w:r w:rsidRPr="0061251B">
        <w:rPr>
          <w:rFonts w:asciiTheme="minorHAnsi" w:hAnsiTheme="minorHAnsi" w:cstheme="minorHAnsi"/>
          <w:bCs/>
          <w:sz w:val="22"/>
          <w:szCs w:val="22"/>
        </w:rPr>
        <w:t>polegające na zastąpieniu niskoefektywnych energetycznie źródeł ciepła wykorzystujących paliwa (stałe, ciekłe, gazowe) lub energię elektryczną źródłami charakteryzującymi się wyższą efektywnością energetyczną,</w:t>
      </w:r>
    </w:p>
    <w:p w14:paraId="13EB7015" w14:textId="22BF913D" w:rsidR="00EF7145" w:rsidRPr="0061251B" w:rsidRDefault="00EF7145" w:rsidP="002147E8">
      <w:pPr>
        <w:pStyle w:val="Akapitzlist"/>
        <w:numPr>
          <w:ilvl w:val="0"/>
          <w:numId w:val="17"/>
        </w:numPr>
        <w:autoSpaceDE w:val="0"/>
        <w:autoSpaceDN w:val="0"/>
        <w:adjustRightInd w:val="0"/>
        <w:spacing w:before="60"/>
        <w:ind w:left="1418" w:hanging="284"/>
        <w:contextualSpacing w:val="0"/>
        <w:rPr>
          <w:rFonts w:asciiTheme="minorHAnsi" w:hAnsiTheme="minorHAnsi" w:cstheme="minorHAnsi"/>
          <w:sz w:val="22"/>
          <w:szCs w:val="22"/>
        </w:rPr>
      </w:pPr>
      <w:r w:rsidRPr="0061251B">
        <w:rPr>
          <w:rFonts w:asciiTheme="minorHAnsi" w:hAnsiTheme="minorHAnsi" w:cstheme="minorHAnsi"/>
          <w:bCs/>
          <w:sz w:val="22"/>
          <w:szCs w:val="22"/>
        </w:rPr>
        <w:t>termomodernizacji budynków i obiektów wykorzystyw</w:t>
      </w:r>
      <w:r w:rsidR="00561E48">
        <w:rPr>
          <w:rFonts w:asciiTheme="minorHAnsi" w:hAnsiTheme="minorHAnsi" w:cstheme="minorHAnsi"/>
          <w:bCs/>
          <w:sz w:val="22"/>
          <w:szCs w:val="22"/>
        </w:rPr>
        <w:t>anych w procesach przemysłowych.</w:t>
      </w:r>
    </w:p>
    <w:p w14:paraId="2F070D63" w14:textId="38728CBE" w:rsidR="008727B7" w:rsidRDefault="008727B7" w:rsidP="002147E8">
      <w:pPr>
        <w:autoSpaceDE w:val="0"/>
        <w:autoSpaceDN w:val="0"/>
        <w:adjustRightInd w:val="0"/>
        <w:spacing w:before="120"/>
        <w:ind w:left="1074"/>
        <w:rPr>
          <w:rFonts w:asciiTheme="minorHAnsi" w:hAnsiTheme="minorHAnsi" w:cstheme="minorHAnsi"/>
          <w:sz w:val="22"/>
          <w:szCs w:val="22"/>
        </w:rPr>
      </w:pPr>
      <w:r>
        <w:rPr>
          <w:rFonts w:asciiTheme="minorHAnsi" w:hAnsiTheme="minorHAnsi" w:cstheme="minorHAnsi"/>
          <w:sz w:val="22"/>
          <w:szCs w:val="22"/>
        </w:rPr>
        <w:t>O</w:t>
      </w:r>
      <w:r w:rsidRPr="008727B7">
        <w:rPr>
          <w:rFonts w:asciiTheme="minorHAnsi" w:hAnsiTheme="minorHAnsi" w:cstheme="minorHAnsi"/>
          <w:sz w:val="22"/>
          <w:szCs w:val="22"/>
        </w:rPr>
        <w:t xml:space="preserve">szczędność energii końcowej w ciągu roku w przedsiębiorstwie </w:t>
      </w:r>
      <w:r>
        <w:rPr>
          <w:rFonts w:asciiTheme="minorHAnsi" w:hAnsiTheme="minorHAnsi" w:cstheme="minorHAnsi"/>
          <w:sz w:val="22"/>
          <w:szCs w:val="22"/>
        </w:rPr>
        <w:t>w wyniku działania inwestycyjnego musi wynosić</w:t>
      </w:r>
      <w:r w:rsidRPr="008727B7">
        <w:rPr>
          <w:rFonts w:asciiTheme="minorHAnsi" w:hAnsiTheme="minorHAnsi" w:cstheme="minorHAnsi"/>
          <w:sz w:val="22"/>
          <w:szCs w:val="22"/>
        </w:rPr>
        <w:t xml:space="preserve"> co najmniej 125 </w:t>
      </w:r>
      <w:proofErr w:type="spellStart"/>
      <w:r w:rsidRPr="008727B7">
        <w:rPr>
          <w:rFonts w:asciiTheme="minorHAnsi" w:hAnsiTheme="minorHAnsi" w:cstheme="minorHAnsi"/>
          <w:sz w:val="22"/>
          <w:szCs w:val="22"/>
        </w:rPr>
        <w:t>toe</w:t>
      </w:r>
      <w:proofErr w:type="spellEnd"/>
      <w:r w:rsidRPr="008727B7">
        <w:rPr>
          <w:rFonts w:asciiTheme="minorHAnsi" w:hAnsiTheme="minorHAnsi" w:cstheme="minorHAnsi"/>
          <w:sz w:val="22"/>
          <w:szCs w:val="22"/>
        </w:rPr>
        <w:t>/rok na przedsiębiorstwo realizujące projekt lub oszczędność energii końcowej w odniesieniu do jednostki produktu w</w:t>
      </w:r>
      <w:r w:rsidR="002147E8">
        <w:rPr>
          <w:rFonts w:asciiTheme="minorHAnsi" w:hAnsiTheme="minorHAnsi" w:cstheme="minorHAnsi"/>
          <w:sz w:val="22"/>
          <w:szCs w:val="22"/>
        </w:rPr>
        <w:t> </w:t>
      </w:r>
      <w:r w:rsidRPr="008727B7">
        <w:rPr>
          <w:rFonts w:asciiTheme="minorHAnsi" w:hAnsiTheme="minorHAnsi" w:cstheme="minorHAnsi"/>
          <w:sz w:val="22"/>
          <w:szCs w:val="22"/>
        </w:rPr>
        <w:t xml:space="preserve">zakresie realizowanego projektu (np. w zakładzie produkcyjnym objętym projektem) </w:t>
      </w:r>
      <w:r>
        <w:rPr>
          <w:rFonts w:asciiTheme="minorHAnsi" w:hAnsiTheme="minorHAnsi" w:cstheme="minorHAnsi"/>
          <w:sz w:val="22"/>
          <w:szCs w:val="22"/>
        </w:rPr>
        <w:t>musi wynosić nie mniej</w:t>
      </w:r>
      <w:r w:rsidRPr="008727B7">
        <w:rPr>
          <w:rFonts w:asciiTheme="minorHAnsi" w:hAnsiTheme="minorHAnsi" w:cstheme="minorHAnsi"/>
          <w:sz w:val="22"/>
          <w:szCs w:val="22"/>
        </w:rPr>
        <w:t xml:space="preserve"> niż 10%.</w:t>
      </w:r>
    </w:p>
    <w:p w14:paraId="3FFD436E" w14:textId="3F4D4786" w:rsidR="00BE3CD2" w:rsidRPr="0006682E" w:rsidRDefault="00BE3CD2" w:rsidP="002147E8">
      <w:pPr>
        <w:pStyle w:val="Akapitzlist"/>
        <w:numPr>
          <w:ilvl w:val="2"/>
          <w:numId w:val="3"/>
        </w:numPr>
        <w:autoSpaceDE w:val="0"/>
        <w:autoSpaceDN w:val="0"/>
        <w:adjustRightInd w:val="0"/>
        <w:spacing w:before="120"/>
        <w:contextualSpacing w:val="0"/>
        <w:rPr>
          <w:rFonts w:asciiTheme="minorHAnsi" w:hAnsiTheme="minorHAnsi" w:cstheme="minorHAnsi"/>
          <w:sz w:val="22"/>
          <w:szCs w:val="22"/>
        </w:rPr>
      </w:pPr>
      <w:r w:rsidRPr="0006682E">
        <w:rPr>
          <w:rFonts w:asciiTheme="minorHAnsi" w:hAnsiTheme="minorHAnsi" w:cstheme="minorHAnsi"/>
          <w:sz w:val="22"/>
          <w:szCs w:val="22"/>
        </w:rPr>
        <w:t>Przedsięwzięcia dotyczące budowy lub przebudowy jednostek wytwórczych</w:t>
      </w:r>
      <w:r w:rsidR="004D52DB" w:rsidRPr="004D52DB">
        <w:t xml:space="preserve"> </w:t>
      </w:r>
      <w:r w:rsidR="004D52DB" w:rsidRPr="004D52DB">
        <w:rPr>
          <w:rFonts w:asciiTheme="minorHAnsi" w:hAnsiTheme="minorHAnsi" w:cstheme="minorHAnsi"/>
          <w:sz w:val="22"/>
          <w:szCs w:val="22"/>
        </w:rPr>
        <w:t>na potrzeby własne</w:t>
      </w:r>
      <w:r w:rsidR="00A76D29" w:rsidRPr="0006682E">
        <w:rPr>
          <w:rFonts w:asciiTheme="minorHAnsi" w:hAnsiTheme="minorHAnsi" w:cstheme="minorHAnsi"/>
          <w:sz w:val="22"/>
          <w:szCs w:val="22"/>
        </w:rPr>
        <w:t>:</w:t>
      </w:r>
      <w:r w:rsidR="006B0B0D" w:rsidRPr="0006682E">
        <w:rPr>
          <w:rFonts w:asciiTheme="minorHAnsi" w:hAnsiTheme="minorHAnsi" w:cstheme="minorHAnsi"/>
          <w:sz w:val="22"/>
          <w:szCs w:val="22"/>
        </w:rPr>
        <w:t xml:space="preserve"> </w:t>
      </w:r>
    </w:p>
    <w:p w14:paraId="4B3C2053" w14:textId="21521369" w:rsidR="00A76D29" w:rsidRPr="0006682E" w:rsidRDefault="00A76D29" w:rsidP="002147E8">
      <w:pPr>
        <w:pStyle w:val="Akapitzlist"/>
        <w:numPr>
          <w:ilvl w:val="1"/>
          <w:numId w:val="16"/>
        </w:numPr>
        <w:autoSpaceDE w:val="0"/>
        <w:autoSpaceDN w:val="0"/>
        <w:adjustRightInd w:val="0"/>
        <w:spacing w:before="120"/>
        <w:ind w:left="1418" w:hanging="284"/>
        <w:contextualSpacing w:val="0"/>
        <w:rPr>
          <w:rFonts w:asciiTheme="minorHAnsi" w:hAnsiTheme="minorHAnsi" w:cstheme="minorHAnsi"/>
          <w:sz w:val="22"/>
          <w:szCs w:val="22"/>
        </w:rPr>
      </w:pPr>
      <w:r w:rsidRPr="0006682E">
        <w:rPr>
          <w:rFonts w:asciiTheme="minorHAnsi" w:hAnsiTheme="minorHAnsi" w:cstheme="minorHAnsi"/>
          <w:sz w:val="22"/>
          <w:szCs w:val="22"/>
        </w:rPr>
        <w:t>odnawialnych źródeł energii</w:t>
      </w:r>
      <w:r w:rsidR="00C32F7C">
        <w:rPr>
          <w:rFonts w:asciiTheme="minorHAnsi" w:hAnsiTheme="minorHAnsi" w:cstheme="minorHAnsi"/>
          <w:sz w:val="22"/>
          <w:szCs w:val="22"/>
        </w:rPr>
        <w:t xml:space="preserve"> (OZE)</w:t>
      </w:r>
      <w:r w:rsidRPr="0006682E">
        <w:rPr>
          <w:rFonts w:asciiTheme="minorHAnsi" w:hAnsiTheme="minorHAnsi" w:cstheme="minorHAnsi"/>
          <w:sz w:val="22"/>
          <w:szCs w:val="22"/>
        </w:rPr>
        <w:t xml:space="preserve"> w przedsiębiorstwach, w tym turbin wiatrowych, kolektorów słonecznych, paneli fotowoltaicznych, systemów geotermalnych, pomp ciepła,</w:t>
      </w:r>
    </w:p>
    <w:p w14:paraId="7308120C" w14:textId="3FEB4EC6" w:rsidR="00A76D29" w:rsidRPr="0006682E" w:rsidRDefault="00A76D29" w:rsidP="002147E8">
      <w:pPr>
        <w:pStyle w:val="Akapitzlist"/>
        <w:numPr>
          <w:ilvl w:val="1"/>
          <w:numId w:val="16"/>
        </w:numPr>
        <w:autoSpaceDE w:val="0"/>
        <w:autoSpaceDN w:val="0"/>
        <w:adjustRightInd w:val="0"/>
        <w:spacing w:before="60"/>
        <w:ind w:left="1418" w:hanging="284"/>
        <w:contextualSpacing w:val="0"/>
        <w:rPr>
          <w:rFonts w:asciiTheme="minorHAnsi" w:hAnsiTheme="minorHAnsi" w:cstheme="minorHAnsi"/>
          <w:sz w:val="22"/>
          <w:szCs w:val="22"/>
        </w:rPr>
      </w:pPr>
      <w:r w:rsidRPr="0006682E">
        <w:rPr>
          <w:rFonts w:asciiTheme="minorHAnsi" w:hAnsiTheme="minorHAnsi" w:cstheme="minorHAnsi"/>
          <w:sz w:val="22"/>
          <w:szCs w:val="22"/>
        </w:rPr>
        <w:t>magazynów energii w przedsiębiorstwach w powiązaniu z wytwarzaniem energii ze źródeł odnawialnych</w:t>
      </w:r>
      <w:r w:rsidR="003D587D">
        <w:rPr>
          <w:rFonts w:asciiTheme="minorHAnsi" w:hAnsiTheme="minorHAnsi" w:cstheme="minorHAnsi"/>
          <w:sz w:val="22"/>
          <w:szCs w:val="22"/>
        </w:rPr>
        <w:t xml:space="preserve">, tj. magazynów energii zintegrowanych z jednostką wytwórczą </w:t>
      </w:r>
      <w:r w:rsidR="00C0142A">
        <w:rPr>
          <w:rFonts w:asciiTheme="minorHAnsi" w:hAnsiTheme="minorHAnsi" w:cstheme="minorHAnsi"/>
          <w:sz w:val="22"/>
          <w:szCs w:val="22"/>
        </w:rPr>
        <w:t xml:space="preserve">OZE </w:t>
      </w:r>
      <w:r w:rsidR="003D587D">
        <w:rPr>
          <w:rFonts w:asciiTheme="minorHAnsi" w:hAnsiTheme="minorHAnsi" w:cstheme="minorHAnsi"/>
          <w:sz w:val="22"/>
          <w:szCs w:val="22"/>
        </w:rPr>
        <w:t>realizowaną równolegle w projekcie</w:t>
      </w:r>
      <w:r w:rsidRPr="0006682E">
        <w:rPr>
          <w:rFonts w:asciiTheme="minorHAnsi" w:hAnsiTheme="minorHAnsi" w:cstheme="minorHAnsi"/>
          <w:sz w:val="22"/>
          <w:szCs w:val="22"/>
        </w:rPr>
        <w:t>,</w:t>
      </w:r>
    </w:p>
    <w:p w14:paraId="0BB8DCFB" w14:textId="51B5F787" w:rsidR="00A76D29" w:rsidRPr="005E4114" w:rsidRDefault="00A76D29" w:rsidP="002147E8">
      <w:pPr>
        <w:pStyle w:val="Akapitzlist"/>
        <w:numPr>
          <w:ilvl w:val="1"/>
          <w:numId w:val="16"/>
        </w:numPr>
        <w:autoSpaceDE w:val="0"/>
        <w:autoSpaceDN w:val="0"/>
        <w:adjustRightInd w:val="0"/>
        <w:spacing w:before="60"/>
        <w:ind w:left="1418" w:hanging="284"/>
        <w:contextualSpacing w:val="0"/>
        <w:rPr>
          <w:rFonts w:asciiTheme="minorHAnsi" w:hAnsiTheme="minorHAnsi" w:cstheme="minorHAnsi"/>
          <w:sz w:val="22"/>
          <w:szCs w:val="22"/>
        </w:rPr>
      </w:pPr>
      <w:r w:rsidRPr="0006682E">
        <w:rPr>
          <w:rFonts w:asciiTheme="minorHAnsi" w:hAnsiTheme="minorHAnsi" w:cstheme="minorHAnsi"/>
          <w:sz w:val="22"/>
          <w:szCs w:val="22"/>
        </w:rPr>
        <w:t>budowy/modernizacji własnych (wewnętrznych) niskoemisyjnych źródeł energii, z</w:t>
      </w:r>
      <w:r w:rsidR="007C502D">
        <w:rPr>
          <w:rFonts w:asciiTheme="minorHAnsi" w:hAnsiTheme="minorHAnsi" w:cstheme="minorHAnsi"/>
          <w:sz w:val="22"/>
          <w:szCs w:val="22"/>
        </w:rPr>
        <w:t> </w:t>
      </w:r>
      <w:r w:rsidR="009F6AAC">
        <w:rPr>
          <w:rFonts w:asciiTheme="minorHAnsi" w:hAnsiTheme="minorHAnsi" w:cstheme="minorHAnsi"/>
          <w:sz w:val="22"/>
          <w:szCs w:val="22"/>
        </w:rPr>
        <w:t xml:space="preserve">uwzględnieniem </w:t>
      </w:r>
      <w:r w:rsidR="00E944D9">
        <w:rPr>
          <w:rFonts w:asciiTheme="minorHAnsi" w:hAnsiTheme="minorHAnsi" w:cstheme="minorHAnsi"/>
          <w:sz w:val="22"/>
          <w:szCs w:val="22"/>
        </w:rPr>
        <w:t xml:space="preserve">wysokosprawnej </w:t>
      </w:r>
      <w:r w:rsidR="009F6AAC">
        <w:rPr>
          <w:rFonts w:asciiTheme="minorHAnsi" w:hAnsiTheme="minorHAnsi" w:cstheme="minorHAnsi"/>
          <w:sz w:val="22"/>
          <w:szCs w:val="22"/>
        </w:rPr>
        <w:t>kogeneracji.</w:t>
      </w:r>
    </w:p>
    <w:p w14:paraId="6B14E0AC" w14:textId="5AFCACF9" w:rsidR="000125F7" w:rsidRDefault="00C32F7C" w:rsidP="002147E8">
      <w:pPr>
        <w:autoSpaceDE w:val="0"/>
        <w:autoSpaceDN w:val="0"/>
        <w:adjustRightInd w:val="0"/>
        <w:spacing w:before="120"/>
        <w:ind w:left="1074"/>
        <w:rPr>
          <w:rFonts w:asciiTheme="minorHAnsi" w:hAnsiTheme="minorHAnsi" w:cstheme="minorHAnsi"/>
          <w:sz w:val="22"/>
          <w:szCs w:val="22"/>
        </w:rPr>
      </w:pPr>
      <w:r>
        <w:rPr>
          <w:rFonts w:asciiTheme="minorHAnsi" w:hAnsiTheme="minorHAnsi" w:cstheme="minorHAnsi"/>
          <w:sz w:val="22"/>
          <w:szCs w:val="22"/>
        </w:rPr>
        <w:t xml:space="preserve">Dla niniejszego zakresu przedsięwzięć przyjmuje się, że wyprodukowana energia z OZE lub niskoemisyjnych źródeł (w tym </w:t>
      </w:r>
      <w:r w:rsidR="00E944D9">
        <w:rPr>
          <w:rFonts w:asciiTheme="minorHAnsi" w:hAnsiTheme="minorHAnsi" w:cstheme="minorHAnsi"/>
          <w:sz w:val="22"/>
          <w:szCs w:val="22"/>
        </w:rPr>
        <w:t xml:space="preserve">wysokosprawnej </w:t>
      </w:r>
      <w:r>
        <w:rPr>
          <w:rFonts w:asciiTheme="minorHAnsi" w:hAnsiTheme="minorHAnsi" w:cstheme="minorHAnsi"/>
          <w:sz w:val="22"/>
          <w:szCs w:val="22"/>
        </w:rPr>
        <w:t xml:space="preserve">kogeneracji) zastąpi energię pochodzenia konwencjonalnego, tym samym </w:t>
      </w:r>
      <w:r w:rsidR="004043CF">
        <w:rPr>
          <w:rFonts w:asciiTheme="minorHAnsi" w:hAnsiTheme="minorHAnsi" w:cstheme="minorHAnsi"/>
          <w:sz w:val="22"/>
          <w:szCs w:val="22"/>
        </w:rPr>
        <w:t>spowoduje oszczędność energii ko</w:t>
      </w:r>
      <w:r w:rsidR="00E944D9">
        <w:rPr>
          <w:rFonts w:asciiTheme="minorHAnsi" w:hAnsiTheme="minorHAnsi" w:cstheme="minorHAnsi"/>
          <w:sz w:val="22"/>
          <w:szCs w:val="22"/>
        </w:rPr>
        <w:t>ń</w:t>
      </w:r>
      <w:r w:rsidR="004043CF">
        <w:rPr>
          <w:rFonts w:asciiTheme="minorHAnsi" w:hAnsiTheme="minorHAnsi" w:cstheme="minorHAnsi"/>
          <w:sz w:val="22"/>
          <w:szCs w:val="22"/>
        </w:rPr>
        <w:t>cowej.</w:t>
      </w:r>
      <w:r>
        <w:rPr>
          <w:rFonts w:asciiTheme="minorHAnsi" w:hAnsiTheme="minorHAnsi" w:cstheme="minorHAnsi"/>
          <w:sz w:val="22"/>
          <w:szCs w:val="22"/>
        </w:rPr>
        <w:t xml:space="preserve"> </w:t>
      </w:r>
      <w:r w:rsidR="008727B7" w:rsidRPr="00311C2F">
        <w:rPr>
          <w:rFonts w:asciiTheme="minorHAnsi" w:hAnsiTheme="minorHAnsi" w:cstheme="minorHAnsi"/>
          <w:sz w:val="22"/>
          <w:szCs w:val="22"/>
        </w:rPr>
        <w:t xml:space="preserve">Realizacja inwestycji </w:t>
      </w:r>
      <w:r>
        <w:rPr>
          <w:rFonts w:asciiTheme="minorHAnsi" w:hAnsiTheme="minorHAnsi" w:cstheme="minorHAnsi"/>
          <w:sz w:val="22"/>
          <w:szCs w:val="22"/>
        </w:rPr>
        <w:t>musi wpłynąć na o</w:t>
      </w:r>
      <w:r w:rsidRPr="00C32F7C">
        <w:rPr>
          <w:rFonts w:asciiTheme="minorHAnsi" w:hAnsiTheme="minorHAnsi" w:cstheme="minorHAnsi"/>
          <w:sz w:val="22"/>
          <w:szCs w:val="22"/>
        </w:rPr>
        <w:t>szczędność energii końcowej w ciągu roku w</w:t>
      </w:r>
      <w:r>
        <w:rPr>
          <w:rFonts w:asciiTheme="minorHAnsi" w:hAnsiTheme="minorHAnsi" w:cstheme="minorHAnsi"/>
          <w:sz w:val="22"/>
          <w:szCs w:val="22"/>
        </w:rPr>
        <w:t> </w:t>
      </w:r>
      <w:r w:rsidRPr="00C32F7C">
        <w:rPr>
          <w:rFonts w:asciiTheme="minorHAnsi" w:hAnsiTheme="minorHAnsi" w:cstheme="minorHAnsi"/>
          <w:sz w:val="22"/>
          <w:szCs w:val="22"/>
        </w:rPr>
        <w:t xml:space="preserve">przedsiębiorstwie </w:t>
      </w:r>
      <w:r>
        <w:rPr>
          <w:rFonts w:asciiTheme="minorHAnsi" w:hAnsiTheme="minorHAnsi" w:cstheme="minorHAnsi"/>
          <w:sz w:val="22"/>
          <w:szCs w:val="22"/>
        </w:rPr>
        <w:t>o</w:t>
      </w:r>
      <w:r w:rsidRPr="00C32F7C">
        <w:rPr>
          <w:rFonts w:asciiTheme="minorHAnsi" w:hAnsiTheme="minorHAnsi" w:cstheme="minorHAnsi"/>
          <w:sz w:val="22"/>
          <w:szCs w:val="22"/>
        </w:rPr>
        <w:t xml:space="preserve"> co najmniej 125 </w:t>
      </w:r>
      <w:proofErr w:type="spellStart"/>
      <w:r w:rsidRPr="00C32F7C">
        <w:rPr>
          <w:rFonts w:asciiTheme="minorHAnsi" w:hAnsiTheme="minorHAnsi" w:cstheme="minorHAnsi"/>
          <w:sz w:val="22"/>
          <w:szCs w:val="22"/>
        </w:rPr>
        <w:t>toe</w:t>
      </w:r>
      <w:proofErr w:type="spellEnd"/>
      <w:r w:rsidRPr="00C32F7C">
        <w:rPr>
          <w:rFonts w:asciiTheme="minorHAnsi" w:hAnsiTheme="minorHAnsi" w:cstheme="minorHAnsi"/>
          <w:sz w:val="22"/>
          <w:szCs w:val="22"/>
        </w:rPr>
        <w:t xml:space="preserve">/rok </w:t>
      </w:r>
      <w:r>
        <w:rPr>
          <w:rFonts w:asciiTheme="minorHAnsi" w:hAnsiTheme="minorHAnsi" w:cstheme="minorHAnsi"/>
          <w:sz w:val="22"/>
          <w:szCs w:val="22"/>
        </w:rPr>
        <w:t>(</w:t>
      </w:r>
      <w:r w:rsidRPr="00C32F7C">
        <w:rPr>
          <w:rFonts w:asciiTheme="minorHAnsi" w:hAnsiTheme="minorHAnsi" w:cstheme="minorHAnsi"/>
          <w:sz w:val="22"/>
          <w:szCs w:val="22"/>
        </w:rPr>
        <w:t>na przedsiębiorstwo realizujące projekt</w:t>
      </w:r>
      <w:r>
        <w:rPr>
          <w:rFonts w:asciiTheme="minorHAnsi" w:hAnsiTheme="minorHAnsi" w:cstheme="minorHAnsi"/>
          <w:sz w:val="22"/>
          <w:szCs w:val="22"/>
        </w:rPr>
        <w:t>)</w:t>
      </w:r>
      <w:r w:rsidRPr="00C32F7C">
        <w:rPr>
          <w:rFonts w:asciiTheme="minorHAnsi" w:hAnsiTheme="minorHAnsi" w:cstheme="minorHAnsi"/>
          <w:sz w:val="22"/>
          <w:szCs w:val="22"/>
        </w:rPr>
        <w:t xml:space="preserve"> lub oszczędność energii końcowej w odniesieniu do jednostki produktu (np. w zakładzie produkcyjnym objętym projektem) musi wynosić nie mniej niż 10%</w:t>
      </w:r>
      <w:r>
        <w:rPr>
          <w:rFonts w:asciiTheme="minorHAnsi" w:hAnsiTheme="minorHAnsi" w:cstheme="minorHAnsi"/>
          <w:sz w:val="22"/>
          <w:szCs w:val="22"/>
        </w:rPr>
        <w:t xml:space="preserve">. </w:t>
      </w:r>
    </w:p>
    <w:p w14:paraId="763738E0" w14:textId="733076A4" w:rsidR="005A3C46" w:rsidRPr="00311C2F" w:rsidRDefault="00EB4F72" w:rsidP="002147E8">
      <w:pPr>
        <w:autoSpaceDE w:val="0"/>
        <w:autoSpaceDN w:val="0"/>
        <w:adjustRightInd w:val="0"/>
        <w:spacing w:before="120"/>
        <w:ind w:left="1074"/>
        <w:rPr>
          <w:rFonts w:asciiTheme="minorHAnsi" w:hAnsiTheme="minorHAnsi" w:cstheme="minorHAnsi"/>
          <w:sz w:val="22"/>
          <w:szCs w:val="22"/>
        </w:rPr>
      </w:pPr>
      <w:r w:rsidRPr="00EB4F72">
        <w:rPr>
          <w:rFonts w:asciiTheme="minorHAnsi" w:hAnsiTheme="minorHAnsi" w:cstheme="minorHAnsi"/>
          <w:sz w:val="22"/>
          <w:szCs w:val="22"/>
        </w:rPr>
        <w:t>Do dofinansowania kwalifikują się jednostki wytwórcze, z których minimum 7</w:t>
      </w:r>
      <w:r>
        <w:rPr>
          <w:rFonts w:asciiTheme="minorHAnsi" w:hAnsiTheme="minorHAnsi" w:cstheme="minorHAnsi"/>
          <w:sz w:val="22"/>
          <w:szCs w:val="22"/>
        </w:rPr>
        <w:t>0 </w:t>
      </w:r>
      <w:r w:rsidRPr="00EB4F72">
        <w:rPr>
          <w:rFonts w:asciiTheme="minorHAnsi" w:hAnsiTheme="minorHAnsi" w:cstheme="minorHAnsi"/>
          <w:sz w:val="22"/>
          <w:szCs w:val="22"/>
        </w:rPr>
        <w:t xml:space="preserve">% wytworzonej energii elektrycznej/ciepła/chłodu konsumowane jest na potrzeby własne </w:t>
      </w:r>
      <w:r>
        <w:rPr>
          <w:rFonts w:asciiTheme="minorHAnsi" w:hAnsiTheme="minorHAnsi" w:cstheme="minorHAnsi"/>
          <w:sz w:val="22"/>
          <w:szCs w:val="22"/>
        </w:rPr>
        <w:t>Wnioskodawcy.</w:t>
      </w:r>
    </w:p>
    <w:p w14:paraId="3149FB51" w14:textId="77777777" w:rsidR="008727B7" w:rsidRPr="005E4114" w:rsidRDefault="008727B7" w:rsidP="008727B7">
      <w:pPr>
        <w:rPr>
          <w:rFonts w:asciiTheme="minorHAnsi" w:hAnsiTheme="minorHAnsi" w:cstheme="minorHAnsi"/>
          <w:b/>
          <w:sz w:val="22"/>
          <w:szCs w:val="22"/>
        </w:rPr>
      </w:pPr>
    </w:p>
    <w:p w14:paraId="44D506DC" w14:textId="77777777" w:rsidR="00D53A38" w:rsidRDefault="00D53A38">
      <w:pPr>
        <w:rPr>
          <w:rFonts w:asciiTheme="minorHAnsi" w:hAnsiTheme="minorHAnsi" w:cstheme="minorHAnsi"/>
          <w:b/>
          <w:sz w:val="22"/>
          <w:szCs w:val="22"/>
        </w:rPr>
      </w:pPr>
      <w:r>
        <w:rPr>
          <w:rFonts w:asciiTheme="minorHAnsi" w:hAnsiTheme="minorHAnsi" w:cstheme="minorHAnsi"/>
          <w:b/>
          <w:sz w:val="22"/>
          <w:szCs w:val="22"/>
        </w:rPr>
        <w:br w:type="page"/>
      </w:r>
    </w:p>
    <w:p w14:paraId="3B057DE4" w14:textId="029C64D6" w:rsidR="00C23277" w:rsidRPr="005E4114" w:rsidRDefault="008E232A" w:rsidP="005E4114">
      <w:pPr>
        <w:pStyle w:val="Akapitzlist"/>
        <w:numPr>
          <w:ilvl w:val="0"/>
          <w:numId w:val="10"/>
        </w:numPr>
        <w:tabs>
          <w:tab w:val="left" w:pos="284"/>
        </w:tabs>
        <w:autoSpaceDE w:val="0"/>
        <w:autoSpaceDN w:val="0"/>
        <w:adjustRightInd w:val="0"/>
        <w:spacing w:before="120"/>
        <w:ind w:left="425" w:hanging="425"/>
        <w:contextualSpacing w:val="0"/>
        <w:jc w:val="both"/>
        <w:rPr>
          <w:rFonts w:asciiTheme="minorHAnsi" w:hAnsiTheme="minorHAnsi" w:cstheme="minorHAnsi"/>
          <w:b/>
          <w:sz w:val="22"/>
          <w:szCs w:val="22"/>
        </w:rPr>
      </w:pPr>
      <w:r w:rsidRPr="005E4114">
        <w:rPr>
          <w:rFonts w:asciiTheme="minorHAnsi" w:hAnsiTheme="minorHAnsi" w:cstheme="minorHAnsi"/>
          <w:b/>
          <w:sz w:val="22"/>
          <w:szCs w:val="22"/>
        </w:rPr>
        <w:lastRenderedPageBreak/>
        <w:t>Szczegółowe kryteria wyboru przedsięwzięć</w:t>
      </w:r>
    </w:p>
    <w:p w14:paraId="7F35418A" w14:textId="5C396AB1" w:rsidR="003B28E2" w:rsidRPr="005E4114" w:rsidRDefault="003B28E2" w:rsidP="002147E8">
      <w:pPr>
        <w:spacing w:before="120" w:after="120"/>
        <w:ind w:left="284"/>
        <w:rPr>
          <w:rFonts w:asciiTheme="minorHAnsi" w:hAnsiTheme="minorHAnsi" w:cstheme="minorHAnsi"/>
          <w:sz w:val="22"/>
          <w:szCs w:val="22"/>
        </w:rPr>
      </w:pPr>
      <w:r w:rsidRPr="005E4114">
        <w:rPr>
          <w:rFonts w:asciiTheme="minorHAnsi" w:hAnsiTheme="minorHAnsi" w:cstheme="minorHAnsi"/>
          <w:sz w:val="22"/>
          <w:szCs w:val="22"/>
        </w:rPr>
        <w:t xml:space="preserve">Projekty inwestycyjne przedstawione do finansowania w ramach inwestycji B1.2.1 „Efektywność energetyczna i OZE w przedsiębiorstwach – inwestycje o największym potencjale redukcji gazów cieplarnianych” będą oceniane według </w:t>
      </w:r>
      <w:r w:rsidRPr="005E4114">
        <w:rPr>
          <w:rFonts w:asciiTheme="minorHAnsi" w:hAnsiTheme="minorHAnsi" w:cstheme="minorHAnsi"/>
          <w:b/>
          <w:sz w:val="22"/>
          <w:szCs w:val="22"/>
        </w:rPr>
        <w:t>„warunków formalnych”</w:t>
      </w:r>
      <w:r w:rsidRPr="005E4114">
        <w:rPr>
          <w:rFonts w:asciiTheme="minorHAnsi" w:hAnsiTheme="minorHAnsi" w:cstheme="minorHAnsi"/>
          <w:sz w:val="22"/>
          <w:szCs w:val="22"/>
        </w:rPr>
        <w:t xml:space="preserve">, </w:t>
      </w:r>
      <w:r w:rsidRPr="005E4114">
        <w:rPr>
          <w:rFonts w:asciiTheme="minorHAnsi" w:hAnsiTheme="minorHAnsi" w:cstheme="minorHAnsi"/>
          <w:b/>
          <w:sz w:val="22"/>
          <w:szCs w:val="22"/>
        </w:rPr>
        <w:t>„kryteriów horyzontalnych KPO”</w:t>
      </w:r>
      <w:r w:rsidRPr="005E4114">
        <w:rPr>
          <w:rFonts w:asciiTheme="minorHAnsi" w:hAnsiTheme="minorHAnsi" w:cstheme="minorHAnsi"/>
          <w:sz w:val="22"/>
          <w:szCs w:val="22"/>
        </w:rPr>
        <w:t xml:space="preserve"> oraz </w:t>
      </w:r>
      <w:r w:rsidRPr="005E4114">
        <w:rPr>
          <w:rFonts w:asciiTheme="minorHAnsi" w:hAnsiTheme="minorHAnsi" w:cstheme="minorHAnsi"/>
          <w:b/>
          <w:sz w:val="22"/>
          <w:szCs w:val="22"/>
        </w:rPr>
        <w:t>„kryteriów szczegółowych Inwestycji B1.2.1”</w:t>
      </w:r>
    </w:p>
    <w:p w14:paraId="73D49BC0" w14:textId="596B29F3" w:rsidR="003B28E2" w:rsidRPr="005E4114" w:rsidRDefault="003B28E2" w:rsidP="002147E8">
      <w:pPr>
        <w:spacing w:before="120" w:after="120"/>
        <w:ind w:left="284"/>
        <w:rPr>
          <w:rFonts w:asciiTheme="minorHAnsi" w:hAnsiTheme="minorHAnsi" w:cstheme="minorHAnsi"/>
          <w:sz w:val="22"/>
          <w:szCs w:val="22"/>
        </w:rPr>
      </w:pPr>
      <w:r w:rsidRPr="005E4114">
        <w:rPr>
          <w:rFonts w:asciiTheme="minorHAnsi" w:hAnsiTheme="minorHAnsi" w:cstheme="minorHAnsi"/>
          <w:sz w:val="22"/>
          <w:szCs w:val="22"/>
        </w:rPr>
        <w:t>Zasady prowadzenia oceny projektów:</w:t>
      </w:r>
    </w:p>
    <w:p w14:paraId="3E680F68" w14:textId="56F1A33B" w:rsidR="003B28E2" w:rsidRPr="005E4114" w:rsidRDefault="005E4114" w:rsidP="002147E8">
      <w:pPr>
        <w:pStyle w:val="Akapitzlist"/>
        <w:numPr>
          <w:ilvl w:val="1"/>
          <w:numId w:val="18"/>
        </w:numPr>
        <w:spacing w:before="120"/>
        <w:ind w:left="567" w:hanging="284"/>
        <w:contextualSpacing w:val="0"/>
        <w:rPr>
          <w:rFonts w:asciiTheme="minorHAnsi" w:hAnsiTheme="minorHAnsi" w:cstheme="minorHAnsi"/>
          <w:sz w:val="22"/>
          <w:szCs w:val="22"/>
        </w:rPr>
      </w:pPr>
      <w:bookmarkStart w:id="2" w:name="_Hlk169701316"/>
      <w:r w:rsidRPr="005E4114">
        <w:rPr>
          <w:rFonts w:asciiTheme="minorHAnsi" w:hAnsiTheme="minorHAnsi" w:cstheme="minorHAnsi"/>
          <w:sz w:val="22"/>
          <w:szCs w:val="22"/>
        </w:rPr>
        <w:t>„Warunki formalne”</w:t>
      </w:r>
      <w:r w:rsidR="00287A96">
        <w:rPr>
          <w:rFonts w:asciiTheme="minorHAnsi" w:hAnsiTheme="minorHAnsi" w:cstheme="minorHAnsi"/>
          <w:sz w:val="22"/>
          <w:szCs w:val="22"/>
        </w:rPr>
        <w:t xml:space="preserve"> </w:t>
      </w:r>
      <w:r w:rsidRPr="005E4114">
        <w:rPr>
          <w:rFonts w:asciiTheme="minorHAnsi" w:hAnsiTheme="minorHAnsi" w:cstheme="minorHAnsi"/>
          <w:sz w:val="22"/>
          <w:szCs w:val="22"/>
        </w:rPr>
        <w:t>– podlegają weryfikacji poprzez ocenę zerojedynkową (na zasadzie spełnia/nie spełnia). Niespełnienie któregokolwiek warunku (z możliwością jednokrotnego uzupełnienia przez wnioskodawcę braków formalnych we wniosku o udzielenie pożyczki) powoduje wykluczenie przedsięwzięcia z dalszej oceny i tym samym, skutkuje brakiem możliwości finansowania środkami KPO.</w:t>
      </w:r>
    </w:p>
    <w:p w14:paraId="6C834FCF" w14:textId="5FAA42EC" w:rsidR="005E4114" w:rsidRPr="005E4114" w:rsidRDefault="005E4114" w:rsidP="002147E8">
      <w:pPr>
        <w:pStyle w:val="Akapitzlist"/>
        <w:spacing w:after="120"/>
        <w:ind w:left="567"/>
        <w:contextualSpacing w:val="0"/>
        <w:rPr>
          <w:rFonts w:asciiTheme="minorHAnsi" w:hAnsiTheme="minorHAnsi" w:cstheme="minorHAnsi"/>
          <w:sz w:val="22"/>
          <w:szCs w:val="22"/>
        </w:rPr>
      </w:pPr>
      <w:r w:rsidRPr="005E4114">
        <w:rPr>
          <w:rFonts w:asciiTheme="minorHAnsi" w:hAnsiTheme="minorHAnsi" w:cstheme="minorHAnsi"/>
          <w:sz w:val="22"/>
          <w:szCs w:val="22"/>
        </w:rPr>
        <w:t>„Warunki formalne” zostały określone w załączniku 1 do programu priorytetowego.</w:t>
      </w:r>
    </w:p>
    <w:p w14:paraId="32B9686A" w14:textId="27511149" w:rsidR="003B28E2" w:rsidRPr="005E4114" w:rsidRDefault="003B28E2" w:rsidP="002147E8">
      <w:pPr>
        <w:pStyle w:val="Akapitzlist"/>
        <w:numPr>
          <w:ilvl w:val="1"/>
          <w:numId w:val="18"/>
        </w:numPr>
        <w:spacing w:before="120"/>
        <w:ind w:left="567" w:hanging="284"/>
        <w:contextualSpacing w:val="0"/>
        <w:rPr>
          <w:rFonts w:asciiTheme="minorHAnsi" w:hAnsiTheme="minorHAnsi" w:cstheme="minorHAnsi"/>
          <w:sz w:val="22"/>
          <w:szCs w:val="22"/>
        </w:rPr>
      </w:pPr>
      <w:bookmarkStart w:id="3" w:name="_Hlk166247130"/>
      <w:r w:rsidRPr="005E4114">
        <w:rPr>
          <w:rFonts w:asciiTheme="minorHAnsi" w:hAnsiTheme="minorHAnsi" w:cstheme="minorHAnsi"/>
          <w:sz w:val="22"/>
          <w:szCs w:val="22"/>
        </w:rPr>
        <w:t>„</w:t>
      </w:r>
      <w:r w:rsidR="005E4114" w:rsidRPr="005E4114">
        <w:rPr>
          <w:rFonts w:asciiTheme="minorHAnsi" w:hAnsiTheme="minorHAnsi" w:cstheme="minorHAnsi"/>
          <w:sz w:val="22"/>
          <w:szCs w:val="22"/>
        </w:rPr>
        <w:t>K</w:t>
      </w:r>
      <w:r w:rsidRPr="005E4114">
        <w:rPr>
          <w:rFonts w:asciiTheme="minorHAnsi" w:hAnsiTheme="minorHAnsi" w:cstheme="minorHAnsi"/>
          <w:sz w:val="22"/>
          <w:szCs w:val="22"/>
        </w:rPr>
        <w:t xml:space="preserve">ryteria horyzontalne KPO” </w:t>
      </w:r>
      <w:bookmarkEnd w:id="3"/>
      <w:r w:rsidR="00C32F7C" w:rsidRPr="005E4114">
        <w:rPr>
          <w:rFonts w:asciiTheme="minorHAnsi" w:hAnsiTheme="minorHAnsi" w:cstheme="minorHAnsi"/>
          <w:sz w:val="22"/>
          <w:szCs w:val="22"/>
        </w:rPr>
        <w:t>–</w:t>
      </w:r>
      <w:r w:rsidR="00C32F7C">
        <w:rPr>
          <w:rFonts w:asciiTheme="minorHAnsi" w:hAnsiTheme="minorHAnsi" w:cstheme="minorHAnsi"/>
          <w:sz w:val="22"/>
          <w:szCs w:val="22"/>
        </w:rPr>
        <w:t xml:space="preserve"> </w:t>
      </w:r>
      <w:r w:rsidRPr="005E4114">
        <w:rPr>
          <w:rFonts w:asciiTheme="minorHAnsi" w:hAnsiTheme="minorHAnsi" w:cstheme="minorHAnsi"/>
          <w:sz w:val="22"/>
          <w:szCs w:val="22"/>
        </w:rPr>
        <w:t>kryteria przygotowane przez Instytucję koordynującą KPO, tj.</w:t>
      </w:r>
      <w:r w:rsidR="002147E8">
        <w:rPr>
          <w:rFonts w:asciiTheme="minorHAnsi" w:hAnsiTheme="minorHAnsi" w:cstheme="minorHAnsi"/>
          <w:sz w:val="22"/>
          <w:szCs w:val="22"/>
        </w:rPr>
        <w:t> </w:t>
      </w:r>
      <w:r w:rsidRPr="005E4114">
        <w:rPr>
          <w:rFonts w:asciiTheme="minorHAnsi" w:hAnsiTheme="minorHAnsi" w:cstheme="minorHAnsi"/>
          <w:sz w:val="22"/>
          <w:szCs w:val="22"/>
        </w:rPr>
        <w:t>ministra właściwego ds. rozwoju regionalnego – Ministra Funduszy i Polityki Regionalnej. Niespełnienie któregokolwiek kryterium powoduje wykluczenie przedsięwzięcia z dalszej oceny i tym samym, skutkuje brakiem możliwości finansowania środkami KPO, z</w:t>
      </w:r>
      <w:r w:rsidR="005E4114" w:rsidRPr="005E4114">
        <w:rPr>
          <w:rFonts w:asciiTheme="minorHAnsi" w:hAnsiTheme="minorHAnsi" w:cstheme="minorHAnsi"/>
          <w:sz w:val="22"/>
          <w:szCs w:val="22"/>
        </w:rPr>
        <w:t> </w:t>
      </w:r>
      <w:r w:rsidRPr="005E4114">
        <w:rPr>
          <w:rFonts w:asciiTheme="minorHAnsi" w:hAnsiTheme="minorHAnsi" w:cstheme="minorHAnsi"/>
          <w:sz w:val="22"/>
          <w:szCs w:val="22"/>
        </w:rPr>
        <w:t>zastrzeżeniem możliwości wskazania i uzasadnienia dla danego kryterium oceny „nie dotyczy”. Kryteria te mogą podlegać uzupełnianiu, czy też dodatkowym wyjaśnieniom</w:t>
      </w:r>
      <w:r w:rsidR="005E4114" w:rsidRPr="005E4114">
        <w:rPr>
          <w:rFonts w:asciiTheme="minorHAnsi" w:hAnsiTheme="minorHAnsi" w:cstheme="minorHAnsi"/>
          <w:sz w:val="22"/>
          <w:szCs w:val="22"/>
        </w:rPr>
        <w:t>.</w:t>
      </w:r>
    </w:p>
    <w:p w14:paraId="4AA7D366" w14:textId="47897A6F" w:rsidR="005E4114" w:rsidRPr="005E4114" w:rsidRDefault="005E4114" w:rsidP="002147E8">
      <w:pPr>
        <w:pStyle w:val="Akapitzlist"/>
        <w:spacing w:after="120"/>
        <w:ind w:left="567"/>
        <w:contextualSpacing w:val="0"/>
        <w:rPr>
          <w:rFonts w:asciiTheme="minorHAnsi" w:hAnsiTheme="minorHAnsi" w:cstheme="minorHAnsi"/>
          <w:sz w:val="22"/>
          <w:szCs w:val="22"/>
        </w:rPr>
      </w:pPr>
      <w:r w:rsidRPr="005E4114">
        <w:rPr>
          <w:rFonts w:asciiTheme="minorHAnsi" w:hAnsiTheme="minorHAnsi" w:cstheme="minorHAnsi"/>
          <w:sz w:val="22"/>
          <w:szCs w:val="22"/>
        </w:rPr>
        <w:t>„Kryteria horyzontalne KPO” zostały określone w załączniku 2 do programu priorytetowego.</w:t>
      </w:r>
    </w:p>
    <w:p w14:paraId="0509A4CD" w14:textId="5E50BFBC" w:rsidR="003B28E2" w:rsidRPr="005E4114" w:rsidRDefault="003B28E2" w:rsidP="002147E8">
      <w:pPr>
        <w:pStyle w:val="Akapitzlist"/>
        <w:numPr>
          <w:ilvl w:val="1"/>
          <w:numId w:val="18"/>
        </w:numPr>
        <w:spacing w:before="120" w:after="200"/>
        <w:ind w:left="567" w:hanging="284"/>
        <w:rPr>
          <w:rFonts w:asciiTheme="minorHAnsi" w:hAnsiTheme="minorHAnsi" w:cstheme="minorHAnsi"/>
          <w:sz w:val="22"/>
          <w:szCs w:val="22"/>
        </w:rPr>
      </w:pPr>
      <w:r w:rsidRPr="005E4114">
        <w:rPr>
          <w:rFonts w:asciiTheme="minorHAnsi" w:hAnsiTheme="minorHAnsi" w:cstheme="minorHAnsi"/>
          <w:sz w:val="22"/>
          <w:szCs w:val="22"/>
        </w:rPr>
        <w:t>„</w:t>
      </w:r>
      <w:r w:rsidR="005E4114" w:rsidRPr="005E4114">
        <w:rPr>
          <w:rFonts w:asciiTheme="minorHAnsi" w:hAnsiTheme="minorHAnsi" w:cstheme="minorHAnsi"/>
          <w:sz w:val="22"/>
          <w:szCs w:val="22"/>
        </w:rPr>
        <w:t>K</w:t>
      </w:r>
      <w:r w:rsidRPr="005E4114">
        <w:rPr>
          <w:rFonts w:asciiTheme="minorHAnsi" w:hAnsiTheme="minorHAnsi" w:cstheme="minorHAnsi"/>
          <w:sz w:val="22"/>
          <w:szCs w:val="22"/>
        </w:rPr>
        <w:t xml:space="preserve">ryteria szczegółowe Inwestycji B1.2.1” </w:t>
      </w:r>
      <w:r w:rsidR="00C32F7C" w:rsidRPr="005E4114">
        <w:rPr>
          <w:rFonts w:asciiTheme="minorHAnsi" w:hAnsiTheme="minorHAnsi" w:cstheme="minorHAnsi"/>
          <w:sz w:val="22"/>
          <w:szCs w:val="22"/>
        </w:rPr>
        <w:t>–</w:t>
      </w:r>
      <w:r w:rsidRPr="005E4114">
        <w:rPr>
          <w:rFonts w:asciiTheme="minorHAnsi" w:hAnsiTheme="minorHAnsi" w:cstheme="minorHAnsi"/>
          <w:sz w:val="22"/>
          <w:szCs w:val="22"/>
        </w:rPr>
        <w:t xml:space="preserve"> kryteria przygotowane przez </w:t>
      </w:r>
      <w:r w:rsidR="005E4114" w:rsidRPr="005E4114">
        <w:rPr>
          <w:rFonts w:asciiTheme="minorHAnsi" w:hAnsiTheme="minorHAnsi" w:cstheme="minorHAnsi"/>
          <w:sz w:val="22"/>
          <w:szCs w:val="22"/>
        </w:rPr>
        <w:t>Instytucję Odpowiedzialną za realizację Inwestycji, tj. Ministerstwo Aktywów Państwowych</w:t>
      </w:r>
      <w:r w:rsidRPr="005E4114">
        <w:rPr>
          <w:rFonts w:asciiTheme="minorHAnsi" w:hAnsiTheme="minorHAnsi" w:cstheme="minorHAnsi"/>
          <w:sz w:val="22"/>
          <w:szCs w:val="22"/>
        </w:rPr>
        <w:t>. Niespełnienie któregokolwiek kryterium powoduje nieotrzymanie punktów w ramach danego kryterium. Kryteria te mogą podlegać uzupełnianiu, czy też dodatkowym wyjaśnieniom.</w:t>
      </w:r>
      <w:r w:rsidR="00905498">
        <w:rPr>
          <w:rFonts w:asciiTheme="minorHAnsi" w:hAnsiTheme="minorHAnsi" w:cstheme="minorHAnsi"/>
          <w:sz w:val="22"/>
          <w:szCs w:val="22"/>
        </w:rPr>
        <w:t xml:space="preserve"> </w:t>
      </w:r>
      <w:r w:rsidR="00905498" w:rsidRPr="00905498">
        <w:rPr>
          <w:rFonts w:asciiTheme="minorHAnsi" w:hAnsiTheme="minorHAnsi" w:cstheme="minorHAnsi"/>
          <w:sz w:val="22"/>
          <w:szCs w:val="22"/>
        </w:rPr>
        <w:t>Do</w:t>
      </w:r>
      <w:r w:rsidR="002147E8">
        <w:rPr>
          <w:rFonts w:asciiTheme="minorHAnsi" w:hAnsiTheme="minorHAnsi" w:cstheme="minorHAnsi"/>
          <w:sz w:val="22"/>
          <w:szCs w:val="22"/>
        </w:rPr>
        <w:t> </w:t>
      </w:r>
      <w:r w:rsidR="00905498" w:rsidRPr="00905498">
        <w:rPr>
          <w:rFonts w:asciiTheme="minorHAnsi" w:hAnsiTheme="minorHAnsi" w:cstheme="minorHAnsi"/>
          <w:sz w:val="22"/>
          <w:szCs w:val="22"/>
        </w:rPr>
        <w:t>objęcia wsparciem kwalifikuje się przedsięwzięcie, które uzyskało co najmniej 30 pkt</w:t>
      </w:r>
      <w:r w:rsidR="00905498">
        <w:rPr>
          <w:rFonts w:asciiTheme="minorHAnsi" w:hAnsiTheme="minorHAnsi" w:cstheme="minorHAnsi"/>
          <w:sz w:val="22"/>
          <w:szCs w:val="22"/>
        </w:rPr>
        <w:t>.</w:t>
      </w:r>
    </w:p>
    <w:p w14:paraId="7DB74C6A" w14:textId="00482DCC" w:rsidR="005E4114" w:rsidRDefault="005E4114" w:rsidP="002147E8">
      <w:pPr>
        <w:pStyle w:val="Akapitzlist"/>
        <w:spacing w:before="120" w:after="120"/>
        <w:ind w:left="567"/>
        <w:contextualSpacing w:val="0"/>
        <w:rPr>
          <w:rFonts w:asciiTheme="minorHAnsi" w:hAnsiTheme="minorHAnsi" w:cstheme="minorHAnsi"/>
          <w:b/>
          <w:sz w:val="22"/>
          <w:szCs w:val="22"/>
        </w:rPr>
      </w:pPr>
      <w:r w:rsidRPr="005E4114">
        <w:rPr>
          <w:rFonts w:asciiTheme="minorHAnsi" w:hAnsiTheme="minorHAnsi" w:cstheme="minorHAnsi"/>
          <w:sz w:val="22"/>
          <w:szCs w:val="22"/>
        </w:rPr>
        <w:t>„Kryteria szczegółowe Inwestycji B1.2.1” zostały określone w załączniku 3 do programu priorytetowego.</w:t>
      </w:r>
      <w:bookmarkEnd w:id="2"/>
    </w:p>
    <w:p w14:paraId="24982086" w14:textId="2BB2997E" w:rsidR="009F79DC" w:rsidRPr="005E4114" w:rsidRDefault="009F79DC" w:rsidP="00D53A38">
      <w:pPr>
        <w:pStyle w:val="Akapitzlist"/>
        <w:numPr>
          <w:ilvl w:val="0"/>
          <w:numId w:val="10"/>
        </w:numPr>
        <w:tabs>
          <w:tab w:val="left" w:pos="284"/>
        </w:tabs>
        <w:autoSpaceDE w:val="0"/>
        <w:autoSpaceDN w:val="0"/>
        <w:adjustRightInd w:val="0"/>
        <w:spacing w:before="120"/>
        <w:ind w:left="425" w:hanging="425"/>
        <w:contextualSpacing w:val="0"/>
        <w:jc w:val="both"/>
        <w:rPr>
          <w:rFonts w:asciiTheme="minorHAnsi" w:hAnsiTheme="minorHAnsi" w:cstheme="minorHAnsi"/>
          <w:b/>
          <w:sz w:val="22"/>
          <w:szCs w:val="22"/>
        </w:rPr>
      </w:pPr>
      <w:r w:rsidRPr="005E4114">
        <w:rPr>
          <w:rFonts w:asciiTheme="minorHAnsi" w:hAnsiTheme="minorHAnsi" w:cstheme="minorHAnsi"/>
          <w:b/>
          <w:sz w:val="22"/>
          <w:szCs w:val="22"/>
        </w:rPr>
        <w:t>Postanowienia dodatkowe</w:t>
      </w:r>
    </w:p>
    <w:p w14:paraId="7B246BC0" w14:textId="35AB65CC" w:rsidR="002F6863" w:rsidRPr="00287A96" w:rsidRDefault="00287A96" w:rsidP="002147E8">
      <w:pPr>
        <w:pStyle w:val="Tekstpodstawowy"/>
        <w:keepLines w:val="0"/>
        <w:numPr>
          <w:ilvl w:val="0"/>
          <w:numId w:val="13"/>
        </w:numPr>
        <w:tabs>
          <w:tab w:val="left" w:pos="-709"/>
        </w:tabs>
        <w:spacing w:before="120"/>
        <w:ind w:left="568" w:hanging="284"/>
        <w:jc w:val="left"/>
        <w:rPr>
          <w:rFonts w:asciiTheme="minorHAnsi" w:hAnsiTheme="minorHAnsi" w:cstheme="minorHAnsi"/>
          <w:szCs w:val="22"/>
        </w:rPr>
      </w:pPr>
      <w:r w:rsidRPr="00287A96">
        <w:rPr>
          <w:rFonts w:asciiTheme="minorHAnsi" w:hAnsiTheme="minorHAnsi" w:cstheme="minorHAnsi"/>
          <w:szCs w:val="22"/>
        </w:rPr>
        <w:t>Obowiązkowym załącznikiem do wniosku o dofinansowanie jest Studium Wykonalności wraz</w:t>
      </w:r>
      <w:r>
        <w:rPr>
          <w:rFonts w:asciiTheme="minorHAnsi" w:hAnsiTheme="minorHAnsi" w:cstheme="minorHAnsi"/>
          <w:szCs w:val="22"/>
        </w:rPr>
        <w:t xml:space="preserve"> </w:t>
      </w:r>
      <w:r w:rsidRPr="00287A96">
        <w:rPr>
          <w:rFonts w:asciiTheme="minorHAnsi" w:hAnsiTheme="minorHAnsi" w:cstheme="minorHAnsi"/>
          <w:szCs w:val="22"/>
        </w:rPr>
        <w:t>z</w:t>
      </w:r>
      <w:r>
        <w:rPr>
          <w:rFonts w:asciiTheme="minorHAnsi" w:hAnsiTheme="minorHAnsi" w:cstheme="minorHAnsi"/>
          <w:szCs w:val="22"/>
        </w:rPr>
        <w:t> </w:t>
      </w:r>
      <w:r w:rsidRPr="00287A96">
        <w:rPr>
          <w:rFonts w:asciiTheme="minorHAnsi" w:hAnsiTheme="minorHAnsi" w:cstheme="minorHAnsi"/>
          <w:szCs w:val="22"/>
        </w:rPr>
        <w:t>aktywnym modelem finansowym, opracowane zgodnie z „Instrukcją sporządzania Studium Wykonalności dla przedsięwzięcia ubiegającego się o dofinansowanie ze środków NFOŚiGW” zamieszczoną w Generatorze Wniosków o Dofinansowanie (GWD).</w:t>
      </w:r>
    </w:p>
    <w:p w14:paraId="60031F56" w14:textId="018B5846" w:rsidR="0035626F" w:rsidRPr="0035626F" w:rsidRDefault="002F6863" w:rsidP="002147E8">
      <w:pPr>
        <w:pStyle w:val="Tekstpodstawowy"/>
        <w:keepLines w:val="0"/>
        <w:numPr>
          <w:ilvl w:val="0"/>
          <w:numId w:val="13"/>
        </w:numPr>
        <w:tabs>
          <w:tab w:val="left" w:pos="-709"/>
        </w:tabs>
        <w:autoSpaceDE w:val="0"/>
        <w:autoSpaceDN w:val="0"/>
        <w:adjustRightInd w:val="0"/>
        <w:spacing w:before="120"/>
        <w:ind w:left="568" w:hanging="284"/>
        <w:jc w:val="left"/>
        <w:rPr>
          <w:rFonts w:asciiTheme="minorHAnsi" w:hAnsiTheme="minorHAnsi" w:cstheme="minorHAnsi"/>
          <w:szCs w:val="22"/>
        </w:rPr>
      </w:pPr>
      <w:r w:rsidRPr="005E4114">
        <w:rPr>
          <w:rFonts w:asciiTheme="minorHAnsi" w:hAnsiTheme="minorHAnsi" w:cstheme="minorHAnsi"/>
          <w:szCs w:val="22"/>
        </w:rPr>
        <w:t>Do niniejszego programu priorytetowego mają zastosowanie „Zasady udzielania dofinansowania ze środków Narodowego Funduszu Ochrony Środowiska i Gospodarki Wodnej”</w:t>
      </w:r>
      <w:r w:rsidR="0035626F">
        <w:rPr>
          <w:rFonts w:asciiTheme="minorHAnsi" w:hAnsiTheme="minorHAnsi" w:cstheme="minorHAnsi"/>
          <w:szCs w:val="22"/>
        </w:rPr>
        <w:t xml:space="preserve">, </w:t>
      </w:r>
      <w:r w:rsidR="00287A96">
        <w:rPr>
          <w:rFonts w:asciiTheme="minorHAnsi" w:hAnsiTheme="minorHAnsi" w:cstheme="minorHAnsi"/>
          <w:szCs w:val="22"/>
        </w:rPr>
        <w:t xml:space="preserve">„Metodyka </w:t>
      </w:r>
      <w:r w:rsidR="00287A96" w:rsidRPr="008F0EEF">
        <w:rPr>
          <w:rFonts w:asciiTheme="minorHAnsi" w:hAnsiTheme="minorHAnsi" w:cstheme="minorHAnsi"/>
          <w:szCs w:val="22"/>
        </w:rPr>
        <w:t>oceny finansowej wniosku o dofinansowanie</w:t>
      </w:r>
      <w:r w:rsidR="00287A96">
        <w:rPr>
          <w:rFonts w:asciiTheme="minorHAnsi" w:hAnsiTheme="minorHAnsi" w:cstheme="minorHAnsi"/>
          <w:szCs w:val="22"/>
        </w:rPr>
        <w:t xml:space="preserve">” </w:t>
      </w:r>
      <w:r w:rsidR="0035626F">
        <w:rPr>
          <w:rFonts w:asciiTheme="minorHAnsi" w:hAnsiTheme="minorHAnsi" w:cstheme="minorHAnsi"/>
          <w:szCs w:val="22"/>
        </w:rPr>
        <w:t>oraz przepisy rozporządzenia Parlamentu Europejskiego i</w:t>
      </w:r>
      <w:r w:rsidR="00287A96">
        <w:rPr>
          <w:rFonts w:asciiTheme="minorHAnsi" w:hAnsiTheme="minorHAnsi" w:cstheme="minorHAnsi"/>
          <w:szCs w:val="22"/>
        </w:rPr>
        <w:t> </w:t>
      </w:r>
      <w:r w:rsidR="0035626F">
        <w:rPr>
          <w:rFonts w:asciiTheme="minorHAnsi" w:hAnsiTheme="minorHAnsi" w:cstheme="minorHAnsi"/>
          <w:szCs w:val="22"/>
        </w:rPr>
        <w:t>R</w:t>
      </w:r>
      <w:r w:rsidR="0035626F" w:rsidRPr="0035626F">
        <w:rPr>
          <w:rFonts w:asciiTheme="minorHAnsi" w:hAnsiTheme="minorHAnsi" w:cstheme="minorHAnsi"/>
          <w:szCs w:val="22"/>
        </w:rPr>
        <w:t>ady (UE) 2021/241 z dnia 12 lutego 2021 r. ustanawiające Instrument na rzecz Odbudowy i</w:t>
      </w:r>
      <w:r w:rsidR="00287A96">
        <w:rPr>
          <w:rFonts w:asciiTheme="minorHAnsi" w:hAnsiTheme="minorHAnsi" w:cstheme="minorHAnsi"/>
          <w:szCs w:val="22"/>
        </w:rPr>
        <w:t> </w:t>
      </w:r>
      <w:r w:rsidR="0035626F" w:rsidRPr="0035626F">
        <w:rPr>
          <w:rFonts w:asciiTheme="minorHAnsi" w:hAnsiTheme="minorHAnsi" w:cstheme="minorHAnsi"/>
          <w:szCs w:val="22"/>
        </w:rPr>
        <w:t>Zwiększania Odporności</w:t>
      </w:r>
      <w:r w:rsidR="0035626F">
        <w:rPr>
          <w:rFonts w:asciiTheme="minorHAnsi" w:hAnsiTheme="minorHAnsi" w:cstheme="minorHAnsi"/>
          <w:szCs w:val="22"/>
        </w:rPr>
        <w:t>.</w:t>
      </w:r>
    </w:p>
    <w:p w14:paraId="115BB72F" w14:textId="404B4240" w:rsidR="002F6863" w:rsidRDefault="00C14567" w:rsidP="002147E8">
      <w:pPr>
        <w:pStyle w:val="Tekstpodstawowy"/>
        <w:keepLines w:val="0"/>
        <w:numPr>
          <w:ilvl w:val="0"/>
          <w:numId w:val="13"/>
        </w:numPr>
        <w:tabs>
          <w:tab w:val="left" w:pos="-709"/>
        </w:tabs>
        <w:autoSpaceDE w:val="0"/>
        <w:autoSpaceDN w:val="0"/>
        <w:adjustRightInd w:val="0"/>
        <w:spacing w:before="120"/>
        <w:ind w:left="568" w:hanging="284"/>
        <w:jc w:val="left"/>
        <w:rPr>
          <w:rFonts w:asciiTheme="minorHAnsi" w:hAnsiTheme="minorHAnsi" w:cstheme="minorHAnsi"/>
          <w:szCs w:val="22"/>
        </w:rPr>
      </w:pPr>
      <w:r w:rsidRPr="00C14567">
        <w:rPr>
          <w:rFonts w:asciiTheme="minorHAnsi" w:hAnsiTheme="minorHAnsi" w:cstheme="minorHAnsi"/>
          <w:szCs w:val="22"/>
        </w:rPr>
        <w:t>Dla przedsięwzięć z zakresu 7.5.1 programu wnioskowana inwestycja do objęcia wsparciem musi wynikać z rekomendacji audytu energetycznego przeprowadzonego w przedsiębiorstwie (zweryfikowanego przez NFOŚiGW na etapie oceny wniosku o dofinansowanie)</w:t>
      </w:r>
      <w:r>
        <w:rPr>
          <w:rFonts w:asciiTheme="minorHAnsi" w:hAnsiTheme="minorHAnsi" w:cstheme="minorHAnsi"/>
          <w:szCs w:val="22"/>
        </w:rPr>
        <w:t>.</w:t>
      </w:r>
    </w:p>
    <w:p w14:paraId="2D32FC48" w14:textId="6465735D" w:rsidR="004043CF" w:rsidRDefault="004043CF" w:rsidP="002147E8">
      <w:pPr>
        <w:pStyle w:val="Tekstpodstawowy"/>
        <w:keepLines w:val="0"/>
        <w:numPr>
          <w:ilvl w:val="0"/>
          <w:numId w:val="13"/>
        </w:numPr>
        <w:tabs>
          <w:tab w:val="left" w:pos="-709"/>
        </w:tabs>
        <w:autoSpaceDE w:val="0"/>
        <w:autoSpaceDN w:val="0"/>
        <w:adjustRightInd w:val="0"/>
        <w:spacing w:before="120"/>
        <w:ind w:left="568" w:hanging="284"/>
        <w:jc w:val="left"/>
        <w:rPr>
          <w:rFonts w:asciiTheme="minorHAnsi" w:hAnsiTheme="minorHAnsi" w:cstheme="minorHAnsi"/>
          <w:szCs w:val="22"/>
        </w:rPr>
      </w:pPr>
      <w:r w:rsidRPr="004043CF">
        <w:rPr>
          <w:rFonts w:asciiTheme="minorHAnsi" w:hAnsiTheme="minorHAnsi" w:cstheme="minorHAnsi"/>
          <w:szCs w:val="22"/>
        </w:rPr>
        <w:t xml:space="preserve">Aby zapewnić zgodność </w:t>
      </w:r>
      <w:r>
        <w:rPr>
          <w:rFonts w:asciiTheme="minorHAnsi" w:hAnsiTheme="minorHAnsi" w:cstheme="minorHAnsi"/>
          <w:szCs w:val="22"/>
        </w:rPr>
        <w:t>Programu</w:t>
      </w:r>
      <w:r w:rsidRPr="004043CF">
        <w:rPr>
          <w:rFonts w:asciiTheme="minorHAnsi" w:hAnsiTheme="minorHAnsi" w:cstheme="minorHAnsi"/>
          <w:szCs w:val="22"/>
        </w:rPr>
        <w:t xml:space="preserve"> z wytycznymi technicznymi dotyczącymi stosowania zasady DNSH, kryteria kwalifikowalności wykluczają następujący wykaz działań:</w:t>
      </w:r>
    </w:p>
    <w:p w14:paraId="60B2BDB2" w14:textId="1FAC83A5" w:rsidR="004043CF" w:rsidRDefault="004043CF" w:rsidP="002147E8">
      <w:pPr>
        <w:pStyle w:val="Tekstpodstawowy"/>
        <w:keepLines w:val="0"/>
        <w:numPr>
          <w:ilvl w:val="1"/>
          <w:numId w:val="13"/>
        </w:numPr>
        <w:tabs>
          <w:tab w:val="left" w:pos="-709"/>
        </w:tabs>
        <w:autoSpaceDE w:val="0"/>
        <w:autoSpaceDN w:val="0"/>
        <w:adjustRightInd w:val="0"/>
        <w:spacing w:before="60"/>
        <w:ind w:left="1134" w:hanging="357"/>
        <w:jc w:val="left"/>
        <w:rPr>
          <w:rFonts w:asciiTheme="minorHAnsi" w:hAnsiTheme="minorHAnsi" w:cstheme="minorHAnsi"/>
          <w:szCs w:val="22"/>
        </w:rPr>
      </w:pPr>
      <w:r w:rsidRPr="004043CF">
        <w:rPr>
          <w:rFonts w:asciiTheme="minorHAnsi" w:hAnsiTheme="minorHAnsi" w:cstheme="minorHAnsi"/>
          <w:szCs w:val="22"/>
        </w:rPr>
        <w:t>działania związane z paliwami kopalnymi, w tym zastosowania niższego szczebla,</w:t>
      </w:r>
      <w:r>
        <w:rPr>
          <w:rFonts w:asciiTheme="minorHAnsi" w:hAnsiTheme="minorHAnsi" w:cstheme="minorHAnsi"/>
          <w:szCs w:val="22"/>
        </w:rPr>
        <w:t xml:space="preserve"> z </w:t>
      </w:r>
      <w:r w:rsidRPr="004043CF">
        <w:rPr>
          <w:rFonts w:asciiTheme="minorHAnsi" w:hAnsiTheme="minorHAnsi" w:cstheme="minorHAnsi"/>
          <w:szCs w:val="22"/>
        </w:rPr>
        <w:t xml:space="preserve">wyjątkiem projektów dotyczących wytwarzania energii elektrycznej lub ciepła, jak również powiązanej infrastruktury przesyłowej i dystrybucyjnej wykorzystujących gaz </w:t>
      </w:r>
      <w:r w:rsidRPr="004043CF">
        <w:rPr>
          <w:rFonts w:asciiTheme="minorHAnsi" w:hAnsiTheme="minorHAnsi" w:cstheme="minorHAnsi"/>
          <w:szCs w:val="22"/>
        </w:rPr>
        <w:lastRenderedPageBreak/>
        <w:t>ziemny, które są zgodne z warunkami określonymi w załączniku III do wytycznych technicznych dotyczących stosowania zasady „nie czyń poważnych szkód” (2021/C 58/01)</w:t>
      </w:r>
      <w:r>
        <w:rPr>
          <w:rFonts w:asciiTheme="minorHAnsi" w:hAnsiTheme="minorHAnsi" w:cstheme="minorHAnsi"/>
          <w:szCs w:val="22"/>
        </w:rPr>
        <w:t>,</w:t>
      </w:r>
    </w:p>
    <w:p w14:paraId="6100088C" w14:textId="24DB36ED" w:rsidR="004043CF" w:rsidRDefault="004043CF" w:rsidP="002147E8">
      <w:pPr>
        <w:pStyle w:val="Tekstpodstawowy"/>
        <w:keepLines w:val="0"/>
        <w:numPr>
          <w:ilvl w:val="1"/>
          <w:numId w:val="13"/>
        </w:numPr>
        <w:tabs>
          <w:tab w:val="left" w:pos="-709"/>
        </w:tabs>
        <w:autoSpaceDE w:val="0"/>
        <w:autoSpaceDN w:val="0"/>
        <w:adjustRightInd w:val="0"/>
        <w:spacing w:before="120"/>
        <w:ind w:left="1134"/>
        <w:jc w:val="left"/>
        <w:rPr>
          <w:rFonts w:asciiTheme="minorHAnsi" w:hAnsiTheme="minorHAnsi" w:cstheme="minorHAnsi"/>
          <w:szCs w:val="22"/>
        </w:rPr>
      </w:pPr>
      <w:r w:rsidRPr="004043CF">
        <w:rPr>
          <w:rFonts w:asciiTheme="minorHAnsi" w:hAnsiTheme="minorHAnsi" w:cstheme="minorHAnsi"/>
          <w:szCs w:val="22"/>
        </w:rPr>
        <w:t>działania w ramach unijnego systemu handlu uprawnieniami do emisji (ETS) prowadzące do osiągnięcia prognozowanych emisji gazów cieplarnianych nie niższych niż odpowiednie wskaźniki emisyjności</w:t>
      </w:r>
      <w:r>
        <w:rPr>
          <w:rFonts w:asciiTheme="minorHAnsi" w:hAnsiTheme="minorHAnsi" w:cstheme="minorHAnsi"/>
          <w:szCs w:val="22"/>
        </w:rPr>
        <w:t>,</w:t>
      </w:r>
    </w:p>
    <w:p w14:paraId="5661630A" w14:textId="68F0B47D" w:rsidR="004043CF" w:rsidRDefault="004043CF" w:rsidP="002147E8">
      <w:pPr>
        <w:pStyle w:val="Tekstpodstawowy"/>
        <w:keepLines w:val="0"/>
        <w:numPr>
          <w:ilvl w:val="1"/>
          <w:numId w:val="13"/>
        </w:numPr>
        <w:tabs>
          <w:tab w:val="left" w:pos="-709"/>
        </w:tabs>
        <w:autoSpaceDE w:val="0"/>
        <w:autoSpaceDN w:val="0"/>
        <w:adjustRightInd w:val="0"/>
        <w:spacing w:before="60"/>
        <w:ind w:left="1134" w:hanging="357"/>
        <w:jc w:val="left"/>
        <w:rPr>
          <w:rFonts w:asciiTheme="minorHAnsi" w:hAnsiTheme="minorHAnsi" w:cstheme="minorHAnsi"/>
          <w:szCs w:val="22"/>
        </w:rPr>
      </w:pPr>
      <w:r w:rsidRPr="004043CF">
        <w:rPr>
          <w:rFonts w:asciiTheme="minorHAnsi" w:hAnsiTheme="minorHAnsi" w:cstheme="minorHAnsi"/>
          <w:szCs w:val="22"/>
        </w:rPr>
        <w:t>działalność związana ze składowiskami odpadów, spalarniami i zakładami mechaniczno</w:t>
      </w:r>
      <w:r w:rsidR="00311C2F">
        <w:rPr>
          <w:rFonts w:asciiTheme="minorHAnsi" w:hAnsiTheme="minorHAnsi" w:cstheme="minorHAnsi"/>
          <w:szCs w:val="22"/>
        </w:rPr>
        <w:noBreakHyphen/>
      </w:r>
      <w:r w:rsidRPr="004043CF">
        <w:rPr>
          <w:rFonts w:asciiTheme="minorHAnsi" w:hAnsiTheme="minorHAnsi" w:cstheme="minorHAnsi"/>
          <w:szCs w:val="22"/>
        </w:rPr>
        <w:t>biologicznego przetwarzania odpadów</w:t>
      </w:r>
      <w:r>
        <w:rPr>
          <w:rFonts w:asciiTheme="minorHAnsi" w:hAnsiTheme="minorHAnsi" w:cstheme="minorHAnsi"/>
          <w:szCs w:val="22"/>
        </w:rPr>
        <w:t>,</w:t>
      </w:r>
    </w:p>
    <w:p w14:paraId="3C8ECFC1" w14:textId="584C1AE8" w:rsidR="004043CF" w:rsidRDefault="004043CF" w:rsidP="002147E8">
      <w:pPr>
        <w:pStyle w:val="Tekstpodstawowy"/>
        <w:keepLines w:val="0"/>
        <w:numPr>
          <w:ilvl w:val="1"/>
          <w:numId w:val="13"/>
        </w:numPr>
        <w:tabs>
          <w:tab w:val="left" w:pos="-709"/>
        </w:tabs>
        <w:autoSpaceDE w:val="0"/>
        <w:autoSpaceDN w:val="0"/>
        <w:adjustRightInd w:val="0"/>
        <w:spacing w:before="60"/>
        <w:ind w:left="1134" w:hanging="357"/>
        <w:jc w:val="left"/>
        <w:rPr>
          <w:rFonts w:asciiTheme="minorHAnsi" w:hAnsiTheme="minorHAnsi" w:cstheme="minorHAnsi"/>
          <w:szCs w:val="22"/>
        </w:rPr>
      </w:pPr>
      <w:r w:rsidRPr="004043CF">
        <w:rPr>
          <w:rFonts w:asciiTheme="minorHAnsi" w:hAnsiTheme="minorHAnsi" w:cstheme="minorHAnsi"/>
          <w:szCs w:val="22"/>
        </w:rPr>
        <w:t>działania, w przypadku których długoterminowe unieszkodliwianie odpadów może szkodzić środowisku naturalnemu</w:t>
      </w:r>
      <w:r>
        <w:rPr>
          <w:rFonts w:asciiTheme="minorHAnsi" w:hAnsiTheme="minorHAnsi" w:cstheme="minorHAnsi"/>
          <w:szCs w:val="22"/>
        </w:rPr>
        <w:t>.</w:t>
      </w:r>
    </w:p>
    <w:p w14:paraId="068F4DDC" w14:textId="11820E03" w:rsidR="009F79DC" w:rsidRPr="005E4114" w:rsidRDefault="009F79DC" w:rsidP="00CF5A5C">
      <w:pPr>
        <w:pStyle w:val="Akapitzlist"/>
        <w:tabs>
          <w:tab w:val="left" w:pos="284"/>
        </w:tabs>
        <w:autoSpaceDE w:val="0"/>
        <w:autoSpaceDN w:val="0"/>
        <w:adjustRightInd w:val="0"/>
        <w:spacing w:before="120"/>
        <w:ind w:left="284"/>
        <w:contextualSpacing w:val="0"/>
        <w:jc w:val="both"/>
        <w:rPr>
          <w:rFonts w:asciiTheme="minorHAnsi" w:hAnsiTheme="minorHAnsi" w:cstheme="minorHAnsi"/>
          <w:sz w:val="22"/>
          <w:szCs w:val="22"/>
        </w:rPr>
      </w:pPr>
    </w:p>
    <w:sectPr w:rsidR="009F79DC" w:rsidRPr="005E4114" w:rsidSect="00BD7377">
      <w:headerReference w:type="default" r:id="rId8"/>
      <w:footerReference w:type="even" r:id="rId9"/>
      <w:footerReference w:type="default" r:id="rId10"/>
      <w:headerReference w:type="first" r:id="rId11"/>
      <w:pgSz w:w="11906" w:h="16838"/>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314A" w14:textId="77777777" w:rsidR="005E37AE" w:rsidRDefault="005E37AE">
      <w:r>
        <w:separator/>
      </w:r>
    </w:p>
  </w:endnote>
  <w:endnote w:type="continuationSeparator" w:id="0">
    <w:p w14:paraId="3DBB572B" w14:textId="77777777" w:rsidR="005E37AE" w:rsidRDefault="005E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7389" w14:textId="77777777" w:rsidR="00485370" w:rsidRDefault="00485370" w:rsidP="00F5249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22D089D" w14:textId="77777777" w:rsidR="00485370" w:rsidRDefault="004853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FC0C" w14:textId="4A807E47" w:rsidR="00485370" w:rsidRPr="00933AA1" w:rsidRDefault="00485370" w:rsidP="00F5249F">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35626F">
      <w:rPr>
        <w:rStyle w:val="Numerstrony"/>
        <w:noProof/>
        <w:sz w:val="20"/>
        <w:szCs w:val="20"/>
      </w:rPr>
      <w:t>1</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248F1" w14:textId="77777777" w:rsidR="005E37AE" w:rsidRDefault="005E37AE">
      <w:r>
        <w:separator/>
      </w:r>
    </w:p>
  </w:footnote>
  <w:footnote w:type="continuationSeparator" w:id="0">
    <w:p w14:paraId="38D0C139" w14:textId="77777777" w:rsidR="005E37AE" w:rsidRDefault="005E3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51305" w14:textId="7EEBCAE4" w:rsidR="00485370" w:rsidRPr="0019123C" w:rsidRDefault="00D60EE6" w:rsidP="00D60EE6">
    <w:pPr>
      <w:tabs>
        <w:tab w:val="left" w:pos="-3402"/>
        <w:tab w:val="left" w:pos="-3119"/>
        <w:tab w:val="left" w:pos="-2694"/>
        <w:tab w:val="left" w:pos="0"/>
      </w:tabs>
      <w:jc w:val="center"/>
      <w:rPr>
        <w:rFonts w:ascii="Calibri" w:hAnsi="Calibri"/>
        <w:sz w:val="20"/>
        <w:szCs w:val="20"/>
      </w:rPr>
    </w:pPr>
    <w:r w:rsidRPr="00D60EE6">
      <w:rPr>
        <w:rFonts w:ascii="Calibri" w:hAnsi="Calibri"/>
        <w:noProof/>
        <w:sz w:val="20"/>
        <w:szCs w:val="20"/>
      </w:rPr>
      <w:drawing>
        <wp:inline distT="0" distB="0" distL="0" distR="0" wp14:anchorId="36D38CE2" wp14:editId="63FC1831">
          <wp:extent cx="5760720" cy="690245"/>
          <wp:effectExtent l="0" t="0" r="0" b="0"/>
          <wp:docPr id="1367372468" name="Obraz 1" descr="Logotyp Krajowego Planu Odbud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72468" name="Obraz 1" descr="Logotyp Krajowego Planu Odbudowy"/>
                  <pic:cNvPicPr/>
                </pic:nvPicPr>
                <pic:blipFill>
                  <a:blip r:embed="rId1">
                    <a:extLst>
                      <a:ext uri="{28A0092B-C50C-407E-A947-70E740481C1C}">
                        <a14:useLocalDpi xmlns:a14="http://schemas.microsoft.com/office/drawing/2010/main" val="0"/>
                      </a:ext>
                    </a:extLst>
                  </a:blip>
                  <a:stretch>
                    <a:fillRect/>
                  </a:stretch>
                </pic:blipFill>
                <pic:spPr>
                  <a:xfrm>
                    <a:off x="0" y="0"/>
                    <a:ext cx="5760720" cy="690245"/>
                  </a:xfrm>
                  <a:prstGeom prst="rect">
                    <a:avLst/>
                  </a:prstGeom>
                </pic:spPr>
              </pic:pic>
            </a:graphicData>
          </a:graphic>
        </wp:inline>
      </w:drawing>
    </w:r>
  </w:p>
  <w:p w14:paraId="21578441" w14:textId="77777777" w:rsidR="00485370" w:rsidRPr="00AE6284" w:rsidRDefault="00485370" w:rsidP="00955A1D">
    <w:pPr>
      <w:pStyle w:val="Nagwek"/>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BF3C" w14:textId="77777777" w:rsidR="00485370" w:rsidRDefault="00485370"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5FF6"/>
    <w:multiLevelType w:val="hybridMultilevel"/>
    <w:tmpl w:val="5C2C935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75D2234"/>
    <w:multiLevelType w:val="multilevel"/>
    <w:tmpl w:val="8DC076FC"/>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662F3D"/>
    <w:multiLevelType w:val="hybridMultilevel"/>
    <w:tmpl w:val="04688A7A"/>
    <w:lvl w:ilvl="0" w:tplc="04150011">
      <w:start w:val="1"/>
      <w:numFmt w:val="decimal"/>
      <w:lvlText w:val="%1)"/>
      <w:lvlJc w:val="left"/>
      <w:pPr>
        <w:ind w:left="1145" w:hanging="360"/>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 w15:restartNumberingAfterBreak="0">
    <w:nsid w:val="0D040E39"/>
    <w:multiLevelType w:val="multilevel"/>
    <w:tmpl w:val="1206EA04"/>
    <w:lvl w:ilvl="0">
      <w:start w:val="7"/>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BF1B23"/>
    <w:multiLevelType w:val="multilevel"/>
    <w:tmpl w:val="58A62928"/>
    <w:lvl w:ilvl="0">
      <w:start w:val="1"/>
      <w:numFmt w:val="decimal"/>
      <w:lvlText w:val="%1)"/>
      <w:lvlJc w:val="left"/>
      <w:pPr>
        <w:ind w:left="720" w:hanging="360"/>
      </w:pPr>
      <w:rPr>
        <w:rFonts w:hint="default"/>
        <w:b w:val="0"/>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CB5D7D"/>
    <w:multiLevelType w:val="hybridMultilevel"/>
    <w:tmpl w:val="2F367054"/>
    <w:lvl w:ilvl="0" w:tplc="F94686D4">
      <w:start w:val="3"/>
      <w:numFmt w:val="bullet"/>
      <w:lvlText w:val="-"/>
      <w:lvlJc w:val="left"/>
      <w:pPr>
        <w:ind w:left="1004" w:hanging="360"/>
      </w:pPr>
      <w:rPr>
        <w:rFonts w:ascii="Arial" w:eastAsia="Calibri" w:hAnsi="Aria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50B0BCA"/>
    <w:multiLevelType w:val="hybridMultilevel"/>
    <w:tmpl w:val="1E3E8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D44EF"/>
    <w:multiLevelType w:val="multilevel"/>
    <w:tmpl w:val="684E145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1E1F5081"/>
    <w:multiLevelType w:val="hybridMultilevel"/>
    <w:tmpl w:val="27149226"/>
    <w:lvl w:ilvl="0" w:tplc="5D72433E">
      <w:start w:val="1"/>
      <w:numFmt w:val="lowerLetter"/>
      <w:lvlText w:val="%1)"/>
      <w:lvlJc w:val="left"/>
      <w:pPr>
        <w:ind w:left="927" w:hanging="360"/>
      </w:pPr>
      <w:rPr>
        <w:rFonts w:hint="default"/>
      </w:rPr>
    </w:lvl>
    <w:lvl w:ilvl="1" w:tplc="075824B2">
      <w:start w:val="1"/>
      <w:numFmt w:val="lowerRoman"/>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BD08F5"/>
    <w:multiLevelType w:val="hybridMultilevel"/>
    <w:tmpl w:val="F2B48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6E79D2"/>
    <w:multiLevelType w:val="hybridMultilevel"/>
    <w:tmpl w:val="20581112"/>
    <w:lvl w:ilvl="0" w:tplc="04150017">
      <w:start w:val="1"/>
      <w:numFmt w:val="lowerLetter"/>
      <w:lvlText w:val="%1)"/>
      <w:lvlJc w:val="left"/>
      <w:pPr>
        <w:ind w:left="1794" w:hanging="360"/>
      </w:p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1" w15:restartNumberingAfterBreak="0">
    <w:nsid w:val="36784973"/>
    <w:multiLevelType w:val="hybridMultilevel"/>
    <w:tmpl w:val="0EA65712"/>
    <w:lvl w:ilvl="0" w:tplc="DC2E80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330F6"/>
    <w:multiLevelType w:val="hybridMultilevel"/>
    <w:tmpl w:val="87901510"/>
    <w:lvl w:ilvl="0" w:tplc="74847214">
      <w:start w:val="2"/>
      <w:numFmt w:val="decimal"/>
      <w:lvlText w:val="%1)"/>
      <w:lvlJc w:val="left"/>
      <w:pPr>
        <w:ind w:left="927" w:hanging="360"/>
      </w:pPr>
      <w:rPr>
        <w:rFonts w:hint="default"/>
      </w:rPr>
    </w:lvl>
    <w:lvl w:ilvl="1" w:tplc="04150017">
      <w:start w:val="1"/>
      <w:numFmt w:val="lowerLetter"/>
      <w:lvlText w:val="%2)"/>
      <w:lvlJc w:val="left"/>
      <w:pPr>
        <w:ind w:left="164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9234C1"/>
    <w:multiLevelType w:val="multilevel"/>
    <w:tmpl w:val="D7D460AE"/>
    <w:lvl w:ilvl="0">
      <w:start w:val="7"/>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91766D"/>
    <w:multiLevelType w:val="hybridMultilevel"/>
    <w:tmpl w:val="04D022B6"/>
    <w:lvl w:ilvl="0" w:tplc="89EA4BAC">
      <w:start w:val="1"/>
      <w:numFmt w:val="lowerLetter"/>
      <w:lvlText w:val="%1)"/>
      <w:lvlJc w:val="left"/>
      <w:pPr>
        <w:tabs>
          <w:tab w:val="num" w:pos="-77"/>
        </w:tabs>
        <w:ind w:left="643" w:hanging="360"/>
      </w:pPr>
      <w:rPr>
        <w:rFonts w:asciiTheme="minorHAnsi" w:eastAsia="Times New Roman" w:hAnsiTheme="minorHAnsi" w:cstheme="minorHAnsi"/>
      </w:rPr>
    </w:lvl>
    <w:lvl w:ilvl="1" w:tplc="26063AF8">
      <w:start w:val="1"/>
      <w:numFmt w:val="decimal"/>
      <w:lvlText w:val="%2)"/>
      <w:lvlJc w:val="left"/>
      <w:pPr>
        <w:ind w:left="1785" w:hanging="705"/>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205161"/>
    <w:multiLevelType w:val="hybridMultilevel"/>
    <w:tmpl w:val="745EC826"/>
    <w:lvl w:ilvl="0" w:tplc="04150017">
      <w:start w:val="1"/>
      <w:numFmt w:val="lowerLetter"/>
      <w:lvlText w:val="%1)"/>
      <w:lvlJc w:val="left"/>
      <w:pPr>
        <w:ind w:left="1648" w:hanging="360"/>
      </w:pPr>
      <w:rPr>
        <w:rFonts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499A5C60"/>
    <w:multiLevelType w:val="hybridMultilevel"/>
    <w:tmpl w:val="3410ADE8"/>
    <w:lvl w:ilvl="0" w:tplc="28940258">
      <w:start w:val="1"/>
      <w:numFmt w:val="decimal"/>
      <w:lvlText w:val="%1)"/>
      <w:lvlJc w:val="left"/>
      <w:pPr>
        <w:ind w:left="927" w:hanging="360"/>
      </w:pPr>
      <w:rPr>
        <w:rFonts w:hint="default"/>
      </w:rPr>
    </w:lvl>
    <w:lvl w:ilvl="1" w:tplc="FCBC5320">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D92215C"/>
    <w:multiLevelType w:val="hybridMultilevel"/>
    <w:tmpl w:val="0E72954A"/>
    <w:lvl w:ilvl="0" w:tplc="04150011">
      <w:start w:val="1"/>
      <w:numFmt w:val="decimal"/>
      <w:lvlText w:val="%1)"/>
      <w:lvlJc w:val="left"/>
      <w:pPr>
        <w:ind w:left="1648" w:hanging="360"/>
      </w:pPr>
      <w:rPr>
        <w:rFonts w:hint="default"/>
      </w:rPr>
    </w:lvl>
    <w:lvl w:ilvl="1" w:tplc="04150017">
      <w:start w:val="1"/>
      <w:numFmt w:val="lowerLetter"/>
      <w:lvlText w:val="%2)"/>
      <w:lvlJc w:val="left"/>
      <w:pPr>
        <w:ind w:left="1648" w:hanging="360"/>
      </w:p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67A73FD0"/>
    <w:multiLevelType w:val="hybridMultilevel"/>
    <w:tmpl w:val="FDBCC3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FAF5E57"/>
    <w:multiLevelType w:val="multilevel"/>
    <w:tmpl w:val="0D00358A"/>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CA15E3"/>
    <w:multiLevelType w:val="hybridMultilevel"/>
    <w:tmpl w:val="AAB46EFC"/>
    <w:lvl w:ilvl="0" w:tplc="22989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4418854">
    <w:abstractNumId w:val="7"/>
  </w:num>
  <w:num w:numId="2" w16cid:durableId="1565484272">
    <w:abstractNumId w:val="1"/>
  </w:num>
  <w:num w:numId="3" w16cid:durableId="1646548234">
    <w:abstractNumId w:val="3"/>
  </w:num>
  <w:num w:numId="4" w16cid:durableId="745883728">
    <w:abstractNumId w:val="2"/>
  </w:num>
  <w:num w:numId="5" w16cid:durableId="1082413285">
    <w:abstractNumId w:val="15"/>
  </w:num>
  <w:num w:numId="6" w16cid:durableId="148596592">
    <w:abstractNumId w:val="16"/>
  </w:num>
  <w:num w:numId="7" w16cid:durableId="1070931351">
    <w:abstractNumId w:val="8"/>
  </w:num>
  <w:num w:numId="8" w16cid:durableId="1873182463">
    <w:abstractNumId w:val="11"/>
  </w:num>
  <w:num w:numId="9" w16cid:durableId="1174998823">
    <w:abstractNumId w:val="19"/>
  </w:num>
  <w:num w:numId="10" w16cid:durableId="1359088632">
    <w:abstractNumId w:val="13"/>
  </w:num>
  <w:num w:numId="11" w16cid:durableId="878006211">
    <w:abstractNumId w:val="17"/>
  </w:num>
  <w:num w:numId="12" w16cid:durableId="2101296608">
    <w:abstractNumId w:val="10"/>
  </w:num>
  <w:num w:numId="13" w16cid:durableId="886723945">
    <w:abstractNumId w:val="4"/>
  </w:num>
  <w:num w:numId="14" w16cid:durableId="2138258999">
    <w:abstractNumId w:val="18"/>
  </w:num>
  <w:num w:numId="15" w16cid:durableId="61023813">
    <w:abstractNumId w:val="5"/>
  </w:num>
  <w:num w:numId="16" w16cid:durableId="1267618978">
    <w:abstractNumId w:val="12"/>
  </w:num>
  <w:num w:numId="17" w16cid:durableId="1087265632">
    <w:abstractNumId w:val="0"/>
  </w:num>
  <w:num w:numId="18" w16cid:durableId="1996765572">
    <w:abstractNumId w:val="14"/>
  </w:num>
  <w:num w:numId="19" w16cid:durableId="749275158">
    <w:abstractNumId w:val="6"/>
  </w:num>
  <w:num w:numId="20" w16cid:durableId="76755889">
    <w:abstractNumId w:val="20"/>
  </w:num>
  <w:num w:numId="21" w16cid:durableId="165433375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1D5B"/>
    <w:rsid w:val="00003947"/>
    <w:rsid w:val="000043D2"/>
    <w:rsid w:val="0000559C"/>
    <w:rsid w:val="00006D28"/>
    <w:rsid w:val="000125F7"/>
    <w:rsid w:val="000130A1"/>
    <w:rsid w:val="0001596A"/>
    <w:rsid w:val="00016212"/>
    <w:rsid w:val="000170F5"/>
    <w:rsid w:val="000176B4"/>
    <w:rsid w:val="00021398"/>
    <w:rsid w:val="00021BF7"/>
    <w:rsid w:val="0002411B"/>
    <w:rsid w:val="00026E7E"/>
    <w:rsid w:val="00027686"/>
    <w:rsid w:val="00031CD6"/>
    <w:rsid w:val="000343DD"/>
    <w:rsid w:val="00035333"/>
    <w:rsid w:val="0004251A"/>
    <w:rsid w:val="000472EE"/>
    <w:rsid w:val="00057197"/>
    <w:rsid w:val="00057882"/>
    <w:rsid w:val="00060B43"/>
    <w:rsid w:val="00064ABE"/>
    <w:rsid w:val="0006682E"/>
    <w:rsid w:val="00066981"/>
    <w:rsid w:val="0007080E"/>
    <w:rsid w:val="0007177C"/>
    <w:rsid w:val="000729B3"/>
    <w:rsid w:val="000745AA"/>
    <w:rsid w:val="00075D10"/>
    <w:rsid w:val="00077658"/>
    <w:rsid w:val="00083A5C"/>
    <w:rsid w:val="00084010"/>
    <w:rsid w:val="00086A35"/>
    <w:rsid w:val="0008706B"/>
    <w:rsid w:val="00090C6A"/>
    <w:rsid w:val="0009158F"/>
    <w:rsid w:val="000923AF"/>
    <w:rsid w:val="0009637B"/>
    <w:rsid w:val="000964FD"/>
    <w:rsid w:val="00096C6E"/>
    <w:rsid w:val="000A048C"/>
    <w:rsid w:val="000A2A8F"/>
    <w:rsid w:val="000A30EE"/>
    <w:rsid w:val="000A582F"/>
    <w:rsid w:val="000A6A4E"/>
    <w:rsid w:val="000A7A56"/>
    <w:rsid w:val="000B047D"/>
    <w:rsid w:val="000B051B"/>
    <w:rsid w:val="000B11E2"/>
    <w:rsid w:val="000B42B3"/>
    <w:rsid w:val="000B5DC2"/>
    <w:rsid w:val="000B64BC"/>
    <w:rsid w:val="000B6CE3"/>
    <w:rsid w:val="000C143D"/>
    <w:rsid w:val="000C57DA"/>
    <w:rsid w:val="000C7B72"/>
    <w:rsid w:val="000D0289"/>
    <w:rsid w:val="000D13F0"/>
    <w:rsid w:val="000D20E6"/>
    <w:rsid w:val="000D3304"/>
    <w:rsid w:val="000D5D2B"/>
    <w:rsid w:val="000D7EE3"/>
    <w:rsid w:val="000E063F"/>
    <w:rsid w:val="000E4146"/>
    <w:rsid w:val="000E424B"/>
    <w:rsid w:val="000F17FC"/>
    <w:rsid w:val="000F2A93"/>
    <w:rsid w:val="000F4EF0"/>
    <w:rsid w:val="000F5D2D"/>
    <w:rsid w:val="000F5D72"/>
    <w:rsid w:val="000F7511"/>
    <w:rsid w:val="00101191"/>
    <w:rsid w:val="001022FC"/>
    <w:rsid w:val="00104A9A"/>
    <w:rsid w:val="001149D1"/>
    <w:rsid w:val="00114A8B"/>
    <w:rsid w:val="001156F0"/>
    <w:rsid w:val="00121A16"/>
    <w:rsid w:val="00123FE9"/>
    <w:rsid w:val="001242A0"/>
    <w:rsid w:val="00127861"/>
    <w:rsid w:val="00130BC6"/>
    <w:rsid w:val="00132039"/>
    <w:rsid w:val="001330ED"/>
    <w:rsid w:val="00133749"/>
    <w:rsid w:val="00133DE9"/>
    <w:rsid w:val="00133FF1"/>
    <w:rsid w:val="00134DF0"/>
    <w:rsid w:val="001350EC"/>
    <w:rsid w:val="00135F6A"/>
    <w:rsid w:val="00136342"/>
    <w:rsid w:val="001374CB"/>
    <w:rsid w:val="00141D77"/>
    <w:rsid w:val="00143794"/>
    <w:rsid w:val="00143EFC"/>
    <w:rsid w:val="0014433C"/>
    <w:rsid w:val="00144712"/>
    <w:rsid w:val="00144C95"/>
    <w:rsid w:val="00144E23"/>
    <w:rsid w:val="00145367"/>
    <w:rsid w:val="001464B1"/>
    <w:rsid w:val="001546BD"/>
    <w:rsid w:val="00162B43"/>
    <w:rsid w:val="001647F0"/>
    <w:rsid w:val="00167901"/>
    <w:rsid w:val="001707AB"/>
    <w:rsid w:val="001707AD"/>
    <w:rsid w:val="00171F36"/>
    <w:rsid w:val="001742E2"/>
    <w:rsid w:val="001804C3"/>
    <w:rsid w:val="0018132F"/>
    <w:rsid w:val="0018283B"/>
    <w:rsid w:val="00185EB9"/>
    <w:rsid w:val="00185EC8"/>
    <w:rsid w:val="00186184"/>
    <w:rsid w:val="0019123C"/>
    <w:rsid w:val="00193FAD"/>
    <w:rsid w:val="00195E59"/>
    <w:rsid w:val="00196C95"/>
    <w:rsid w:val="001A4EDA"/>
    <w:rsid w:val="001A593A"/>
    <w:rsid w:val="001B26FA"/>
    <w:rsid w:val="001B5293"/>
    <w:rsid w:val="001B5A6F"/>
    <w:rsid w:val="001B6F91"/>
    <w:rsid w:val="001C0524"/>
    <w:rsid w:val="001D11C4"/>
    <w:rsid w:val="001D274B"/>
    <w:rsid w:val="001D2E27"/>
    <w:rsid w:val="001D2E2F"/>
    <w:rsid w:val="001D61A1"/>
    <w:rsid w:val="001D6A62"/>
    <w:rsid w:val="001D6FF8"/>
    <w:rsid w:val="001E1E2C"/>
    <w:rsid w:val="001E24D4"/>
    <w:rsid w:val="001E255D"/>
    <w:rsid w:val="001E3EED"/>
    <w:rsid w:val="001E4B4B"/>
    <w:rsid w:val="001E5342"/>
    <w:rsid w:val="001E5B0E"/>
    <w:rsid w:val="001F485B"/>
    <w:rsid w:val="001F4C5B"/>
    <w:rsid w:val="001F54A9"/>
    <w:rsid w:val="001F55D7"/>
    <w:rsid w:val="001F61B5"/>
    <w:rsid w:val="001F63C0"/>
    <w:rsid w:val="001F7656"/>
    <w:rsid w:val="001F77F9"/>
    <w:rsid w:val="00204821"/>
    <w:rsid w:val="002076A5"/>
    <w:rsid w:val="00211A36"/>
    <w:rsid w:val="002123F8"/>
    <w:rsid w:val="00213D74"/>
    <w:rsid w:val="002147E8"/>
    <w:rsid w:val="002169A8"/>
    <w:rsid w:val="00221BCE"/>
    <w:rsid w:val="002241FD"/>
    <w:rsid w:val="00225EF2"/>
    <w:rsid w:val="002263BB"/>
    <w:rsid w:val="00226E2B"/>
    <w:rsid w:val="00230729"/>
    <w:rsid w:val="00233841"/>
    <w:rsid w:val="002349FA"/>
    <w:rsid w:val="0023554C"/>
    <w:rsid w:val="0023609F"/>
    <w:rsid w:val="00236F7A"/>
    <w:rsid w:val="00241BE8"/>
    <w:rsid w:val="00242397"/>
    <w:rsid w:val="0024261A"/>
    <w:rsid w:val="002431A1"/>
    <w:rsid w:val="002431AC"/>
    <w:rsid w:val="00243D98"/>
    <w:rsid w:val="00244621"/>
    <w:rsid w:val="00251158"/>
    <w:rsid w:val="00252156"/>
    <w:rsid w:val="002548B8"/>
    <w:rsid w:val="00256721"/>
    <w:rsid w:val="002617E5"/>
    <w:rsid w:val="002666C0"/>
    <w:rsid w:val="00266729"/>
    <w:rsid w:val="002704A6"/>
    <w:rsid w:val="00271CB5"/>
    <w:rsid w:val="00274623"/>
    <w:rsid w:val="00274CFA"/>
    <w:rsid w:val="00275AA0"/>
    <w:rsid w:val="0027624E"/>
    <w:rsid w:val="00276AB5"/>
    <w:rsid w:val="00276ED7"/>
    <w:rsid w:val="00284304"/>
    <w:rsid w:val="002843D0"/>
    <w:rsid w:val="00287A96"/>
    <w:rsid w:val="00291FB2"/>
    <w:rsid w:val="0029470A"/>
    <w:rsid w:val="00294DC5"/>
    <w:rsid w:val="00296619"/>
    <w:rsid w:val="002A4C91"/>
    <w:rsid w:val="002A4CBF"/>
    <w:rsid w:val="002A4F47"/>
    <w:rsid w:val="002A569A"/>
    <w:rsid w:val="002A7340"/>
    <w:rsid w:val="002B1D6E"/>
    <w:rsid w:val="002B31F4"/>
    <w:rsid w:val="002B5A47"/>
    <w:rsid w:val="002C0BE5"/>
    <w:rsid w:val="002C2846"/>
    <w:rsid w:val="002C4749"/>
    <w:rsid w:val="002C5AA9"/>
    <w:rsid w:val="002C5E0D"/>
    <w:rsid w:val="002C737A"/>
    <w:rsid w:val="002C75BB"/>
    <w:rsid w:val="002D1330"/>
    <w:rsid w:val="002D14E7"/>
    <w:rsid w:val="002D1F46"/>
    <w:rsid w:val="002E0B92"/>
    <w:rsid w:val="002E0E36"/>
    <w:rsid w:val="002E1DBE"/>
    <w:rsid w:val="002E2BC3"/>
    <w:rsid w:val="002E2DF0"/>
    <w:rsid w:val="002E2E8B"/>
    <w:rsid w:val="002E307E"/>
    <w:rsid w:val="002E325C"/>
    <w:rsid w:val="002E3655"/>
    <w:rsid w:val="002E51DD"/>
    <w:rsid w:val="002E52C5"/>
    <w:rsid w:val="002E5BD1"/>
    <w:rsid w:val="002E69B5"/>
    <w:rsid w:val="002F1493"/>
    <w:rsid w:val="002F1EEF"/>
    <w:rsid w:val="002F2003"/>
    <w:rsid w:val="002F3F3E"/>
    <w:rsid w:val="002F463C"/>
    <w:rsid w:val="002F6863"/>
    <w:rsid w:val="003018F2"/>
    <w:rsid w:val="003019AF"/>
    <w:rsid w:val="00301D0D"/>
    <w:rsid w:val="00302626"/>
    <w:rsid w:val="00304872"/>
    <w:rsid w:val="00304B3F"/>
    <w:rsid w:val="00305AEA"/>
    <w:rsid w:val="00311C2F"/>
    <w:rsid w:val="00311D64"/>
    <w:rsid w:val="00312ED8"/>
    <w:rsid w:val="00313D61"/>
    <w:rsid w:val="00315BCE"/>
    <w:rsid w:val="00316946"/>
    <w:rsid w:val="00317DB8"/>
    <w:rsid w:val="003204CE"/>
    <w:rsid w:val="0032449D"/>
    <w:rsid w:val="00324F72"/>
    <w:rsid w:val="00325F5F"/>
    <w:rsid w:val="0032608D"/>
    <w:rsid w:val="003262CE"/>
    <w:rsid w:val="00327618"/>
    <w:rsid w:val="003277FF"/>
    <w:rsid w:val="00330FB7"/>
    <w:rsid w:val="00332483"/>
    <w:rsid w:val="0033355B"/>
    <w:rsid w:val="003337FD"/>
    <w:rsid w:val="003366E5"/>
    <w:rsid w:val="0034241E"/>
    <w:rsid w:val="00342F4B"/>
    <w:rsid w:val="0034402C"/>
    <w:rsid w:val="00345196"/>
    <w:rsid w:val="00345E10"/>
    <w:rsid w:val="00346165"/>
    <w:rsid w:val="00347B22"/>
    <w:rsid w:val="00347B2B"/>
    <w:rsid w:val="00350E3C"/>
    <w:rsid w:val="00351050"/>
    <w:rsid w:val="0035626F"/>
    <w:rsid w:val="003579E2"/>
    <w:rsid w:val="003624AE"/>
    <w:rsid w:val="00362A20"/>
    <w:rsid w:val="00363ECD"/>
    <w:rsid w:val="00363F11"/>
    <w:rsid w:val="00364A65"/>
    <w:rsid w:val="00364C40"/>
    <w:rsid w:val="00366012"/>
    <w:rsid w:val="003706EE"/>
    <w:rsid w:val="003715DA"/>
    <w:rsid w:val="00371C24"/>
    <w:rsid w:val="00374E12"/>
    <w:rsid w:val="003753F6"/>
    <w:rsid w:val="00376592"/>
    <w:rsid w:val="0037680C"/>
    <w:rsid w:val="00377BDB"/>
    <w:rsid w:val="00377C8E"/>
    <w:rsid w:val="0038095D"/>
    <w:rsid w:val="00381332"/>
    <w:rsid w:val="003832C6"/>
    <w:rsid w:val="00383D7B"/>
    <w:rsid w:val="00387680"/>
    <w:rsid w:val="0038786E"/>
    <w:rsid w:val="00390993"/>
    <w:rsid w:val="00390C0A"/>
    <w:rsid w:val="00393E6A"/>
    <w:rsid w:val="00394B34"/>
    <w:rsid w:val="0039729E"/>
    <w:rsid w:val="003A0A61"/>
    <w:rsid w:val="003A2443"/>
    <w:rsid w:val="003A35A1"/>
    <w:rsid w:val="003A4463"/>
    <w:rsid w:val="003A58E1"/>
    <w:rsid w:val="003A7994"/>
    <w:rsid w:val="003B02D3"/>
    <w:rsid w:val="003B2818"/>
    <w:rsid w:val="003B28E2"/>
    <w:rsid w:val="003B5F9E"/>
    <w:rsid w:val="003C1E8C"/>
    <w:rsid w:val="003C4DEF"/>
    <w:rsid w:val="003C7D3D"/>
    <w:rsid w:val="003D08F1"/>
    <w:rsid w:val="003D2105"/>
    <w:rsid w:val="003D2477"/>
    <w:rsid w:val="003D283A"/>
    <w:rsid w:val="003D2D3B"/>
    <w:rsid w:val="003D50AF"/>
    <w:rsid w:val="003D583E"/>
    <w:rsid w:val="003D587D"/>
    <w:rsid w:val="003D6725"/>
    <w:rsid w:val="003D6756"/>
    <w:rsid w:val="003E0B5B"/>
    <w:rsid w:val="003E35D1"/>
    <w:rsid w:val="003E3D76"/>
    <w:rsid w:val="003E419A"/>
    <w:rsid w:val="003E6002"/>
    <w:rsid w:val="003E7AB9"/>
    <w:rsid w:val="003F0B90"/>
    <w:rsid w:val="003F17C7"/>
    <w:rsid w:val="003F521B"/>
    <w:rsid w:val="003F5C84"/>
    <w:rsid w:val="003F7195"/>
    <w:rsid w:val="004012B9"/>
    <w:rsid w:val="00402F9B"/>
    <w:rsid w:val="00403F76"/>
    <w:rsid w:val="004043CF"/>
    <w:rsid w:val="00404536"/>
    <w:rsid w:val="00411312"/>
    <w:rsid w:val="004116BE"/>
    <w:rsid w:val="0041532C"/>
    <w:rsid w:val="004160E3"/>
    <w:rsid w:val="00416B50"/>
    <w:rsid w:val="00417287"/>
    <w:rsid w:val="00420366"/>
    <w:rsid w:val="00420DA0"/>
    <w:rsid w:val="004227AA"/>
    <w:rsid w:val="00422E64"/>
    <w:rsid w:val="004275C5"/>
    <w:rsid w:val="00432BA2"/>
    <w:rsid w:val="0044058B"/>
    <w:rsid w:val="00441B12"/>
    <w:rsid w:val="00441F5A"/>
    <w:rsid w:val="00442E87"/>
    <w:rsid w:val="00444C22"/>
    <w:rsid w:val="00445534"/>
    <w:rsid w:val="00450BC0"/>
    <w:rsid w:val="00452A09"/>
    <w:rsid w:val="00452BB4"/>
    <w:rsid w:val="00453C22"/>
    <w:rsid w:val="00454300"/>
    <w:rsid w:val="00454E89"/>
    <w:rsid w:val="00455430"/>
    <w:rsid w:val="00456B56"/>
    <w:rsid w:val="00460265"/>
    <w:rsid w:val="004602D7"/>
    <w:rsid w:val="00462E8F"/>
    <w:rsid w:val="004636B7"/>
    <w:rsid w:val="004649AB"/>
    <w:rsid w:val="00465F6C"/>
    <w:rsid w:val="00470A0C"/>
    <w:rsid w:val="00471FC8"/>
    <w:rsid w:val="00472843"/>
    <w:rsid w:val="00475B1B"/>
    <w:rsid w:val="004809F8"/>
    <w:rsid w:val="00480F31"/>
    <w:rsid w:val="00485370"/>
    <w:rsid w:val="00485DC1"/>
    <w:rsid w:val="00485FD5"/>
    <w:rsid w:val="004860E8"/>
    <w:rsid w:val="004875A8"/>
    <w:rsid w:val="00487AAE"/>
    <w:rsid w:val="00492865"/>
    <w:rsid w:val="004940A0"/>
    <w:rsid w:val="004952C5"/>
    <w:rsid w:val="0049579B"/>
    <w:rsid w:val="004A1734"/>
    <w:rsid w:val="004A2464"/>
    <w:rsid w:val="004A2C7D"/>
    <w:rsid w:val="004A31D0"/>
    <w:rsid w:val="004A356B"/>
    <w:rsid w:val="004A5382"/>
    <w:rsid w:val="004B0C3F"/>
    <w:rsid w:val="004B1C43"/>
    <w:rsid w:val="004B3F46"/>
    <w:rsid w:val="004B590D"/>
    <w:rsid w:val="004B591F"/>
    <w:rsid w:val="004B7613"/>
    <w:rsid w:val="004C0FE5"/>
    <w:rsid w:val="004C2BC5"/>
    <w:rsid w:val="004C7A00"/>
    <w:rsid w:val="004D1675"/>
    <w:rsid w:val="004D2FED"/>
    <w:rsid w:val="004D3464"/>
    <w:rsid w:val="004D4949"/>
    <w:rsid w:val="004D496E"/>
    <w:rsid w:val="004D4C12"/>
    <w:rsid w:val="004D4EB4"/>
    <w:rsid w:val="004D52DB"/>
    <w:rsid w:val="004D663F"/>
    <w:rsid w:val="004E0A00"/>
    <w:rsid w:val="004E0B6A"/>
    <w:rsid w:val="004E5C2D"/>
    <w:rsid w:val="004E6F01"/>
    <w:rsid w:val="004E7FD0"/>
    <w:rsid w:val="004F0D4D"/>
    <w:rsid w:val="004F50B0"/>
    <w:rsid w:val="004F5768"/>
    <w:rsid w:val="004F7FA3"/>
    <w:rsid w:val="00500808"/>
    <w:rsid w:val="00504F5C"/>
    <w:rsid w:val="005052E4"/>
    <w:rsid w:val="00506664"/>
    <w:rsid w:val="00510B7C"/>
    <w:rsid w:val="00510D06"/>
    <w:rsid w:val="00510D48"/>
    <w:rsid w:val="00511793"/>
    <w:rsid w:val="00512987"/>
    <w:rsid w:val="00514C42"/>
    <w:rsid w:val="0051529D"/>
    <w:rsid w:val="00516936"/>
    <w:rsid w:val="005178AD"/>
    <w:rsid w:val="00517C58"/>
    <w:rsid w:val="0052051A"/>
    <w:rsid w:val="00520694"/>
    <w:rsid w:val="0052104B"/>
    <w:rsid w:val="00521179"/>
    <w:rsid w:val="00521F2D"/>
    <w:rsid w:val="00522CFD"/>
    <w:rsid w:val="00524983"/>
    <w:rsid w:val="00526396"/>
    <w:rsid w:val="00526EE4"/>
    <w:rsid w:val="00527CCB"/>
    <w:rsid w:val="00531052"/>
    <w:rsid w:val="00532422"/>
    <w:rsid w:val="0053671D"/>
    <w:rsid w:val="0053687B"/>
    <w:rsid w:val="00541A5D"/>
    <w:rsid w:val="00543A67"/>
    <w:rsid w:val="00547951"/>
    <w:rsid w:val="0055123E"/>
    <w:rsid w:val="00551D5A"/>
    <w:rsid w:val="00552435"/>
    <w:rsid w:val="0055425D"/>
    <w:rsid w:val="00555C66"/>
    <w:rsid w:val="0055789F"/>
    <w:rsid w:val="00561958"/>
    <w:rsid w:val="00561E48"/>
    <w:rsid w:val="00563BCD"/>
    <w:rsid w:val="00566487"/>
    <w:rsid w:val="0056659C"/>
    <w:rsid w:val="005676D1"/>
    <w:rsid w:val="005727BC"/>
    <w:rsid w:val="00572C4A"/>
    <w:rsid w:val="005748D6"/>
    <w:rsid w:val="00575833"/>
    <w:rsid w:val="0057610D"/>
    <w:rsid w:val="00576709"/>
    <w:rsid w:val="00577769"/>
    <w:rsid w:val="0057799D"/>
    <w:rsid w:val="00582E20"/>
    <w:rsid w:val="005832BD"/>
    <w:rsid w:val="005834E1"/>
    <w:rsid w:val="00585D91"/>
    <w:rsid w:val="005868E8"/>
    <w:rsid w:val="00590866"/>
    <w:rsid w:val="0059335E"/>
    <w:rsid w:val="00596987"/>
    <w:rsid w:val="00597F0F"/>
    <w:rsid w:val="005A0022"/>
    <w:rsid w:val="005A3653"/>
    <w:rsid w:val="005A3C46"/>
    <w:rsid w:val="005A520C"/>
    <w:rsid w:val="005A5F29"/>
    <w:rsid w:val="005A7958"/>
    <w:rsid w:val="005A7ACF"/>
    <w:rsid w:val="005B5AA6"/>
    <w:rsid w:val="005B727E"/>
    <w:rsid w:val="005B72A8"/>
    <w:rsid w:val="005C010C"/>
    <w:rsid w:val="005C587B"/>
    <w:rsid w:val="005D6D7E"/>
    <w:rsid w:val="005E2294"/>
    <w:rsid w:val="005E37AE"/>
    <w:rsid w:val="005E4114"/>
    <w:rsid w:val="005E7B4C"/>
    <w:rsid w:val="005F01E3"/>
    <w:rsid w:val="005F0272"/>
    <w:rsid w:val="005F06E3"/>
    <w:rsid w:val="005F0795"/>
    <w:rsid w:val="005F13B5"/>
    <w:rsid w:val="005F47FF"/>
    <w:rsid w:val="005F63DA"/>
    <w:rsid w:val="005F64A1"/>
    <w:rsid w:val="0060350E"/>
    <w:rsid w:val="0060508E"/>
    <w:rsid w:val="006058C0"/>
    <w:rsid w:val="006073C4"/>
    <w:rsid w:val="006105D0"/>
    <w:rsid w:val="0061083E"/>
    <w:rsid w:val="00610F15"/>
    <w:rsid w:val="00611722"/>
    <w:rsid w:val="00611D9F"/>
    <w:rsid w:val="0061251B"/>
    <w:rsid w:val="0061365B"/>
    <w:rsid w:val="0061468E"/>
    <w:rsid w:val="0061623B"/>
    <w:rsid w:val="006162C3"/>
    <w:rsid w:val="0062050E"/>
    <w:rsid w:val="006227A1"/>
    <w:rsid w:val="00624209"/>
    <w:rsid w:val="00624250"/>
    <w:rsid w:val="0062453A"/>
    <w:rsid w:val="00625CA0"/>
    <w:rsid w:val="006260D9"/>
    <w:rsid w:val="00627FA8"/>
    <w:rsid w:val="006306F2"/>
    <w:rsid w:val="006340DD"/>
    <w:rsid w:val="00634641"/>
    <w:rsid w:val="00637644"/>
    <w:rsid w:val="00637CF7"/>
    <w:rsid w:val="00640504"/>
    <w:rsid w:val="0064118A"/>
    <w:rsid w:val="00641768"/>
    <w:rsid w:val="0064252B"/>
    <w:rsid w:val="00644562"/>
    <w:rsid w:val="006445E6"/>
    <w:rsid w:val="0064645F"/>
    <w:rsid w:val="00647975"/>
    <w:rsid w:val="00655982"/>
    <w:rsid w:val="00655F22"/>
    <w:rsid w:val="006562BF"/>
    <w:rsid w:val="0065686A"/>
    <w:rsid w:val="006625A7"/>
    <w:rsid w:val="00664D3B"/>
    <w:rsid w:val="00665C84"/>
    <w:rsid w:val="006675AC"/>
    <w:rsid w:val="006712FE"/>
    <w:rsid w:val="00673564"/>
    <w:rsid w:val="006744D3"/>
    <w:rsid w:val="00675178"/>
    <w:rsid w:val="006774D9"/>
    <w:rsid w:val="00677D10"/>
    <w:rsid w:val="00680C57"/>
    <w:rsid w:val="006825D8"/>
    <w:rsid w:val="00684111"/>
    <w:rsid w:val="006869FC"/>
    <w:rsid w:val="006919AD"/>
    <w:rsid w:val="00692275"/>
    <w:rsid w:val="006A0298"/>
    <w:rsid w:val="006A0C76"/>
    <w:rsid w:val="006A13B0"/>
    <w:rsid w:val="006A2E77"/>
    <w:rsid w:val="006A4681"/>
    <w:rsid w:val="006A4F88"/>
    <w:rsid w:val="006A7924"/>
    <w:rsid w:val="006A7FCA"/>
    <w:rsid w:val="006B0B0D"/>
    <w:rsid w:val="006B0BC1"/>
    <w:rsid w:val="006B25C7"/>
    <w:rsid w:val="006B2724"/>
    <w:rsid w:val="006B31FD"/>
    <w:rsid w:val="006B3D10"/>
    <w:rsid w:val="006B7E55"/>
    <w:rsid w:val="006C0992"/>
    <w:rsid w:val="006C2BF1"/>
    <w:rsid w:val="006C370E"/>
    <w:rsid w:val="006C58F1"/>
    <w:rsid w:val="006D1107"/>
    <w:rsid w:val="006D282A"/>
    <w:rsid w:val="006D5854"/>
    <w:rsid w:val="006D734F"/>
    <w:rsid w:val="006D7BA5"/>
    <w:rsid w:val="006D7E01"/>
    <w:rsid w:val="006E560C"/>
    <w:rsid w:val="006E5724"/>
    <w:rsid w:val="006E680D"/>
    <w:rsid w:val="006E695D"/>
    <w:rsid w:val="006E7C68"/>
    <w:rsid w:val="006F27C9"/>
    <w:rsid w:val="006F3EE1"/>
    <w:rsid w:val="006F512F"/>
    <w:rsid w:val="006F5CD1"/>
    <w:rsid w:val="006F7915"/>
    <w:rsid w:val="00700898"/>
    <w:rsid w:val="007028DB"/>
    <w:rsid w:val="007115B3"/>
    <w:rsid w:val="00712126"/>
    <w:rsid w:val="007124C5"/>
    <w:rsid w:val="007125ED"/>
    <w:rsid w:val="00715B91"/>
    <w:rsid w:val="00716626"/>
    <w:rsid w:val="00717CBA"/>
    <w:rsid w:val="00720B31"/>
    <w:rsid w:val="00723D8E"/>
    <w:rsid w:val="007254B8"/>
    <w:rsid w:val="007261EC"/>
    <w:rsid w:val="00727918"/>
    <w:rsid w:val="00731FB2"/>
    <w:rsid w:val="00734305"/>
    <w:rsid w:val="007349C2"/>
    <w:rsid w:val="00736A5E"/>
    <w:rsid w:val="00737CBC"/>
    <w:rsid w:val="00737EFD"/>
    <w:rsid w:val="00740BFD"/>
    <w:rsid w:val="00746C19"/>
    <w:rsid w:val="00747AF1"/>
    <w:rsid w:val="00750960"/>
    <w:rsid w:val="00755189"/>
    <w:rsid w:val="0075540F"/>
    <w:rsid w:val="00756085"/>
    <w:rsid w:val="00757166"/>
    <w:rsid w:val="00760DD1"/>
    <w:rsid w:val="00760E9E"/>
    <w:rsid w:val="00763D9B"/>
    <w:rsid w:val="00766325"/>
    <w:rsid w:val="007672F1"/>
    <w:rsid w:val="007721D8"/>
    <w:rsid w:val="007736F8"/>
    <w:rsid w:val="00775A50"/>
    <w:rsid w:val="00776516"/>
    <w:rsid w:val="00781A10"/>
    <w:rsid w:val="0078431C"/>
    <w:rsid w:val="00793743"/>
    <w:rsid w:val="00794E39"/>
    <w:rsid w:val="007A6A07"/>
    <w:rsid w:val="007A7D72"/>
    <w:rsid w:val="007A7E1B"/>
    <w:rsid w:val="007B477B"/>
    <w:rsid w:val="007B7670"/>
    <w:rsid w:val="007C0B46"/>
    <w:rsid w:val="007C17D6"/>
    <w:rsid w:val="007C502D"/>
    <w:rsid w:val="007C5447"/>
    <w:rsid w:val="007C5FC9"/>
    <w:rsid w:val="007D1A08"/>
    <w:rsid w:val="007D5896"/>
    <w:rsid w:val="007D5B46"/>
    <w:rsid w:val="007D7B1D"/>
    <w:rsid w:val="007E3748"/>
    <w:rsid w:val="007E62A3"/>
    <w:rsid w:val="007E6C03"/>
    <w:rsid w:val="007E6E8C"/>
    <w:rsid w:val="007F11E6"/>
    <w:rsid w:val="007F2BAB"/>
    <w:rsid w:val="007F5284"/>
    <w:rsid w:val="007F5378"/>
    <w:rsid w:val="007F5D00"/>
    <w:rsid w:val="007F5E79"/>
    <w:rsid w:val="007F677D"/>
    <w:rsid w:val="007F70EC"/>
    <w:rsid w:val="0080038F"/>
    <w:rsid w:val="00803270"/>
    <w:rsid w:val="00803F0A"/>
    <w:rsid w:val="00804170"/>
    <w:rsid w:val="00806CAE"/>
    <w:rsid w:val="0080700F"/>
    <w:rsid w:val="00811B42"/>
    <w:rsid w:val="0081361E"/>
    <w:rsid w:val="00813851"/>
    <w:rsid w:val="008141F4"/>
    <w:rsid w:val="00815D28"/>
    <w:rsid w:val="00821DE2"/>
    <w:rsid w:val="00824A92"/>
    <w:rsid w:val="008258A5"/>
    <w:rsid w:val="00825F71"/>
    <w:rsid w:val="00826557"/>
    <w:rsid w:val="00832EF0"/>
    <w:rsid w:val="00833598"/>
    <w:rsid w:val="008339D6"/>
    <w:rsid w:val="00834E4E"/>
    <w:rsid w:val="00836AB3"/>
    <w:rsid w:val="00841244"/>
    <w:rsid w:val="00841E10"/>
    <w:rsid w:val="008510C0"/>
    <w:rsid w:val="00851F4C"/>
    <w:rsid w:val="008525D0"/>
    <w:rsid w:val="00852B21"/>
    <w:rsid w:val="00852B63"/>
    <w:rsid w:val="00852E1B"/>
    <w:rsid w:val="00856152"/>
    <w:rsid w:val="00861247"/>
    <w:rsid w:val="00861C07"/>
    <w:rsid w:val="00862232"/>
    <w:rsid w:val="00865016"/>
    <w:rsid w:val="0086516D"/>
    <w:rsid w:val="00867BBE"/>
    <w:rsid w:val="00867DAE"/>
    <w:rsid w:val="0087112A"/>
    <w:rsid w:val="0087172A"/>
    <w:rsid w:val="008727B7"/>
    <w:rsid w:val="00872C82"/>
    <w:rsid w:val="00873C36"/>
    <w:rsid w:val="0087542F"/>
    <w:rsid w:val="0087627D"/>
    <w:rsid w:val="00882751"/>
    <w:rsid w:val="00885AA5"/>
    <w:rsid w:val="0089444C"/>
    <w:rsid w:val="00896252"/>
    <w:rsid w:val="00897B32"/>
    <w:rsid w:val="008A0320"/>
    <w:rsid w:val="008A2D91"/>
    <w:rsid w:val="008A50FB"/>
    <w:rsid w:val="008B013C"/>
    <w:rsid w:val="008B0A3F"/>
    <w:rsid w:val="008B25D7"/>
    <w:rsid w:val="008B494E"/>
    <w:rsid w:val="008B531B"/>
    <w:rsid w:val="008B7D8E"/>
    <w:rsid w:val="008C0522"/>
    <w:rsid w:val="008C0CF1"/>
    <w:rsid w:val="008C140D"/>
    <w:rsid w:val="008C4895"/>
    <w:rsid w:val="008D281F"/>
    <w:rsid w:val="008D52B7"/>
    <w:rsid w:val="008E17A5"/>
    <w:rsid w:val="008E21B1"/>
    <w:rsid w:val="008E232A"/>
    <w:rsid w:val="008E2CB4"/>
    <w:rsid w:val="008E4A7C"/>
    <w:rsid w:val="008E72F5"/>
    <w:rsid w:val="008F0696"/>
    <w:rsid w:val="008F09CE"/>
    <w:rsid w:val="008F1352"/>
    <w:rsid w:val="008F233C"/>
    <w:rsid w:val="008F5420"/>
    <w:rsid w:val="008F6536"/>
    <w:rsid w:val="008F6DCF"/>
    <w:rsid w:val="009003D2"/>
    <w:rsid w:val="0090405F"/>
    <w:rsid w:val="00905498"/>
    <w:rsid w:val="00910620"/>
    <w:rsid w:val="00910E07"/>
    <w:rsid w:val="00911DF3"/>
    <w:rsid w:val="0091202E"/>
    <w:rsid w:val="00915D82"/>
    <w:rsid w:val="009213BF"/>
    <w:rsid w:val="009223E7"/>
    <w:rsid w:val="009246BF"/>
    <w:rsid w:val="00925560"/>
    <w:rsid w:val="0092663A"/>
    <w:rsid w:val="0092791C"/>
    <w:rsid w:val="00930659"/>
    <w:rsid w:val="0093073A"/>
    <w:rsid w:val="009328DA"/>
    <w:rsid w:val="00933AA1"/>
    <w:rsid w:val="00935194"/>
    <w:rsid w:val="009352E1"/>
    <w:rsid w:val="009362C2"/>
    <w:rsid w:val="00936A68"/>
    <w:rsid w:val="00941A60"/>
    <w:rsid w:val="009432B8"/>
    <w:rsid w:val="00945CE7"/>
    <w:rsid w:val="00946006"/>
    <w:rsid w:val="00946A37"/>
    <w:rsid w:val="009472C2"/>
    <w:rsid w:val="00947A91"/>
    <w:rsid w:val="00952EC3"/>
    <w:rsid w:val="00954CCE"/>
    <w:rsid w:val="00955A1D"/>
    <w:rsid w:val="00955DAF"/>
    <w:rsid w:val="0095796C"/>
    <w:rsid w:val="00960460"/>
    <w:rsid w:val="00961DF1"/>
    <w:rsid w:val="00963BA8"/>
    <w:rsid w:val="009649FA"/>
    <w:rsid w:val="0096541B"/>
    <w:rsid w:val="00965FC2"/>
    <w:rsid w:val="00966DDE"/>
    <w:rsid w:val="00970C05"/>
    <w:rsid w:val="00970D95"/>
    <w:rsid w:val="00972F71"/>
    <w:rsid w:val="0097539F"/>
    <w:rsid w:val="00982552"/>
    <w:rsid w:val="00984E31"/>
    <w:rsid w:val="00985454"/>
    <w:rsid w:val="009859FA"/>
    <w:rsid w:val="00985DB5"/>
    <w:rsid w:val="009877D2"/>
    <w:rsid w:val="00990ACD"/>
    <w:rsid w:val="0099156B"/>
    <w:rsid w:val="009977AA"/>
    <w:rsid w:val="009A15DD"/>
    <w:rsid w:val="009A2179"/>
    <w:rsid w:val="009A266D"/>
    <w:rsid w:val="009A65F0"/>
    <w:rsid w:val="009A79E1"/>
    <w:rsid w:val="009B18F7"/>
    <w:rsid w:val="009B3753"/>
    <w:rsid w:val="009B3C14"/>
    <w:rsid w:val="009B4365"/>
    <w:rsid w:val="009B451F"/>
    <w:rsid w:val="009B4983"/>
    <w:rsid w:val="009B7E4F"/>
    <w:rsid w:val="009C1655"/>
    <w:rsid w:val="009C1F04"/>
    <w:rsid w:val="009C279E"/>
    <w:rsid w:val="009C3755"/>
    <w:rsid w:val="009C42FE"/>
    <w:rsid w:val="009C58D1"/>
    <w:rsid w:val="009D13E8"/>
    <w:rsid w:val="009D1C7F"/>
    <w:rsid w:val="009D4119"/>
    <w:rsid w:val="009D574D"/>
    <w:rsid w:val="009D7718"/>
    <w:rsid w:val="009E297E"/>
    <w:rsid w:val="009E2E83"/>
    <w:rsid w:val="009E4E6E"/>
    <w:rsid w:val="009F6057"/>
    <w:rsid w:val="009F6AAC"/>
    <w:rsid w:val="009F79DC"/>
    <w:rsid w:val="00A05FB0"/>
    <w:rsid w:val="00A074D0"/>
    <w:rsid w:val="00A07AAD"/>
    <w:rsid w:val="00A12A3E"/>
    <w:rsid w:val="00A14D7C"/>
    <w:rsid w:val="00A15DD8"/>
    <w:rsid w:val="00A22455"/>
    <w:rsid w:val="00A22EB7"/>
    <w:rsid w:val="00A23463"/>
    <w:rsid w:val="00A2346D"/>
    <w:rsid w:val="00A24898"/>
    <w:rsid w:val="00A24EAA"/>
    <w:rsid w:val="00A25911"/>
    <w:rsid w:val="00A2594F"/>
    <w:rsid w:val="00A25E7F"/>
    <w:rsid w:val="00A26447"/>
    <w:rsid w:val="00A2706C"/>
    <w:rsid w:val="00A310FB"/>
    <w:rsid w:val="00A32F90"/>
    <w:rsid w:val="00A333EB"/>
    <w:rsid w:val="00A33D67"/>
    <w:rsid w:val="00A3619F"/>
    <w:rsid w:val="00A363BA"/>
    <w:rsid w:val="00A426AF"/>
    <w:rsid w:val="00A43D3A"/>
    <w:rsid w:val="00A4751E"/>
    <w:rsid w:val="00A4773D"/>
    <w:rsid w:val="00A50C64"/>
    <w:rsid w:val="00A50D2B"/>
    <w:rsid w:val="00A51A01"/>
    <w:rsid w:val="00A51CF4"/>
    <w:rsid w:val="00A5227F"/>
    <w:rsid w:val="00A5246B"/>
    <w:rsid w:val="00A52E19"/>
    <w:rsid w:val="00A5790D"/>
    <w:rsid w:val="00A631E1"/>
    <w:rsid w:val="00A64524"/>
    <w:rsid w:val="00A64AA2"/>
    <w:rsid w:val="00A64AAE"/>
    <w:rsid w:val="00A667B6"/>
    <w:rsid w:val="00A737E6"/>
    <w:rsid w:val="00A740F9"/>
    <w:rsid w:val="00A74C96"/>
    <w:rsid w:val="00A76D29"/>
    <w:rsid w:val="00A76E3B"/>
    <w:rsid w:val="00A77B76"/>
    <w:rsid w:val="00A802B9"/>
    <w:rsid w:val="00A8056C"/>
    <w:rsid w:val="00A80843"/>
    <w:rsid w:val="00A821A5"/>
    <w:rsid w:val="00A821C3"/>
    <w:rsid w:val="00A853A7"/>
    <w:rsid w:val="00A8587C"/>
    <w:rsid w:val="00A8743E"/>
    <w:rsid w:val="00A92280"/>
    <w:rsid w:val="00A93704"/>
    <w:rsid w:val="00A937E8"/>
    <w:rsid w:val="00A95729"/>
    <w:rsid w:val="00A95A97"/>
    <w:rsid w:val="00AA06E2"/>
    <w:rsid w:val="00AA1814"/>
    <w:rsid w:val="00AA6362"/>
    <w:rsid w:val="00AB18E6"/>
    <w:rsid w:val="00AB191D"/>
    <w:rsid w:val="00AB2168"/>
    <w:rsid w:val="00AB2AD5"/>
    <w:rsid w:val="00AB48E1"/>
    <w:rsid w:val="00AB5597"/>
    <w:rsid w:val="00AB6FC7"/>
    <w:rsid w:val="00AC0405"/>
    <w:rsid w:val="00AC3864"/>
    <w:rsid w:val="00AD02BD"/>
    <w:rsid w:val="00AD1320"/>
    <w:rsid w:val="00AD2266"/>
    <w:rsid w:val="00AD2DCB"/>
    <w:rsid w:val="00AD4505"/>
    <w:rsid w:val="00AD60BB"/>
    <w:rsid w:val="00AD7C0C"/>
    <w:rsid w:val="00AE6284"/>
    <w:rsid w:val="00AE73F4"/>
    <w:rsid w:val="00AE7B23"/>
    <w:rsid w:val="00AF0FB6"/>
    <w:rsid w:val="00AF2AAB"/>
    <w:rsid w:val="00AF4E7C"/>
    <w:rsid w:val="00AF6B21"/>
    <w:rsid w:val="00B01078"/>
    <w:rsid w:val="00B03B24"/>
    <w:rsid w:val="00B03CC3"/>
    <w:rsid w:val="00B04100"/>
    <w:rsid w:val="00B100A6"/>
    <w:rsid w:val="00B13843"/>
    <w:rsid w:val="00B15DBB"/>
    <w:rsid w:val="00B178C6"/>
    <w:rsid w:val="00B221AE"/>
    <w:rsid w:val="00B2233D"/>
    <w:rsid w:val="00B223F6"/>
    <w:rsid w:val="00B22EE4"/>
    <w:rsid w:val="00B23FDB"/>
    <w:rsid w:val="00B27767"/>
    <w:rsid w:val="00B328D4"/>
    <w:rsid w:val="00B3371C"/>
    <w:rsid w:val="00B33B02"/>
    <w:rsid w:val="00B35112"/>
    <w:rsid w:val="00B36E2E"/>
    <w:rsid w:val="00B44C71"/>
    <w:rsid w:val="00B46C99"/>
    <w:rsid w:val="00B52A5D"/>
    <w:rsid w:val="00B52F0B"/>
    <w:rsid w:val="00B53EAB"/>
    <w:rsid w:val="00B54698"/>
    <w:rsid w:val="00B56B8E"/>
    <w:rsid w:val="00B64715"/>
    <w:rsid w:val="00B67163"/>
    <w:rsid w:val="00B67409"/>
    <w:rsid w:val="00B72508"/>
    <w:rsid w:val="00B77164"/>
    <w:rsid w:val="00B778C4"/>
    <w:rsid w:val="00B80E89"/>
    <w:rsid w:val="00B8160A"/>
    <w:rsid w:val="00B823FE"/>
    <w:rsid w:val="00B82986"/>
    <w:rsid w:val="00B855AC"/>
    <w:rsid w:val="00B85B22"/>
    <w:rsid w:val="00B903E8"/>
    <w:rsid w:val="00B909F7"/>
    <w:rsid w:val="00B91A26"/>
    <w:rsid w:val="00B91A6E"/>
    <w:rsid w:val="00B925D2"/>
    <w:rsid w:val="00B92A3B"/>
    <w:rsid w:val="00B95024"/>
    <w:rsid w:val="00B966D6"/>
    <w:rsid w:val="00BA1261"/>
    <w:rsid w:val="00BA2CBE"/>
    <w:rsid w:val="00BA4B8E"/>
    <w:rsid w:val="00BB21FF"/>
    <w:rsid w:val="00BB2C21"/>
    <w:rsid w:val="00BB347A"/>
    <w:rsid w:val="00BB3C20"/>
    <w:rsid w:val="00BB3F64"/>
    <w:rsid w:val="00BB467F"/>
    <w:rsid w:val="00BC08DA"/>
    <w:rsid w:val="00BC3598"/>
    <w:rsid w:val="00BC6B5B"/>
    <w:rsid w:val="00BD0B0D"/>
    <w:rsid w:val="00BD12B0"/>
    <w:rsid w:val="00BD14F8"/>
    <w:rsid w:val="00BD6231"/>
    <w:rsid w:val="00BD6753"/>
    <w:rsid w:val="00BD7377"/>
    <w:rsid w:val="00BE091B"/>
    <w:rsid w:val="00BE3CD2"/>
    <w:rsid w:val="00BE419B"/>
    <w:rsid w:val="00BF0A7D"/>
    <w:rsid w:val="00BF1FE1"/>
    <w:rsid w:val="00BF3009"/>
    <w:rsid w:val="00BF7449"/>
    <w:rsid w:val="00C00078"/>
    <w:rsid w:val="00C0142A"/>
    <w:rsid w:val="00C01475"/>
    <w:rsid w:val="00C027EE"/>
    <w:rsid w:val="00C02E85"/>
    <w:rsid w:val="00C0466A"/>
    <w:rsid w:val="00C0688B"/>
    <w:rsid w:val="00C06AFE"/>
    <w:rsid w:val="00C07B78"/>
    <w:rsid w:val="00C101E3"/>
    <w:rsid w:val="00C10A34"/>
    <w:rsid w:val="00C11660"/>
    <w:rsid w:val="00C13A23"/>
    <w:rsid w:val="00C13EB0"/>
    <w:rsid w:val="00C13FF2"/>
    <w:rsid w:val="00C1425C"/>
    <w:rsid w:val="00C14567"/>
    <w:rsid w:val="00C14C4D"/>
    <w:rsid w:val="00C154E2"/>
    <w:rsid w:val="00C166BB"/>
    <w:rsid w:val="00C20EFC"/>
    <w:rsid w:val="00C219B7"/>
    <w:rsid w:val="00C226D8"/>
    <w:rsid w:val="00C22D7F"/>
    <w:rsid w:val="00C23277"/>
    <w:rsid w:val="00C24388"/>
    <w:rsid w:val="00C248DC"/>
    <w:rsid w:val="00C2705F"/>
    <w:rsid w:val="00C27A07"/>
    <w:rsid w:val="00C30953"/>
    <w:rsid w:val="00C31099"/>
    <w:rsid w:val="00C31FBC"/>
    <w:rsid w:val="00C3299D"/>
    <w:rsid w:val="00C32F7C"/>
    <w:rsid w:val="00C332B3"/>
    <w:rsid w:val="00C35D08"/>
    <w:rsid w:val="00C36A2C"/>
    <w:rsid w:val="00C36C5F"/>
    <w:rsid w:val="00C37C66"/>
    <w:rsid w:val="00C404EA"/>
    <w:rsid w:val="00C40D6A"/>
    <w:rsid w:val="00C40DA1"/>
    <w:rsid w:val="00C42898"/>
    <w:rsid w:val="00C452B3"/>
    <w:rsid w:val="00C53923"/>
    <w:rsid w:val="00C53B38"/>
    <w:rsid w:val="00C55165"/>
    <w:rsid w:val="00C552C3"/>
    <w:rsid w:val="00C558BD"/>
    <w:rsid w:val="00C56A9F"/>
    <w:rsid w:val="00C573A2"/>
    <w:rsid w:val="00C62CBE"/>
    <w:rsid w:val="00C643A7"/>
    <w:rsid w:val="00C722AD"/>
    <w:rsid w:val="00C73347"/>
    <w:rsid w:val="00C75CEE"/>
    <w:rsid w:val="00C778EE"/>
    <w:rsid w:val="00C80BF2"/>
    <w:rsid w:val="00C83C35"/>
    <w:rsid w:val="00C909A7"/>
    <w:rsid w:val="00C90C3E"/>
    <w:rsid w:val="00C93143"/>
    <w:rsid w:val="00C954C7"/>
    <w:rsid w:val="00C962CE"/>
    <w:rsid w:val="00C9706C"/>
    <w:rsid w:val="00C973F4"/>
    <w:rsid w:val="00CA0FF3"/>
    <w:rsid w:val="00CA3D66"/>
    <w:rsid w:val="00CA583C"/>
    <w:rsid w:val="00CA5E28"/>
    <w:rsid w:val="00CA688F"/>
    <w:rsid w:val="00CB12DB"/>
    <w:rsid w:val="00CB1410"/>
    <w:rsid w:val="00CB238D"/>
    <w:rsid w:val="00CB4CAA"/>
    <w:rsid w:val="00CB5B85"/>
    <w:rsid w:val="00CC0434"/>
    <w:rsid w:val="00CC464B"/>
    <w:rsid w:val="00CC4A33"/>
    <w:rsid w:val="00CC5328"/>
    <w:rsid w:val="00CC5518"/>
    <w:rsid w:val="00CD1FC8"/>
    <w:rsid w:val="00CD5C81"/>
    <w:rsid w:val="00CE0AAE"/>
    <w:rsid w:val="00CE2F6E"/>
    <w:rsid w:val="00CE7600"/>
    <w:rsid w:val="00CF07BC"/>
    <w:rsid w:val="00CF1AE1"/>
    <w:rsid w:val="00CF3E37"/>
    <w:rsid w:val="00CF4ADA"/>
    <w:rsid w:val="00CF5A5C"/>
    <w:rsid w:val="00CF6AFA"/>
    <w:rsid w:val="00D0035E"/>
    <w:rsid w:val="00D005DD"/>
    <w:rsid w:val="00D00B40"/>
    <w:rsid w:val="00D03C3A"/>
    <w:rsid w:val="00D0521B"/>
    <w:rsid w:val="00D05499"/>
    <w:rsid w:val="00D070A0"/>
    <w:rsid w:val="00D07A00"/>
    <w:rsid w:val="00D10645"/>
    <w:rsid w:val="00D10ADA"/>
    <w:rsid w:val="00D15E57"/>
    <w:rsid w:val="00D1605B"/>
    <w:rsid w:val="00D16064"/>
    <w:rsid w:val="00D16FB8"/>
    <w:rsid w:val="00D171BD"/>
    <w:rsid w:val="00D24E18"/>
    <w:rsid w:val="00D2597F"/>
    <w:rsid w:val="00D279AD"/>
    <w:rsid w:val="00D335AA"/>
    <w:rsid w:val="00D34449"/>
    <w:rsid w:val="00D3679B"/>
    <w:rsid w:val="00D376DB"/>
    <w:rsid w:val="00D40DD0"/>
    <w:rsid w:val="00D40F99"/>
    <w:rsid w:val="00D4262B"/>
    <w:rsid w:val="00D43AB3"/>
    <w:rsid w:val="00D458CD"/>
    <w:rsid w:val="00D45A2B"/>
    <w:rsid w:val="00D505A5"/>
    <w:rsid w:val="00D5087E"/>
    <w:rsid w:val="00D50EB5"/>
    <w:rsid w:val="00D52048"/>
    <w:rsid w:val="00D52D6C"/>
    <w:rsid w:val="00D5327B"/>
    <w:rsid w:val="00D5388F"/>
    <w:rsid w:val="00D53A38"/>
    <w:rsid w:val="00D54318"/>
    <w:rsid w:val="00D54832"/>
    <w:rsid w:val="00D5684B"/>
    <w:rsid w:val="00D57DBD"/>
    <w:rsid w:val="00D60EE6"/>
    <w:rsid w:val="00D617ED"/>
    <w:rsid w:val="00D66BB6"/>
    <w:rsid w:val="00D677F7"/>
    <w:rsid w:val="00D67D55"/>
    <w:rsid w:val="00D82E97"/>
    <w:rsid w:val="00D85858"/>
    <w:rsid w:val="00D87A32"/>
    <w:rsid w:val="00D87C8D"/>
    <w:rsid w:val="00D93962"/>
    <w:rsid w:val="00D947BA"/>
    <w:rsid w:val="00D948AE"/>
    <w:rsid w:val="00D949F9"/>
    <w:rsid w:val="00D94BA7"/>
    <w:rsid w:val="00DA03E4"/>
    <w:rsid w:val="00DA072A"/>
    <w:rsid w:val="00DA2497"/>
    <w:rsid w:val="00DA2582"/>
    <w:rsid w:val="00DA3152"/>
    <w:rsid w:val="00DA5156"/>
    <w:rsid w:val="00DA726E"/>
    <w:rsid w:val="00DA7405"/>
    <w:rsid w:val="00DA7CFB"/>
    <w:rsid w:val="00DB0CF4"/>
    <w:rsid w:val="00DC04BD"/>
    <w:rsid w:val="00DC06BD"/>
    <w:rsid w:val="00DC1B6E"/>
    <w:rsid w:val="00DC2BF2"/>
    <w:rsid w:val="00DC2D1F"/>
    <w:rsid w:val="00DC7F2B"/>
    <w:rsid w:val="00DD19F1"/>
    <w:rsid w:val="00DD19F5"/>
    <w:rsid w:val="00DD242B"/>
    <w:rsid w:val="00DD3C05"/>
    <w:rsid w:val="00DD475D"/>
    <w:rsid w:val="00DD4775"/>
    <w:rsid w:val="00DD5B02"/>
    <w:rsid w:val="00DD6BE1"/>
    <w:rsid w:val="00DE0593"/>
    <w:rsid w:val="00DE3C2F"/>
    <w:rsid w:val="00DE505E"/>
    <w:rsid w:val="00DE6D88"/>
    <w:rsid w:val="00DE7A86"/>
    <w:rsid w:val="00DF2771"/>
    <w:rsid w:val="00DF3BB3"/>
    <w:rsid w:val="00DF43DA"/>
    <w:rsid w:val="00DF53B8"/>
    <w:rsid w:val="00E03755"/>
    <w:rsid w:val="00E0386F"/>
    <w:rsid w:val="00E06CA0"/>
    <w:rsid w:val="00E07E4D"/>
    <w:rsid w:val="00E10AF5"/>
    <w:rsid w:val="00E1289F"/>
    <w:rsid w:val="00E1352E"/>
    <w:rsid w:val="00E14CF4"/>
    <w:rsid w:val="00E15B3E"/>
    <w:rsid w:val="00E1662A"/>
    <w:rsid w:val="00E16773"/>
    <w:rsid w:val="00E17E48"/>
    <w:rsid w:val="00E2157F"/>
    <w:rsid w:val="00E21CE1"/>
    <w:rsid w:val="00E232BE"/>
    <w:rsid w:val="00E23CC4"/>
    <w:rsid w:val="00E25072"/>
    <w:rsid w:val="00E3035A"/>
    <w:rsid w:val="00E323C3"/>
    <w:rsid w:val="00E32E7B"/>
    <w:rsid w:val="00E352C8"/>
    <w:rsid w:val="00E377A3"/>
    <w:rsid w:val="00E40DB7"/>
    <w:rsid w:val="00E40F69"/>
    <w:rsid w:val="00E42B45"/>
    <w:rsid w:val="00E44486"/>
    <w:rsid w:val="00E4646D"/>
    <w:rsid w:val="00E5082D"/>
    <w:rsid w:val="00E543C9"/>
    <w:rsid w:val="00E55608"/>
    <w:rsid w:val="00E55BE1"/>
    <w:rsid w:val="00E56B59"/>
    <w:rsid w:val="00E603AE"/>
    <w:rsid w:val="00E60F3E"/>
    <w:rsid w:val="00E65C69"/>
    <w:rsid w:val="00E66436"/>
    <w:rsid w:val="00E7783E"/>
    <w:rsid w:val="00E9085C"/>
    <w:rsid w:val="00E90F7C"/>
    <w:rsid w:val="00E92C28"/>
    <w:rsid w:val="00E93275"/>
    <w:rsid w:val="00E944D9"/>
    <w:rsid w:val="00E945F0"/>
    <w:rsid w:val="00E9638C"/>
    <w:rsid w:val="00E96ED9"/>
    <w:rsid w:val="00EA125B"/>
    <w:rsid w:val="00EA2187"/>
    <w:rsid w:val="00EA791B"/>
    <w:rsid w:val="00EB12BF"/>
    <w:rsid w:val="00EB317E"/>
    <w:rsid w:val="00EB42C1"/>
    <w:rsid w:val="00EB4F72"/>
    <w:rsid w:val="00EC2973"/>
    <w:rsid w:val="00EC307C"/>
    <w:rsid w:val="00EC42BB"/>
    <w:rsid w:val="00EC4B72"/>
    <w:rsid w:val="00EC5386"/>
    <w:rsid w:val="00EC644D"/>
    <w:rsid w:val="00ED0301"/>
    <w:rsid w:val="00ED0F8A"/>
    <w:rsid w:val="00ED16DC"/>
    <w:rsid w:val="00ED2570"/>
    <w:rsid w:val="00ED25F1"/>
    <w:rsid w:val="00ED302F"/>
    <w:rsid w:val="00ED6D74"/>
    <w:rsid w:val="00EE21A0"/>
    <w:rsid w:val="00EE2F05"/>
    <w:rsid w:val="00EE41BF"/>
    <w:rsid w:val="00EE46C3"/>
    <w:rsid w:val="00EE7B76"/>
    <w:rsid w:val="00EF09D8"/>
    <w:rsid w:val="00EF1F64"/>
    <w:rsid w:val="00EF2200"/>
    <w:rsid w:val="00EF4865"/>
    <w:rsid w:val="00EF64FC"/>
    <w:rsid w:val="00EF7145"/>
    <w:rsid w:val="00EF7C4B"/>
    <w:rsid w:val="00F0123F"/>
    <w:rsid w:val="00F014BD"/>
    <w:rsid w:val="00F0234A"/>
    <w:rsid w:val="00F0540C"/>
    <w:rsid w:val="00F10169"/>
    <w:rsid w:val="00F140DD"/>
    <w:rsid w:val="00F1494D"/>
    <w:rsid w:val="00F16DCD"/>
    <w:rsid w:val="00F17358"/>
    <w:rsid w:val="00F2348F"/>
    <w:rsid w:val="00F26FCB"/>
    <w:rsid w:val="00F318F9"/>
    <w:rsid w:val="00F32E0E"/>
    <w:rsid w:val="00F33001"/>
    <w:rsid w:val="00F37C0E"/>
    <w:rsid w:val="00F437CD"/>
    <w:rsid w:val="00F43DF4"/>
    <w:rsid w:val="00F444B9"/>
    <w:rsid w:val="00F45357"/>
    <w:rsid w:val="00F46759"/>
    <w:rsid w:val="00F47C6C"/>
    <w:rsid w:val="00F50653"/>
    <w:rsid w:val="00F5249F"/>
    <w:rsid w:val="00F53959"/>
    <w:rsid w:val="00F56B74"/>
    <w:rsid w:val="00F65324"/>
    <w:rsid w:val="00F67432"/>
    <w:rsid w:val="00F7166C"/>
    <w:rsid w:val="00F71AF2"/>
    <w:rsid w:val="00F71F3D"/>
    <w:rsid w:val="00F7319A"/>
    <w:rsid w:val="00F76CC2"/>
    <w:rsid w:val="00F8066B"/>
    <w:rsid w:val="00F81B64"/>
    <w:rsid w:val="00F82C81"/>
    <w:rsid w:val="00F843FE"/>
    <w:rsid w:val="00F95033"/>
    <w:rsid w:val="00F95AE9"/>
    <w:rsid w:val="00F97AE1"/>
    <w:rsid w:val="00FA0C69"/>
    <w:rsid w:val="00FA327D"/>
    <w:rsid w:val="00FA433A"/>
    <w:rsid w:val="00FA4597"/>
    <w:rsid w:val="00FB09B3"/>
    <w:rsid w:val="00FB293C"/>
    <w:rsid w:val="00FC3057"/>
    <w:rsid w:val="00FC4D4B"/>
    <w:rsid w:val="00FC7BAA"/>
    <w:rsid w:val="00FD375A"/>
    <w:rsid w:val="00FE0F9B"/>
    <w:rsid w:val="00FE3B8D"/>
    <w:rsid w:val="00FE5FEB"/>
    <w:rsid w:val="00FE7D8F"/>
    <w:rsid w:val="00FF055B"/>
    <w:rsid w:val="00FF0F1F"/>
    <w:rsid w:val="00FF3765"/>
    <w:rsid w:val="00FF3E18"/>
    <w:rsid w:val="00FF5A65"/>
    <w:rsid w:val="00FF70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F8804"/>
  <w15:docId w15:val="{63C7039C-DFA3-4658-A906-0CC3020E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92791C"/>
    <w:pPr>
      <w:keepNext/>
      <w:keepLines/>
      <w:tabs>
        <w:tab w:val="left" w:pos="851"/>
      </w:tabs>
      <w:spacing w:before="60" w:after="60" w:line="288" w:lineRule="auto"/>
      <w:ind w:left="360"/>
      <w:jc w:val="center"/>
      <w:outlineLvl w:val="0"/>
    </w:pPr>
    <w:rPr>
      <w:rFonts w:ascii="Calibri" w:hAnsi="Calibri" w:cs="Calibri"/>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uiPriority w:val="99"/>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92791C"/>
    <w:rPr>
      <w:rFonts w:ascii="Calibri" w:hAnsi="Calibri" w:cs="Calibri"/>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lp1,Preambuła,Tytuły,Akapit z listą11,Numbered Para 1,No Spacing1,List Paragraph Char Char Char,Indicator Text,Listaszerű bekezdés1,List Paragraph à moi,Bullet 1,Akapit z list¹1,F5 List Paragraph,Recommendation,GSA List,Dot pt,Numerowanie"/>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aliases w:val="lp1 Znak,Preambuła Znak,Tytuły Znak,Akapit z listą11 Znak,Numbered Para 1 Znak,No Spacing1 Znak,List Paragraph Char Char Char Znak,Indicator Text Znak,Listaszerű bekezdés1 Znak,List Paragraph à moi Znak,Bullet 1 Znak,GSA List Znak"/>
    <w:link w:val="Akapitzlist"/>
    <w:uiPriority w:val="34"/>
    <w:qFormat/>
    <w:locked/>
    <w:rsid w:val="000343DD"/>
    <w:rPr>
      <w:sz w:val="24"/>
      <w:szCs w:val="24"/>
    </w:rPr>
  </w:style>
  <w:style w:type="paragraph" w:customStyle="1" w:styleId="TEKSTwTABELItekstzwcitympierwwierszem">
    <w:name w:val="TEKST_w_TABELI – tekst z wciętym pierw. wierszem"/>
    <w:basedOn w:val="Normalny"/>
    <w:uiPriority w:val="23"/>
    <w:qFormat/>
    <w:rsid w:val="00E323C3"/>
    <w:pPr>
      <w:suppressAutoHyphens/>
      <w:spacing w:after="200" w:line="276" w:lineRule="auto"/>
      <w:ind w:firstLine="510"/>
    </w:pPr>
    <w:rPr>
      <w:rFonts w:ascii="Times" w:hAnsi="Times"/>
      <w:bCs/>
      <w:kern w:val="24"/>
      <w:szCs w:val="22"/>
    </w:rPr>
  </w:style>
  <w:style w:type="paragraph" w:customStyle="1" w:styleId="TEKSTwTABELIWYRODKOWANYtekstwyrodkowanywpoziomie">
    <w:name w:val="TEKST_w_TABELI_WYŚRODKOWANY – tekst wyśrodkowany w poziomie"/>
    <w:basedOn w:val="Normalny"/>
    <w:uiPriority w:val="23"/>
    <w:qFormat/>
    <w:rsid w:val="00E323C3"/>
    <w:pPr>
      <w:suppressAutoHyphens/>
      <w:spacing w:after="200" w:line="276" w:lineRule="auto"/>
      <w:jc w:val="center"/>
    </w:pPr>
    <w:rPr>
      <w:rFonts w:ascii="Times" w:hAnsi="Times"/>
      <w:bCs/>
      <w:kern w:val="24"/>
      <w:szCs w:val="22"/>
    </w:rPr>
  </w:style>
  <w:style w:type="paragraph" w:customStyle="1" w:styleId="Akapitzlist1">
    <w:name w:val="Akapit z listą1"/>
    <w:basedOn w:val="Normalny"/>
    <w:rsid w:val="00C53923"/>
    <w:pPr>
      <w:ind w:left="720"/>
    </w:pPr>
    <w:rPr>
      <w:rFonts w:ascii="Calibri" w:hAnsi="Calibri"/>
      <w:sz w:val="22"/>
    </w:rPr>
  </w:style>
  <w:style w:type="paragraph" w:customStyle="1" w:styleId="Default">
    <w:name w:val="Default"/>
    <w:rsid w:val="003B28E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59013">
      <w:bodyDiv w:val="1"/>
      <w:marLeft w:val="0"/>
      <w:marRight w:val="0"/>
      <w:marTop w:val="0"/>
      <w:marBottom w:val="0"/>
      <w:divBdr>
        <w:top w:val="none" w:sz="0" w:space="0" w:color="auto"/>
        <w:left w:val="none" w:sz="0" w:space="0" w:color="auto"/>
        <w:bottom w:val="none" w:sz="0" w:space="0" w:color="auto"/>
        <w:right w:val="none" w:sz="0" w:space="0" w:color="auto"/>
      </w:divBdr>
    </w:div>
    <w:div w:id="104539865">
      <w:bodyDiv w:val="1"/>
      <w:marLeft w:val="0"/>
      <w:marRight w:val="0"/>
      <w:marTop w:val="0"/>
      <w:marBottom w:val="0"/>
      <w:divBdr>
        <w:top w:val="none" w:sz="0" w:space="0" w:color="auto"/>
        <w:left w:val="none" w:sz="0" w:space="0" w:color="auto"/>
        <w:bottom w:val="none" w:sz="0" w:space="0" w:color="auto"/>
        <w:right w:val="none" w:sz="0" w:space="0" w:color="auto"/>
      </w:divBdr>
    </w:div>
    <w:div w:id="104693321">
      <w:bodyDiv w:val="1"/>
      <w:marLeft w:val="0"/>
      <w:marRight w:val="0"/>
      <w:marTop w:val="0"/>
      <w:marBottom w:val="0"/>
      <w:divBdr>
        <w:top w:val="none" w:sz="0" w:space="0" w:color="auto"/>
        <w:left w:val="none" w:sz="0" w:space="0" w:color="auto"/>
        <w:bottom w:val="none" w:sz="0" w:space="0" w:color="auto"/>
        <w:right w:val="none" w:sz="0" w:space="0" w:color="auto"/>
      </w:divBdr>
    </w:div>
    <w:div w:id="208541421">
      <w:bodyDiv w:val="1"/>
      <w:marLeft w:val="0"/>
      <w:marRight w:val="0"/>
      <w:marTop w:val="0"/>
      <w:marBottom w:val="0"/>
      <w:divBdr>
        <w:top w:val="none" w:sz="0" w:space="0" w:color="auto"/>
        <w:left w:val="none" w:sz="0" w:space="0" w:color="auto"/>
        <w:bottom w:val="none" w:sz="0" w:space="0" w:color="auto"/>
        <w:right w:val="none" w:sz="0" w:space="0" w:color="auto"/>
      </w:divBdr>
    </w:div>
    <w:div w:id="235669659">
      <w:bodyDiv w:val="1"/>
      <w:marLeft w:val="0"/>
      <w:marRight w:val="0"/>
      <w:marTop w:val="0"/>
      <w:marBottom w:val="0"/>
      <w:divBdr>
        <w:top w:val="none" w:sz="0" w:space="0" w:color="auto"/>
        <w:left w:val="none" w:sz="0" w:space="0" w:color="auto"/>
        <w:bottom w:val="none" w:sz="0" w:space="0" w:color="auto"/>
        <w:right w:val="none" w:sz="0" w:space="0" w:color="auto"/>
      </w:divBdr>
    </w:div>
    <w:div w:id="285308161">
      <w:bodyDiv w:val="1"/>
      <w:marLeft w:val="0"/>
      <w:marRight w:val="0"/>
      <w:marTop w:val="0"/>
      <w:marBottom w:val="0"/>
      <w:divBdr>
        <w:top w:val="none" w:sz="0" w:space="0" w:color="auto"/>
        <w:left w:val="none" w:sz="0" w:space="0" w:color="auto"/>
        <w:bottom w:val="none" w:sz="0" w:space="0" w:color="auto"/>
        <w:right w:val="none" w:sz="0" w:space="0" w:color="auto"/>
      </w:divBdr>
    </w:div>
    <w:div w:id="300501319">
      <w:bodyDiv w:val="1"/>
      <w:marLeft w:val="0"/>
      <w:marRight w:val="0"/>
      <w:marTop w:val="0"/>
      <w:marBottom w:val="0"/>
      <w:divBdr>
        <w:top w:val="none" w:sz="0" w:space="0" w:color="auto"/>
        <w:left w:val="none" w:sz="0" w:space="0" w:color="auto"/>
        <w:bottom w:val="none" w:sz="0" w:space="0" w:color="auto"/>
        <w:right w:val="none" w:sz="0" w:space="0" w:color="auto"/>
      </w:divBdr>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702100578">
      <w:bodyDiv w:val="1"/>
      <w:marLeft w:val="0"/>
      <w:marRight w:val="0"/>
      <w:marTop w:val="0"/>
      <w:marBottom w:val="0"/>
      <w:divBdr>
        <w:top w:val="none" w:sz="0" w:space="0" w:color="auto"/>
        <w:left w:val="none" w:sz="0" w:space="0" w:color="auto"/>
        <w:bottom w:val="none" w:sz="0" w:space="0" w:color="auto"/>
        <w:right w:val="none" w:sz="0" w:space="0" w:color="auto"/>
      </w:divBdr>
    </w:div>
    <w:div w:id="781386440">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872839560">
      <w:bodyDiv w:val="1"/>
      <w:marLeft w:val="0"/>
      <w:marRight w:val="0"/>
      <w:marTop w:val="0"/>
      <w:marBottom w:val="0"/>
      <w:divBdr>
        <w:top w:val="none" w:sz="0" w:space="0" w:color="auto"/>
        <w:left w:val="none" w:sz="0" w:space="0" w:color="auto"/>
        <w:bottom w:val="none" w:sz="0" w:space="0" w:color="auto"/>
        <w:right w:val="none" w:sz="0" w:space="0" w:color="auto"/>
      </w:divBdr>
    </w:div>
    <w:div w:id="912275708">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26232025">
      <w:bodyDiv w:val="1"/>
      <w:marLeft w:val="0"/>
      <w:marRight w:val="0"/>
      <w:marTop w:val="0"/>
      <w:marBottom w:val="0"/>
      <w:divBdr>
        <w:top w:val="none" w:sz="0" w:space="0" w:color="auto"/>
        <w:left w:val="none" w:sz="0" w:space="0" w:color="auto"/>
        <w:bottom w:val="none" w:sz="0" w:space="0" w:color="auto"/>
        <w:right w:val="none" w:sz="0" w:space="0" w:color="auto"/>
      </w:divBdr>
    </w:div>
    <w:div w:id="957107300">
      <w:bodyDiv w:val="1"/>
      <w:marLeft w:val="0"/>
      <w:marRight w:val="0"/>
      <w:marTop w:val="0"/>
      <w:marBottom w:val="0"/>
      <w:divBdr>
        <w:top w:val="none" w:sz="0" w:space="0" w:color="auto"/>
        <w:left w:val="none" w:sz="0" w:space="0" w:color="auto"/>
        <w:bottom w:val="none" w:sz="0" w:space="0" w:color="auto"/>
        <w:right w:val="none" w:sz="0" w:space="0" w:color="auto"/>
      </w:divBdr>
    </w:div>
    <w:div w:id="1002930120">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400982633">
      <w:bodyDiv w:val="1"/>
      <w:marLeft w:val="0"/>
      <w:marRight w:val="0"/>
      <w:marTop w:val="0"/>
      <w:marBottom w:val="0"/>
      <w:divBdr>
        <w:top w:val="none" w:sz="0" w:space="0" w:color="auto"/>
        <w:left w:val="none" w:sz="0" w:space="0" w:color="auto"/>
        <w:bottom w:val="none" w:sz="0" w:space="0" w:color="auto"/>
        <w:right w:val="none" w:sz="0" w:space="0" w:color="auto"/>
      </w:divBdr>
    </w:div>
    <w:div w:id="1419407082">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7131926">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826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92DC-B675-4B86-94F0-9BDFE723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1457</Words>
  <Characters>10080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Program Priorytetowy Efektywność energetyczna i OZE w przedsiębiorstwach – inwestycje o największym potencjale redukcji gazów cieplarnianych</vt:lpstr>
    </vt:vector>
  </TitlesOfParts>
  <Company>NFOŚiGW</Company>
  <LinksUpToDate>false</LinksUpToDate>
  <CharactersWithSpaces>11514</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 Efektywność energetyczna i OZE w przedsiębiorstwach – inwestycje o największym potencjale redukcji gazów cieplarnianych</dc:title>
  <dc:creator>DNaumien</dc:creator>
  <cp:lastModifiedBy>Popowicz Filip</cp:lastModifiedBy>
  <cp:revision>13</cp:revision>
  <cp:lastPrinted>2022-01-03T11:53:00Z</cp:lastPrinted>
  <dcterms:created xsi:type="dcterms:W3CDTF">2024-07-02T07:16:00Z</dcterms:created>
  <dcterms:modified xsi:type="dcterms:W3CDTF">2024-10-03T13:40:00Z</dcterms:modified>
</cp:coreProperties>
</file>