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16" w:rsidRPr="00E15FB4" w:rsidRDefault="003921B5" w:rsidP="00E15FB4">
      <w:pPr>
        <w:spacing w:before="29" w:after="0" w:line="240" w:lineRule="auto"/>
        <w:ind w:left="1939"/>
        <w:rPr>
          <w:rFonts w:ascii="Arial" w:eastAsia="Arial" w:hAnsi="Arial" w:cs="Arial"/>
          <w:sz w:val="24"/>
          <w:szCs w:val="24"/>
        </w:rPr>
      </w:pPr>
      <w:r w:rsidRPr="003921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0.8pt;margin-top:-2.9pt;width:107.5pt;height:53.5pt;z-index:-251658752;mso-position-horizontal-relative:page">
            <v:imagedata r:id="rId8" o:title=""/>
            <w10:wrap anchorx="page"/>
          </v:shape>
        </w:pict>
      </w:r>
      <w:r w:rsidR="00C82852" w:rsidRPr="00E15FB4">
        <w:rPr>
          <w:rFonts w:ascii="Arial" w:hAnsi="Arial"/>
          <w:sz w:val="24"/>
        </w:rPr>
        <w:t>KOMISJA EUROPEJSKA</w:t>
      </w:r>
    </w:p>
    <w:p w:rsidR="00F71A16" w:rsidRPr="00E15FB4" w:rsidRDefault="00295829" w:rsidP="00E15FB4">
      <w:pPr>
        <w:spacing w:after="0" w:line="240" w:lineRule="auto"/>
        <w:ind w:left="1939"/>
        <w:rPr>
          <w:rFonts w:ascii="Arial" w:eastAsia="Arial" w:hAnsi="Arial" w:cs="Arial"/>
          <w:sz w:val="16"/>
          <w:szCs w:val="16"/>
        </w:rPr>
      </w:pPr>
      <w:r w:rsidRPr="00E15FB4">
        <w:rPr>
          <w:rFonts w:ascii="Arial" w:hAnsi="Arial"/>
          <w:sz w:val="16"/>
        </w:rPr>
        <w:t>DYREKCJA GENERALNA DS. ZDROWIA I BEZPIECZEŃSTWA ŻYWNOŚCI</w:t>
      </w:r>
    </w:p>
    <w:p w:rsidR="00F71A16" w:rsidRPr="00E15FB4" w:rsidRDefault="00F71A16">
      <w:pPr>
        <w:spacing w:before="3" w:after="0" w:line="180" w:lineRule="exact"/>
        <w:rPr>
          <w:sz w:val="18"/>
          <w:szCs w:val="18"/>
        </w:rPr>
      </w:pPr>
    </w:p>
    <w:p w:rsidR="00F71A16" w:rsidRPr="00E15FB4" w:rsidRDefault="00295829" w:rsidP="00E15FB4">
      <w:pPr>
        <w:spacing w:after="0" w:line="240" w:lineRule="auto"/>
        <w:ind w:left="1939"/>
        <w:rPr>
          <w:rFonts w:ascii="Arial" w:eastAsia="Arial" w:hAnsi="Arial" w:cs="Arial"/>
          <w:sz w:val="16"/>
          <w:szCs w:val="16"/>
        </w:rPr>
      </w:pPr>
      <w:r w:rsidRPr="00E15FB4">
        <w:rPr>
          <w:rFonts w:ascii="Arial" w:hAnsi="Arial"/>
          <w:sz w:val="16"/>
        </w:rPr>
        <w:t>Bezpieczeństwo żywności i pasz, innowacje</w:t>
      </w:r>
    </w:p>
    <w:p w:rsidR="00F71A16" w:rsidRPr="00E15FB4" w:rsidRDefault="00295829" w:rsidP="00E15FB4">
      <w:pPr>
        <w:spacing w:after="0" w:line="240" w:lineRule="auto"/>
        <w:ind w:left="1939"/>
        <w:rPr>
          <w:rFonts w:ascii="Arial" w:eastAsia="Arial" w:hAnsi="Arial" w:cs="Arial"/>
          <w:sz w:val="16"/>
          <w:szCs w:val="16"/>
        </w:rPr>
      </w:pPr>
      <w:r w:rsidRPr="00E15FB4">
        <w:rPr>
          <w:rFonts w:ascii="Arial" w:hAnsi="Arial"/>
          <w:b/>
          <w:sz w:val="16"/>
        </w:rPr>
        <w:t xml:space="preserve">Pestycydy i substancje </w:t>
      </w:r>
      <w:proofErr w:type="spellStart"/>
      <w:r w:rsidRPr="00E15FB4">
        <w:rPr>
          <w:rFonts w:ascii="Arial" w:hAnsi="Arial"/>
          <w:b/>
          <w:sz w:val="16"/>
        </w:rPr>
        <w:t>biobójcze</w:t>
      </w:r>
      <w:proofErr w:type="spellEnd"/>
    </w:p>
    <w:p w:rsidR="00F71A16" w:rsidRPr="00E15FB4" w:rsidRDefault="00F71A16">
      <w:pPr>
        <w:spacing w:before="3" w:after="0" w:line="170" w:lineRule="exact"/>
        <w:rPr>
          <w:sz w:val="17"/>
          <w:szCs w:val="17"/>
        </w:rPr>
      </w:pPr>
    </w:p>
    <w:p w:rsidR="00F71A16" w:rsidRPr="00E15FB4" w:rsidRDefault="00F71A16">
      <w:pPr>
        <w:spacing w:after="0" w:line="200" w:lineRule="exact"/>
        <w:rPr>
          <w:sz w:val="20"/>
          <w:szCs w:val="20"/>
        </w:rPr>
      </w:pPr>
    </w:p>
    <w:p w:rsidR="00DD20E3" w:rsidRPr="00E15FB4" w:rsidRDefault="00295829" w:rsidP="00DD20E3">
      <w:pPr>
        <w:spacing w:after="0" w:line="237" w:lineRule="auto"/>
        <w:ind w:firstLine="10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Substancja podstawowa</w:t>
      </w:r>
    </w:p>
    <w:p w:rsidR="00DD20E3" w:rsidRPr="00E15FB4" w:rsidRDefault="00295829" w:rsidP="00DD20E3">
      <w:pPr>
        <w:spacing w:after="0" w:line="237" w:lineRule="auto"/>
        <w:ind w:firstLine="10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Nasiona gorczycy w proszku</w:t>
      </w:r>
    </w:p>
    <w:p w:rsidR="00F71A16" w:rsidRPr="00E15FB4" w:rsidRDefault="00295829" w:rsidP="00DD20E3">
      <w:pPr>
        <w:spacing w:after="0" w:line="237" w:lineRule="auto"/>
        <w:ind w:firstLine="103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FB4">
        <w:rPr>
          <w:rFonts w:ascii="Times New Roman" w:hAnsi="Times New Roman"/>
          <w:sz w:val="24"/>
        </w:rPr>
        <w:t>SANTE</w:t>
      </w:r>
      <w:proofErr w:type="spellEnd"/>
      <w:r w:rsidRPr="00E15FB4">
        <w:rPr>
          <w:rFonts w:ascii="Times New Roman" w:hAnsi="Times New Roman"/>
          <w:sz w:val="24"/>
        </w:rPr>
        <w:t xml:space="preserve">/11309/2017– </w:t>
      </w:r>
      <w:proofErr w:type="spellStart"/>
      <w:r w:rsidRPr="00E15FB4">
        <w:rPr>
          <w:rFonts w:ascii="Times New Roman" w:hAnsi="Times New Roman"/>
          <w:sz w:val="24"/>
        </w:rPr>
        <w:t>rev</w:t>
      </w:r>
      <w:proofErr w:type="spellEnd"/>
      <w:r w:rsidRPr="00E15FB4">
        <w:rPr>
          <w:rFonts w:ascii="Times New Roman" w:hAnsi="Times New Roman"/>
          <w:sz w:val="24"/>
        </w:rPr>
        <w:t>. 2</w:t>
      </w:r>
    </w:p>
    <w:p w:rsidR="00F71A16" w:rsidRPr="00E15FB4" w:rsidRDefault="00295829" w:rsidP="00DD2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6 października 2017 r.</w:t>
      </w:r>
    </w:p>
    <w:p w:rsidR="00F71A16" w:rsidRPr="00E15FB4" w:rsidRDefault="00295829" w:rsidP="00E15FB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Końcowe sprawozdanie z przeglądu dotyczącego substancji podstawowej </w:t>
      </w:r>
      <w:r w:rsidR="009A47FE">
        <w:rPr>
          <w:rFonts w:ascii="Times New Roman" w:hAnsi="Times New Roman"/>
          <w:sz w:val="24"/>
        </w:rPr>
        <w:br/>
      </w:r>
      <w:r w:rsidRPr="00E15FB4">
        <w:rPr>
          <w:rFonts w:ascii="Times New Roman" w:hAnsi="Times New Roman"/>
          <w:sz w:val="24"/>
        </w:rPr>
        <w:t>nasiona gorczycy w proszku</w:t>
      </w:r>
    </w:p>
    <w:p w:rsidR="00F71A16" w:rsidRPr="00E15FB4" w:rsidRDefault="00295829" w:rsidP="00E1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  <w:szCs w:val="24"/>
        </w:rPr>
        <w:t xml:space="preserve">Sfinalizowane w Stałym Komitecie ds. Roślin, Zwierząt, Żywności i Pasz </w:t>
      </w:r>
      <w:r w:rsidR="00E15FB4" w:rsidRPr="00E15FB4">
        <w:rPr>
          <w:rFonts w:ascii="Times New Roman" w:hAnsi="Times New Roman"/>
          <w:sz w:val="24"/>
          <w:szCs w:val="24"/>
        </w:rPr>
        <w:br/>
      </w:r>
      <w:r w:rsidRPr="00E15FB4">
        <w:rPr>
          <w:rFonts w:ascii="Times New Roman" w:hAnsi="Times New Roman"/>
          <w:sz w:val="24"/>
          <w:szCs w:val="24"/>
        </w:rPr>
        <w:t>na posiedzeniu w dniu 6 października 2017 r.</w:t>
      </w:r>
      <w:r w:rsidRPr="00E15FB4">
        <w:rPr>
          <w:rFonts w:ascii="Times New Roman" w:eastAsia="Times New Roman" w:hAnsi="Times New Roman" w:cs="Times New Roman"/>
          <w:sz w:val="24"/>
          <w:szCs w:val="24"/>
        </w:rPr>
        <w:br/>
      </w:r>
      <w:r w:rsidRPr="00E15FB4">
        <w:rPr>
          <w:rFonts w:ascii="Times New Roman" w:hAnsi="Times New Roman"/>
          <w:sz w:val="24"/>
          <w:szCs w:val="24"/>
        </w:rPr>
        <w:t xml:space="preserve">w związku z zatwierdzeniem nasion gorczycy w </w:t>
      </w:r>
      <w:proofErr w:type="gramStart"/>
      <w:r w:rsidRPr="00E15FB4">
        <w:rPr>
          <w:rFonts w:ascii="Times New Roman" w:hAnsi="Times New Roman"/>
          <w:sz w:val="24"/>
          <w:szCs w:val="24"/>
        </w:rPr>
        <w:t>proszku jako</w:t>
      </w:r>
      <w:proofErr w:type="gramEnd"/>
      <w:r w:rsidRPr="00E15FB4">
        <w:rPr>
          <w:rFonts w:ascii="Times New Roman" w:hAnsi="Times New Roman"/>
          <w:sz w:val="24"/>
          <w:szCs w:val="24"/>
        </w:rPr>
        <w:t xml:space="preserve"> substancji podstawowej zgodnie z rozporządzeniem (WE) nr 1107/2009</w:t>
      </w:r>
      <w:r w:rsidRPr="00E15FB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1D6ED5" w:rsidRPr="00E15FB4" w:rsidRDefault="001D6ED5" w:rsidP="001D6E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1D6ED5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Procedura zastosowana w procesie oceny</w:t>
      </w:r>
    </w:p>
    <w:p w:rsidR="00F71A16" w:rsidRPr="00E15FB4" w:rsidRDefault="00F71A16">
      <w:pPr>
        <w:spacing w:before="18" w:after="0" w:line="220" w:lineRule="exact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Niniejsze sprawozdanie z przeglądu zostało sporządzone w wyniku oceny nasion gorczycy w proszku przeprowadzonej w kontekście oceny substancji przewidzianej w art. 23 rozporządzenia (WE) nr 1107/2009</w:t>
      </w:r>
      <w:r w:rsidRPr="00E15FB4">
        <w:rPr>
          <w:rStyle w:val="Odwoanieprzypisudolnego"/>
          <w:rFonts w:ascii="Times New Roman" w:hAnsi="Times New Roman"/>
          <w:sz w:val="24"/>
        </w:rPr>
        <w:footnoteReference w:id="2"/>
      </w:r>
      <w:r w:rsidRPr="00E15FB4">
        <w:rPr>
          <w:rFonts w:ascii="Times New Roman" w:hAnsi="Times New Roman"/>
          <w:sz w:val="24"/>
        </w:rPr>
        <w:t xml:space="preserve"> dotyczącego wprowadzania do obrotu środków ochrony roślin, w celu ewentualnego zatwierdzenia tej </w:t>
      </w:r>
      <w:proofErr w:type="gramStart"/>
      <w:r w:rsidRPr="00E15FB4">
        <w:rPr>
          <w:rFonts w:ascii="Times New Roman" w:hAnsi="Times New Roman"/>
          <w:sz w:val="24"/>
        </w:rPr>
        <w:t>substancji jako</w:t>
      </w:r>
      <w:proofErr w:type="gramEnd"/>
      <w:r w:rsidRPr="00E15FB4">
        <w:rPr>
          <w:rFonts w:ascii="Times New Roman" w:hAnsi="Times New Roman"/>
          <w:sz w:val="24"/>
        </w:rPr>
        <w:t xml:space="preserve"> substancji podstawowej.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Zgodnie z postanowieniami art. 23 ust. 3 rozporządzenia (WE) nr 1107/2009 Komisja otrzymała w dniu 4 czerwca 2016 r. wniosek </w:t>
      </w:r>
      <w:proofErr w:type="spellStart"/>
      <w:r w:rsidRPr="00E15FB4">
        <w:rPr>
          <w:rFonts w:ascii="Times New Roman" w:hAnsi="Times New Roman"/>
          <w:sz w:val="24"/>
        </w:rPr>
        <w:t>Institut</w:t>
      </w:r>
      <w:proofErr w:type="spellEnd"/>
      <w:r w:rsidRPr="00E15FB4">
        <w:rPr>
          <w:rFonts w:ascii="Times New Roman" w:hAnsi="Times New Roman"/>
          <w:sz w:val="24"/>
        </w:rPr>
        <w:t xml:space="preserve"> </w:t>
      </w:r>
      <w:proofErr w:type="spellStart"/>
      <w:r w:rsidRPr="00E15FB4">
        <w:rPr>
          <w:rFonts w:ascii="Times New Roman" w:hAnsi="Times New Roman"/>
          <w:sz w:val="24"/>
        </w:rPr>
        <w:t>Technique</w:t>
      </w:r>
      <w:proofErr w:type="spellEnd"/>
      <w:r w:rsidRPr="00E15FB4">
        <w:rPr>
          <w:rFonts w:ascii="Times New Roman" w:hAnsi="Times New Roman"/>
          <w:sz w:val="24"/>
        </w:rPr>
        <w:t xml:space="preserve"> de </w:t>
      </w:r>
      <w:proofErr w:type="spellStart"/>
      <w:r w:rsidRPr="00E15FB4">
        <w:rPr>
          <w:rFonts w:ascii="Times New Roman" w:hAnsi="Times New Roman"/>
          <w:sz w:val="24"/>
        </w:rPr>
        <w:t>l’Agriculture</w:t>
      </w:r>
      <w:proofErr w:type="spellEnd"/>
      <w:r w:rsidRPr="00E15FB4">
        <w:rPr>
          <w:rFonts w:ascii="Times New Roman" w:hAnsi="Times New Roman"/>
          <w:sz w:val="24"/>
        </w:rPr>
        <w:t xml:space="preserve"> </w:t>
      </w:r>
      <w:proofErr w:type="spellStart"/>
      <w:r w:rsidRPr="00E15FB4">
        <w:rPr>
          <w:rFonts w:ascii="Times New Roman" w:hAnsi="Times New Roman"/>
          <w:sz w:val="24"/>
        </w:rPr>
        <w:t>Biologique</w:t>
      </w:r>
      <w:proofErr w:type="spellEnd"/>
      <w:r w:rsidRPr="00E15FB4">
        <w:rPr>
          <w:rFonts w:ascii="Times New Roman" w:hAnsi="Times New Roman"/>
          <w:sz w:val="24"/>
        </w:rPr>
        <w:t xml:space="preserve"> (</w:t>
      </w:r>
      <w:proofErr w:type="spellStart"/>
      <w:r w:rsidRPr="00E15FB4">
        <w:rPr>
          <w:rFonts w:ascii="Times New Roman" w:hAnsi="Times New Roman"/>
          <w:sz w:val="24"/>
        </w:rPr>
        <w:t>ITAB</w:t>
      </w:r>
      <w:proofErr w:type="spellEnd"/>
      <w:r w:rsidRPr="00E15FB4">
        <w:rPr>
          <w:rFonts w:ascii="Times New Roman" w:hAnsi="Times New Roman"/>
          <w:sz w:val="24"/>
        </w:rPr>
        <w:t xml:space="preserve">), zwanego dalej wnioskodawcą, w celu zatwierdzenia nasion gorczycy w </w:t>
      </w:r>
      <w:proofErr w:type="gramStart"/>
      <w:r w:rsidRPr="00E15FB4">
        <w:rPr>
          <w:rFonts w:ascii="Times New Roman" w:hAnsi="Times New Roman"/>
          <w:sz w:val="24"/>
        </w:rPr>
        <w:t>proszku jako</w:t>
      </w:r>
      <w:proofErr w:type="gramEnd"/>
      <w:r w:rsidRPr="00E15FB4">
        <w:rPr>
          <w:rFonts w:ascii="Times New Roman" w:hAnsi="Times New Roman"/>
          <w:sz w:val="24"/>
        </w:rPr>
        <w:t xml:space="preserve"> substancji podstawowej.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Wniosek i załączone informacje zostały przekazane państwom członkowskim i Europejskiemu Urzędowi ds. Bezpieczeństwa Żywności (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>) w celu uzyskania uwag. Wnioskodawca mógł również odnieść się do zebranych uwag i dostarczyć dalsze informacje w celu uzupełnienia wniosku.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Zgodnie z postanowieniami art. 23 ust. 4 rozporządzenia (WE) nr 1107/2009 Komisja potrzebowała wsparcia naukowego w zakresie oceny wniosku do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>, który przedstawił swoje poglądy na temat konkretnych kwestii poruszonych na etapie zgłaszania uwag.</w:t>
      </w:r>
      <w:r w:rsidR="00743DD8">
        <w:rPr>
          <w:rFonts w:ascii="Times New Roman" w:hAnsi="Times New Roman"/>
          <w:sz w:val="24"/>
        </w:rPr>
        <w:t xml:space="preserve"> 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przedstawił Komisji wyniki swojej pracy w formie sprawozdania technicznego dotyczącego nasion gorczycy w proszku w dniu 20 stycznia 2017 roku</w:t>
      </w:r>
      <w:r w:rsidRPr="00E15FB4">
        <w:rPr>
          <w:rStyle w:val="Odwoanieprzypisudolnego"/>
          <w:rFonts w:ascii="Times New Roman" w:hAnsi="Times New Roman"/>
          <w:sz w:val="24"/>
        </w:rPr>
        <w:footnoteReference w:id="3"/>
      </w:r>
      <w:r w:rsidRPr="00E15FB4">
        <w:rPr>
          <w:rFonts w:ascii="Times New Roman" w:hAnsi="Times New Roman"/>
          <w:sz w:val="24"/>
        </w:rPr>
        <w:t>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lastRenderedPageBreak/>
        <w:t xml:space="preserve">Komisja zbadała wniosek, uwagi państw członkowskich i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oraz sprawozdanie techniczne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dotyczące substancji wraz z dodatkowymi informacjami i uwagami przedłożonymi przez wnioskodawcę przed sfinalizowaniem projektu tego sprawozdania z przeglądu, który został przekazany Stałemu Komitetowi ds. Roślin, Zwierząt, Żywności i Paszy do analizy. Projekt sprawozdania z przeglądu został sfinalizowany podczas posiedzenia Stałego Komitetu dnia 6 października 2017 r.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Niniejsze sprawozdanie z przeglądu zawiera wnioski końcowego badania przeprowadzonego przez Stały Komitet. Biorąc pod uwagę znaczenie sprawozdania technicznego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oraz przedstawionych uwag i wyjaśnień, wszystkie te dokumenty są również uważane za część tego sprawozdania z przeglądu.</w:t>
      </w:r>
    </w:p>
    <w:p w:rsidR="001D6ED5" w:rsidRPr="00E15FB4" w:rsidRDefault="001D6ED5" w:rsidP="001D6E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ED5" w:rsidRPr="00E15FB4" w:rsidRDefault="001D6ED5" w:rsidP="001D6E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1D6ED5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Cele tego sprawozdania z przeglądu</w:t>
      </w:r>
    </w:p>
    <w:p w:rsidR="00F71A16" w:rsidRPr="00E15FB4" w:rsidRDefault="00F71A16">
      <w:pPr>
        <w:spacing w:before="5" w:after="0" w:line="240" w:lineRule="exact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Niniejsze sprawozdanie z przeglądu, w tym dokumenty uzupełniające i załączniki, zostało opracowano w celu wsparcia </w:t>
      </w:r>
      <w:r w:rsidRPr="00E15FB4">
        <w:rPr>
          <w:rFonts w:ascii="Times New Roman" w:hAnsi="Times New Roman"/>
          <w:b/>
          <w:sz w:val="24"/>
        </w:rPr>
        <w:t>rozporządzenia wykonawczego Komisji (</w:t>
      </w:r>
      <w:proofErr w:type="spellStart"/>
      <w:r w:rsidRPr="00E15FB4">
        <w:rPr>
          <w:rFonts w:ascii="Times New Roman" w:hAnsi="Times New Roman"/>
          <w:b/>
          <w:sz w:val="24"/>
        </w:rPr>
        <w:t>UE</w:t>
      </w:r>
      <w:proofErr w:type="spellEnd"/>
      <w:r w:rsidRPr="00E15FB4">
        <w:rPr>
          <w:rFonts w:ascii="Times New Roman" w:hAnsi="Times New Roman"/>
          <w:b/>
          <w:sz w:val="24"/>
        </w:rPr>
        <w:t>) 2017/2066</w:t>
      </w:r>
      <w:r w:rsidRPr="00E15FB4">
        <w:rPr>
          <w:rStyle w:val="Odwoanieprzypisudolnego"/>
          <w:rFonts w:ascii="Times New Roman" w:hAnsi="Times New Roman"/>
          <w:b/>
          <w:sz w:val="24"/>
        </w:rPr>
        <w:footnoteReference w:id="4"/>
      </w:r>
      <w:r w:rsidRPr="00E15FB4">
        <w:rPr>
          <w:rFonts w:ascii="Times New Roman" w:hAnsi="Times New Roman"/>
          <w:sz w:val="24"/>
        </w:rPr>
        <w:t xml:space="preserve"> dotyczącego zatwierdzenia nasion gorczycy w </w:t>
      </w:r>
      <w:proofErr w:type="gramStart"/>
      <w:r w:rsidRPr="00E15FB4">
        <w:rPr>
          <w:rFonts w:ascii="Times New Roman" w:hAnsi="Times New Roman"/>
          <w:sz w:val="24"/>
        </w:rPr>
        <w:t>proszku jako</w:t>
      </w:r>
      <w:proofErr w:type="gramEnd"/>
      <w:r w:rsidRPr="00E15FB4">
        <w:rPr>
          <w:rFonts w:ascii="Times New Roman" w:hAnsi="Times New Roman"/>
          <w:sz w:val="24"/>
        </w:rPr>
        <w:t xml:space="preserve"> substancji podstawowej zgodnie z rozporządzeniem (WE) nr 1107/2009.</w:t>
      </w:r>
    </w:p>
    <w:p w:rsidR="00DE06DF" w:rsidRPr="00E15FB4" w:rsidRDefault="00DE06DF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Sprawozdanie z przeglądu zostanie udostępnione do konsultacji publicznych przez wszystkie zainteresowane strony. Bez uszczerbku dla przepisów rozporządzenia (WE) nr 178/2002</w:t>
      </w:r>
      <w:r w:rsidRPr="00E15FB4">
        <w:rPr>
          <w:rStyle w:val="Odwoanieprzypisudolnego"/>
          <w:rFonts w:ascii="Times New Roman" w:hAnsi="Times New Roman"/>
          <w:sz w:val="24"/>
        </w:rPr>
        <w:footnoteReference w:id="5"/>
      </w:r>
      <w:r w:rsidRPr="00E15FB4">
        <w:rPr>
          <w:rFonts w:ascii="Times New Roman" w:hAnsi="Times New Roman"/>
          <w:sz w:val="24"/>
        </w:rPr>
        <w:t xml:space="preserve">, w szczególności w odniesieniu do odpowiedzialności podmiotów gospodarczych, po zatwierdzeniu nasion gorczycy w </w:t>
      </w:r>
      <w:proofErr w:type="gramStart"/>
      <w:r w:rsidRPr="00E15FB4">
        <w:rPr>
          <w:rFonts w:ascii="Times New Roman" w:hAnsi="Times New Roman"/>
          <w:sz w:val="24"/>
        </w:rPr>
        <w:t>proszku jako</w:t>
      </w:r>
      <w:proofErr w:type="gramEnd"/>
      <w:r w:rsidRPr="00E15FB4">
        <w:rPr>
          <w:rFonts w:ascii="Times New Roman" w:hAnsi="Times New Roman"/>
          <w:sz w:val="24"/>
        </w:rPr>
        <w:t xml:space="preserve"> substancji podstawowej podmioty gospodarcze są odpowiedzialne za stosowanie ich do celów ochrony roślin zgodnie z przepisami prawnymi rozporządzenia (WE) nr 1107/2009 oraz warunkami określonymi w sekcjach 4 i 5 oraz w załącznikach I </w:t>
      </w:r>
      <w:proofErr w:type="spellStart"/>
      <w:r w:rsidRPr="00E15FB4">
        <w:rPr>
          <w:rFonts w:ascii="Times New Roman" w:hAnsi="Times New Roman"/>
          <w:sz w:val="24"/>
        </w:rPr>
        <w:t>i</w:t>
      </w:r>
      <w:proofErr w:type="spellEnd"/>
      <w:r w:rsidRPr="00E15FB4">
        <w:rPr>
          <w:rFonts w:ascii="Times New Roman" w:hAnsi="Times New Roman"/>
          <w:sz w:val="24"/>
        </w:rPr>
        <w:t xml:space="preserve"> II niniejszego sprawozdania z przeglądu.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udostępni do wiadomości publicznej wszystkie dokumenty uzupełniające i końcowe Sprawozdanie Techniczne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, a także wniosek bez załączników i wszelkich informacji, których poufne traktowanie jest uzasadnione zgodnie z postanowieniami art. 63 rozporządzenia (WE) </w:t>
      </w:r>
      <w:proofErr w:type="gramStart"/>
      <w:r w:rsidRPr="00E15FB4">
        <w:rPr>
          <w:rFonts w:ascii="Times New Roman" w:hAnsi="Times New Roman"/>
          <w:sz w:val="24"/>
        </w:rPr>
        <w:t>nr 1107/2009.</w:t>
      </w:r>
      <w:r w:rsidR="00743DD8">
        <w:rPr>
          <w:rFonts w:ascii="Times New Roman" w:hAnsi="Times New Roman"/>
          <w:sz w:val="24"/>
        </w:rPr>
        <w:t xml:space="preserve"> </w:t>
      </w:r>
      <w:proofErr w:type="gramEnd"/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Produkty zawierające wyłącznie jedną substancję podstawową lub więcej nie wymagają autoryzacji zgodnie z odstępstwem ustanowionym na mocy art. 28 rozporządzenia (WE) nr 1107/2009. W związku z tym dalsza ocena takich produktów nie będzie przeprowadzana. Jednakże Komisja może w dowolnej chwili dokonać przeglądu zatwierdzenia substancji podstawowej zgodnie z postanowieniami art. 23 ust. 6 rozporządzenia (WE) nr 1107/2009.</w:t>
      </w:r>
    </w:p>
    <w:p w:rsidR="001D6ED5" w:rsidRPr="00E15FB4" w:rsidRDefault="001D6ED5" w:rsidP="00560F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ED5" w:rsidRPr="00E15FB4" w:rsidRDefault="001D6ED5" w:rsidP="001D6E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1D6ED5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Ogólny wniosek w kontekście rozporządzenia (WE) nr 1107/2009</w:t>
      </w:r>
    </w:p>
    <w:p w:rsidR="00F71A16" w:rsidRPr="00E15FB4" w:rsidRDefault="00F71A16">
      <w:pPr>
        <w:spacing w:before="15" w:after="0" w:line="220" w:lineRule="exact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Ogólny wniosek oparty na wniosku, w tym wynikach oceny przeprowadzonej przy wsparciu </w:t>
      </w:r>
      <w:r w:rsidRPr="00E15FB4">
        <w:rPr>
          <w:rFonts w:ascii="Times New Roman" w:hAnsi="Times New Roman"/>
          <w:sz w:val="24"/>
        </w:rPr>
        <w:lastRenderedPageBreak/>
        <w:t xml:space="preserve">naukowym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, jest taki, że istnieją wyraźne wskazania, na </w:t>
      </w:r>
      <w:proofErr w:type="gramStart"/>
      <w:r w:rsidRPr="00E15FB4">
        <w:rPr>
          <w:rFonts w:ascii="Times New Roman" w:hAnsi="Times New Roman"/>
          <w:sz w:val="24"/>
        </w:rPr>
        <w:t>podstawie których</w:t>
      </w:r>
      <w:proofErr w:type="gramEnd"/>
      <w:r w:rsidRPr="00E15FB4">
        <w:rPr>
          <w:rFonts w:ascii="Times New Roman" w:hAnsi="Times New Roman"/>
          <w:sz w:val="24"/>
        </w:rPr>
        <w:t xml:space="preserve"> można oczekiwać, że nasiona gorczycy w proszku spełniają kryteria określone w art. 23.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Nasiona gorczycy w proszku spełniają kryteria „środka spożywczego“ zdefiniowanego w art. 2 rozporządzenia (WE) nr 178/2002. Zgodnie z rozporządzeniem (</w:t>
      </w:r>
      <w:proofErr w:type="spellStart"/>
      <w:r w:rsidRPr="00E15FB4">
        <w:rPr>
          <w:rFonts w:ascii="Times New Roman" w:hAnsi="Times New Roman"/>
          <w:sz w:val="24"/>
        </w:rPr>
        <w:t>UE</w:t>
      </w:r>
      <w:proofErr w:type="spellEnd"/>
      <w:r w:rsidRPr="00E15FB4">
        <w:rPr>
          <w:rFonts w:ascii="Times New Roman" w:hAnsi="Times New Roman"/>
          <w:sz w:val="24"/>
        </w:rPr>
        <w:t xml:space="preserve">) nr 1160/2011 w sprawie przekazywania konsumentom informacji na temat żywności nasiona gorczycy w proszku są wymienione w załączniku II w wykazie substancji lub produktów powodujących alergie lub reakcje nietolerancji. Jak </w:t>
      </w:r>
      <w:proofErr w:type="gramStart"/>
      <w:r w:rsidRPr="00E15FB4">
        <w:rPr>
          <w:rFonts w:ascii="Times New Roman" w:hAnsi="Times New Roman"/>
          <w:sz w:val="24"/>
        </w:rPr>
        <w:t xml:space="preserve">zauważył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proofErr w:type="gramEnd"/>
      <w:r w:rsidRPr="00E15FB4">
        <w:rPr>
          <w:rFonts w:ascii="Times New Roman" w:hAnsi="Times New Roman"/>
          <w:sz w:val="24"/>
        </w:rPr>
        <w:t>, biorąc pod uwagę szczególne zastosowanie na nasionach, prawdopodobieństwo przeniesienia lub zanieczyszczenia nadziemnych części roślin pozostałościowymi nasionami gorczycy w proszku przeznaczonymi do spożycia przez ludzi uznaje się za bardzo niskie.</w:t>
      </w:r>
      <w:r w:rsidR="00743DD8">
        <w:rPr>
          <w:rFonts w:ascii="Times New Roman" w:hAnsi="Times New Roman"/>
          <w:sz w:val="24"/>
        </w:rPr>
        <w:t xml:space="preserve"> 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Biorąc pod uwagę wnioski </w:t>
      </w: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dotyczące stosowania substancji podstawowej nasiona gorczycy w proszku, dawki stosowania i warunków stosowania, które są szczegółowo opisane w załączniku I </w:t>
      </w:r>
      <w:proofErr w:type="spellStart"/>
      <w:r w:rsidRPr="00E15FB4">
        <w:rPr>
          <w:rFonts w:ascii="Times New Roman" w:hAnsi="Times New Roman"/>
          <w:sz w:val="24"/>
        </w:rPr>
        <w:t>i</w:t>
      </w:r>
      <w:proofErr w:type="spellEnd"/>
      <w:r w:rsidRPr="00E15FB4">
        <w:rPr>
          <w:rFonts w:ascii="Times New Roman" w:hAnsi="Times New Roman"/>
          <w:sz w:val="24"/>
        </w:rPr>
        <w:t xml:space="preserve"> II, stwierdza się, że stosowanie nasion gorczycy w proszku nie stwarza niebezpieczeństwa dla zdrowia ludzi. Ponadto nie oczekuje się, aby warunki stosowania prowadziły do obecności w towarach spożywczych lub paszowych budzących obawy pozostałości.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Nasiona gorczycy w proszku nie mają nieodłącznej zdolności do oddziaływania na układ </w:t>
      </w:r>
      <w:proofErr w:type="spellStart"/>
      <w:r w:rsidRPr="00E15FB4">
        <w:rPr>
          <w:rFonts w:ascii="Times New Roman" w:hAnsi="Times New Roman"/>
          <w:sz w:val="24"/>
        </w:rPr>
        <w:t>endokrynny</w:t>
      </w:r>
      <w:proofErr w:type="spellEnd"/>
      <w:r w:rsidRPr="00E15FB4">
        <w:rPr>
          <w:rFonts w:ascii="Times New Roman" w:hAnsi="Times New Roman"/>
          <w:sz w:val="24"/>
        </w:rPr>
        <w:t xml:space="preserve">, działania neurotoksycznego lub </w:t>
      </w:r>
      <w:proofErr w:type="spellStart"/>
      <w:r w:rsidRPr="00E15FB4">
        <w:rPr>
          <w:rFonts w:ascii="Times New Roman" w:hAnsi="Times New Roman"/>
          <w:sz w:val="24"/>
        </w:rPr>
        <w:t>immunotoksycznego</w:t>
      </w:r>
      <w:proofErr w:type="spellEnd"/>
      <w:r w:rsidRPr="00E15FB4">
        <w:rPr>
          <w:rFonts w:ascii="Times New Roman" w:hAnsi="Times New Roman"/>
          <w:sz w:val="24"/>
        </w:rPr>
        <w:t>. Nasiona gorczycy w proszku nie są stosowane głó</w:t>
      </w:r>
      <w:r w:rsidR="00E15FB4">
        <w:rPr>
          <w:rFonts w:ascii="Times New Roman" w:hAnsi="Times New Roman"/>
          <w:sz w:val="24"/>
        </w:rPr>
        <w:t>w</w:t>
      </w:r>
      <w:r w:rsidRPr="00E15FB4">
        <w:rPr>
          <w:rFonts w:ascii="Times New Roman" w:hAnsi="Times New Roman"/>
          <w:sz w:val="24"/>
        </w:rPr>
        <w:t xml:space="preserve">nie do celów ochrony roślin, ale mimo to są przydatne w ochronie roślin. Wreszcie nie </w:t>
      </w:r>
      <w:r w:rsidR="00560F20">
        <w:rPr>
          <w:rFonts w:ascii="Times New Roman" w:hAnsi="Times New Roman"/>
          <w:sz w:val="24"/>
        </w:rPr>
        <w:t>są wprowadzane</w:t>
      </w:r>
      <w:r w:rsidRPr="00E15FB4">
        <w:rPr>
          <w:rFonts w:ascii="Times New Roman" w:hAnsi="Times New Roman"/>
          <w:sz w:val="24"/>
        </w:rPr>
        <w:t xml:space="preserve"> do </w:t>
      </w:r>
      <w:proofErr w:type="gramStart"/>
      <w:r w:rsidRPr="00E15FB4">
        <w:rPr>
          <w:rFonts w:ascii="Times New Roman" w:hAnsi="Times New Roman"/>
          <w:sz w:val="24"/>
        </w:rPr>
        <w:t>obrotu jako</w:t>
      </w:r>
      <w:proofErr w:type="gramEnd"/>
      <w:r w:rsidRPr="00E15FB4">
        <w:rPr>
          <w:rFonts w:ascii="Times New Roman" w:hAnsi="Times New Roman"/>
          <w:sz w:val="24"/>
        </w:rPr>
        <w:t xml:space="preserve"> środek ochrony roślin.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Można stwierdzić, że substancja nie ma bezpośredniego ani opóźnionego szkodliwego wpływu na zdrowie ludzi lub zwierząt ani niedopuszczalnego wpływu na środowisko, gdy jest stosowana zgodnie z przewidzianym zastosowaniem opisanym w załączniku II.</w:t>
      </w:r>
      <w:r w:rsidR="00743DD8">
        <w:rPr>
          <w:rFonts w:ascii="Times New Roman" w:hAnsi="Times New Roman"/>
          <w:sz w:val="24"/>
        </w:rPr>
        <w:t xml:space="preserve"> 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Co więcej, wskazania te osiągnięto w ramach zastosowań, które zostały przewidziane przez wnioskodawcę i wymienione w wykazie zastosowań popartym dostępnymi danymi (</w:t>
      </w:r>
      <w:proofErr w:type="gramStart"/>
      <w:r w:rsidRPr="00E15FB4">
        <w:rPr>
          <w:rFonts w:ascii="Times New Roman" w:hAnsi="Times New Roman"/>
          <w:sz w:val="24"/>
        </w:rPr>
        <w:t>dołączonym jako</w:t>
      </w:r>
      <w:proofErr w:type="gramEnd"/>
      <w:r w:rsidRPr="00E15FB4">
        <w:rPr>
          <w:rFonts w:ascii="Times New Roman" w:hAnsi="Times New Roman"/>
          <w:sz w:val="24"/>
        </w:rPr>
        <w:t xml:space="preserve"> załącznik II do niniejszego sprawozdania z przeglądu), a zatem podlegają one również szczególnym warunkom i ograniczeniom określonym w sekcji 4 i 5 niniejszego sprawozdania.</w:t>
      </w:r>
    </w:p>
    <w:p w:rsidR="00F71A16" w:rsidRPr="00E15FB4" w:rsidRDefault="00F71A16" w:rsidP="001D6ED5">
      <w:pPr>
        <w:spacing w:after="0" w:line="240" w:lineRule="auto"/>
        <w:rPr>
          <w:sz w:val="24"/>
          <w:szCs w:val="24"/>
        </w:rPr>
      </w:pPr>
    </w:p>
    <w:p w:rsidR="00F71A16" w:rsidRPr="00E15FB4" w:rsidRDefault="00560F20" w:rsidP="001D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Rozszerzenie wzorca</w:t>
      </w:r>
      <w:r w:rsidR="00295829" w:rsidRPr="00E15FB4">
        <w:rPr>
          <w:rFonts w:ascii="Times New Roman" w:hAnsi="Times New Roman"/>
          <w:sz w:val="24"/>
        </w:rPr>
        <w:t xml:space="preserve"> stosowania poza te opisane powyżej będzie wymagało oceny na poziomie wspólnotowym w celu ustalenia, czy proponowane rozszerzenia stosowania nadal spełniają wymogi art. 23 rozporządzenia (WE) nr 1107/2009.</w:t>
      </w:r>
    </w:p>
    <w:p w:rsidR="00F71A16" w:rsidRPr="00E15FB4" w:rsidRDefault="00F71A16" w:rsidP="001D6ED5">
      <w:pPr>
        <w:spacing w:after="0" w:line="240" w:lineRule="auto"/>
      </w:pPr>
    </w:p>
    <w:p w:rsidR="00F71A16" w:rsidRPr="00E15FB4" w:rsidRDefault="00295829" w:rsidP="00E1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FB4">
        <w:rPr>
          <w:rFonts w:ascii="Times New Roman" w:hAnsi="Times New Roman"/>
          <w:sz w:val="24"/>
        </w:rPr>
        <w:t>EFSA</w:t>
      </w:r>
      <w:proofErr w:type="spellEnd"/>
      <w:r w:rsidRPr="00E15FB4">
        <w:rPr>
          <w:rFonts w:ascii="Times New Roman" w:hAnsi="Times New Roman"/>
          <w:sz w:val="24"/>
        </w:rPr>
        <w:t xml:space="preserve"> (2017) uznał następujące kwestie za otwarte w przypadku nasion gorczycy w proszku, wraz z powodem, dla którego ryzyko uznaje się za znikome:</w:t>
      </w:r>
    </w:p>
    <w:p w:rsidR="00F71A16" w:rsidRPr="00E15FB4" w:rsidRDefault="00F71A16" w:rsidP="00E15FB4">
      <w:pPr>
        <w:spacing w:before="4" w:after="0" w:line="220" w:lineRule="exact"/>
      </w:pPr>
    </w:p>
    <w:p w:rsidR="00F71A16" w:rsidRPr="00E15FB4" w:rsidRDefault="00295829" w:rsidP="00E15FB4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i/>
          <w:sz w:val="24"/>
        </w:rPr>
        <w:t>Informacje o zachowaniu się w środowisku nie są dostępne</w:t>
      </w:r>
      <w:r w:rsidR="008D4CF6">
        <w:rPr>
          <w:rFonts w:ascii="Times New Roman" w:hAnsi="Times New Roman"/>
          <w:i/>
          <w:sz w:val="24"/>
        </w:rPr>
        <w:t xml:space="preserve"> we wniosku. Dostępne </w:t>
      </w:r>
      <w:proofErr w:type="gramStart"/>
      <w:r w:rsidR="008D4CF6">
        <w:rPr>
          <w:rFonts w:ascii="Times New Roman" w:hAnsi="Times New Roman"/>
          <w:i/>
          <w:sz w:val="24"/>
        </w:rPr>
        <w:t>informacje</w:t>
      </w:r>
      <w:proofErr w:type="gramEnd"/>
      <w:r w:rsidRPr="00E15FB4">
        <w:rPr>
          <w:rFonts w:ascii="Times New Roman" w:hAnsi="Times New Roman"/>
          <w:i/>
          <w:sz w:val="24"/>
        </w:rPr>
        <w:t xml:space="preserve"> nie były </w:t>
      </w:r>
      <w:r w:rsidR="008D4CF6">
        <w:rPr>
          <w:rFonts w:ascii="Times New Roman" w:hAnsi="Times New Roman"/>
          <w:i/>
          <w:sz w:val="24"/>
        </w:rPr>
        <w:t>wystarczające, aby ocenić ryzyko</w:t>
      </w:r>
      <w:r w:rsidRPr="00E15FB4">
        <w:rPr>
          <w:rFonts w:ascii="Times New Roman" w:hAnsi="Times New Roman"/>
          <w:i/>
          <w:sz w:val="24"/>
        </w:rPr>
        <w:t xml:space="preserve"> dla mikroorganizmów glebowych wynikające z zamierzonego zastosowania.</w:t>
      </w:r>
      <w:r w:rsidR="00743DD8">
        <w:rPr>
          <w:rFonts w:ascii="Times New Roman" w:hAnsi="Times New Roman"/>
          <w:i/>
          <w:sz w:val="24"/>
        </w:rPr>
        <w:t xml:space="preserve"> </w:t>
      </w:r>
    </w:p>
    <w:p w:rsidR="00F71A16" w:rsidRPr="00E15FB4" w:rsidRDefault="00F71A16" w:rsidP="00E15FB4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E15FB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Jak zauważył wnioskodawca, gorczyca jest powszechnie </w:t>
      </w:r>
      <w:proofErr w:type="gramStart"/>
      <w:r w:rsidRPr="00E15FB4">
        <w:rPr>
          <w:rFonts w:ascii="Times New Roman" w:hAnsi="Times New Roman"/>
          <w:sz w:val="24"/>
        </w:rPr>
        <w:t>stosowana jako</w:t>
      </w:r>
      <w:proofErr w:type="gramEnd"/>
      <w:r w:rsidRPr="00E15FB4">
        <w:rPr>
          <w:rFonts w:ascii="Times New Roman" w:hAnsi="Times New Roman"/>
          <w:sz w:val="24"/>
        </w:rPr>
        <w:t xml:space="preserve"> roślina okrywowa lub zielonka. Nie odnotowano żadnych niekorzystnych skutków takiego stosowania. </w:t>
      </w:r>
      <w:proofErr w:type="gramStart"/>
      <w:r w:rsidRPr="00E15FB4">
        <w:rPr>
          <w:rFonts w:ascii="Times New Roman" w:hAnsi="Times New Roman"/>
          <w:sz w:val="24"/>
        </w:rPr>
        <w:t>Można zatem</w:t>
      </w:r>
      <w:proofErr w:type="gramEnd"/>
      <w:r w:rsidRPr="00E15FB4">
        <w:rPr>
          <w:rFonts w:ascii="Times New Roman" w:hAnsi="Times New Roman"/>
          <w:sz w:val="24"/>
        </w:rPr>
        <w:t xml:space="preserve"> założyć, że stosowanie nasion gorczycy w proszku na nasionach nie doprowadzi do niedopuszczalnego zagrożenia dla środowiska.</w:t>
      </w:r>
    </w:p>
    <w:p w:rsidR="001D6ED5" w:rsidRPr="00E15FB4" w:rsidRDefault="001D6ED5" w:rsidP="001D6ED5">
      <w:pPr>
        <w:spacing w:before="12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1D6ED5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lastRenderedPageBreak/>
        <w:t>Identyfikacja i właściwości biologiczne</w:t>
      </w:r>
    </w:p>
    <w:p w:rsidR="00F71A16" w:rsidRPr="00E15FB4" w:rsidRDefault="00F71A16">
      <w:pPr>
        <w:spacing w:before="15" w:after="0" w:line="220" w:lineRule="exact"/>
      </w:pPr>
    </w:p>
    <w:p w:rsidR="008D4CF6" w:rsidRDefault="00295829" w:rsidP="008D4CF6">
      <w:pPr>
        <w:spacing w:after="0" w:line="240" w:lineRule="auto"/>
        <w:rPr>
          <w:rFonts w:ascii="Times New Roman" w:hAnsi="Times New Roman"/>
          <w:sz w:val="24"/>
        </w:rPr>
      </w:pPr>
      <w:r w:rsidRPr="00E15FB4">
        <w:rPr>
          <w:rFonts w:ascii="Times New Roman" w:hAnsi="Times New Roman"/>
          <w:sz w:val="24"/>
        </w:rPr>
        <w:t>Główne właściwości nasion gorczycy w</w:t>
      </w:r>
      <w:r w:rsidR="008D4CF6">
        <w:rPr>
          <w:rFonts w:ascii="Times New Roman" w:hAnsi="Times New Roman"/>
          <w:sz w:val="24"/>
        </w:rPr>
        <w:t xml:space="preserve"> proszku podano w załączniku I.</w:t>
      </w:r>
      <w:r w:rsidR="00743DD8">
        <w:rPr>
          <w:rFonts w:ascii="Times New Roman" w:hAnsi="Times New Roman"/>
          <w:sz w:val="24"/>
        </w:rPr>
        <w:t xml:space="preserve"> </w:t>
      </w:r>
    </w:p>
    <w:p w:rsidR="008D4CF6" w:rsidRDefault="008D4CF6" w:rsidP="008D4CF6">
      <w:pPr>
        <w:spacing w:after="0" w:line="240" w:lineRule="auto"/>
        <w:rPr>
          <w:rFonts w:ascii="Times New Roman" w:hAnsi="Times New Roman"/>
          <w:sz w:val="24"/>
        </w:rPr>
      </w:pPr>
    </w:p>
    <w:p w:rsidR="00F71A16" w:rsidRDefault="00295829" w:rsidP="008D4CF6">
      <w:pPr>
        <w:spacing w:after="0" w:line="240" w:lineRule="auto"/>
        <w:rPr>
          <w:rFonts w:ascii="Times New Roman" w:hAnsi="Times New Roman"/>
          <w:sz w:val="24"/>
        </w:rPr>
      </w:pPr>
      <w:r w:rsidRPr="00E15FB4">
        <w:rPr>
          <w:rFonts w:ascii="Times New Roman" w:hAnsi="Times New Roman"/>
          <w:sz w:val="24"/>
        </w:rPr>
        <w:t>Stosowane nasiona gorczycy w proszku muszą mieć czystość spożywczą.</w:t>
      </w:r>
    </w:p>
    <w:p w:rsidR="008D4CF6" w:rsidRPr="00E15FB4" w:rsidRDefault="008D4CF6" w:rsidP="008D4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FB4" w:rsidRDefault="00295829" w:rsidP="008D4C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15FB4">
        <w:rPr>
          <w:rFonts w:ascii="Times New Roman" w:hAnsi="Times New Roman"/>
          <w:sz w:val="24"/>
        </w:rPr>
        <w:t>Ustalono, że w odniesieniu do nasion gorczycy w proszku o czystości spożywczej zgłoszonych przez wnioskodawcę, nie bierze się pod uwagę żadnych istotnych zanieczyszczeń, na podstawie aktualnie dostępnych informacji, o znaczeniu toksykologicznym, ekotoksykologicznym lub mających wpływ na środowisko.</w:t>
      </w:r>
    </w:p>
    <w:p w:rsidR="00E15FB4" w:rsidRPr="00E15FB4" w:rsidRDefault="00E15FB4" w:rsidP="00E15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E15FB4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Szczególne warunki, które należy wziąć pod uwagę w odniesieniu do zastosowań substancji podstawowej nasiona gorczycy w proszku</w:t>
      </w:r>
    </w:p>
    <w:p w:rsidR="00F71A16" w:rsidRPr="00E15FB4" w:rsidRDefault="00F71A16">
      <w:pPr>
        <w:spacing w:before="15" w:after="0" w:line="220" w:lineRule="exact"/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Nasiona gorczycy w proszku muszą być określone w specyfikacjach podanych w załączniku I </w:t>
      </w:r>
      <w:proofErr w:type="spellStart"/>
      <w:r w:rsidRPr="00E15FB4">
        <w:rPr>
          <w:rFonts w:ascii="Times New Roman" w:hAnsi="Times New Roman"/>
          <w:sz w:val="24"/>
        </w:rPr>
        <w:t>i</w:t>
      </w:r>
      <w:proofErr w:type="spellEnd"/>
      <w:r w:rsidRPr="00E15FB4">
        <w:rPr>
          <w:rFonts w:ascii="Times New Roman" w:hAnsi="Times New Roman"/>
          <w:sz w:val="24"/>
        </w:rPr>
        <w:t xml:space="preserve"> muszą być stosowane zgodnie z warunkami popieranego zastosowania, jak podano w załączniku I </w:t>
      </w:r>
      <w:proofErr w:type="spellStart"/>
      <w:r w:rsidRPr="00E15FB4">
        <w:rPr>
          <w:rFonts w:ascii="Times New Roman" w:hAnsi="Times New Roman"/>
          <w:sz w:val="24"/>
        </w:rPr>
        <w:t>i</w:t>
      </w:r>
      <w:proofErr w:type="spellEnd"/>
      <w:r w:rsidRPr="00E15FB4">
        <w:rPr>
          <w:rFonts w:ascii="Times New Roman" w:hAnsi="Times New Roman"/>
          <w:sz w:val="24"/>
        </w:rPr>
        <w:t xml:space="preserve"> II.</w:t>
      </w:r>
    </w:p>
    <w:p w:rsidR="00F71A16" w:rsidRPr="00E15FB4" w:rsidRDefault="00F71A16" w:rsidP="005C4EA4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Użytkownicy muszą przestrzegać następujących warunków użytkowania wynikających z oceny wniosku:</w:t>
      </w:r>
    </w:p>
    <w:p w:rsidR="00F71A16" w:rsidRPr="00E15FB4" w:rsidRDefault="00F71A16" w:rsidP="005C4EA4">
      <w:pPr>
        <w:spacing w:after="0" w:line="240" w:lineRule="auto"/>
        <w:rPr>
          <w:sz w:val="16"/>
          <w:szCs w:val="16"/>
        </w:rPr>
      </w:pPr>
    </w:p>
    <w:p w:rsidR="00F71A16" w:rsidRPr="00E15FB4" w:rsidRDefault="00295829" w:rsidP="008D4CF6">
      <w:pPr>
        <w:spacing w:after="0" w:line="240" w:lineRule="auto"/>
        <w:ind w:left="851" w:hanging="375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-</w:t>
      </w:r>
      <w:r w:rsidRPr="00E15FB4">
        <w:tab/>
      </w:r>
      <w:r w:rsidRPr="00E15FB4">
        <w:rPr>
          <w:rFonts w:ascii="Times New Roman" w:hAnsi="Times New Roman"/>
          <w:sz w:val="24"/>
        </w:rPr>
        <w:t xml:space="preserve">Zezwala się wyłącznie na </w:t>
      </w:r>
      <w:proofErr w:type="gramStart"/>
      <w:r w:rsidRPr="00E15FB4">
        <w:rPr>
          <w:rFonts w:ascii="Times New Roman" w:hAnsi="Times New Roman"/>
          <w:sz w:val="24"/>
        </w:rPr>
        <w:t>stosowanie jako</w:t>
      </w:r>
      <w:proofErr w:type="gramEnd"/>
      <w:r w:rsidRPr="00E15FB4">
        <w:rPr>
          <w:rFonts w:ascii="Times New Roman" w:hAnsi="Times New Roman"/>
          <w:sz w:val="24"/>
        </w:rPr>
        <w:t xml:space="preserve"> substancji podstawowej w charakterze środka grzybobójczego do stosowania na nasionach.</w:t>
      </w:r>
      <w:r w:rsidR="00743DD8">
        <w:rPr>
          <w:rFonts w:ascii="Times New Roman" w:hAnsi="Times New Roman"/>
          <w:sz w:val="24"/>
        </w:rPr>
        <w:t xml:space="preserve"> </w:t>
      </w:r>
    </w:p>
    <w:p w:rsidR="00F71A16" w:rsidRPr="00E15FB4" w:rsidRDefault="00F71A16" w:rsidP="005C4EA4">
      <w:pPr>
        <w:spacing w:after="0" w:line="240" w:lineRule="auto"/>
        <w:rPr>
          <w:sz w:val="24"/>
          <w:szCs w:val="24"/>
        </w:rPr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Stosowanie nasion gorczycy w proszku musi być zgodne z warunkami określonymi w załączniku I </w:t>
      </w:r>
      <w:proofErr w:type="spellStart"/>
      <w:r w:rsidRPr="00E15FB4">
        <w:rPr>
          <w:rFonts w:ascii="Times New Roman" w:hAnsi="Times New Roman"/>
          <w:sz w:val="24"/>
        </w:rPr>
        <w:t>i</w:t>
      </w:r>
      <w:proofErr w:type="spellEnd"/>
      <w:r w:rsidRPr="00E15FB4">
        <w:rPr>
          <w:rFonts w:ascii="Times New Roman" w:hAnsi="Times New Roman"/>
          <w:sz w:val="24"/>
        </w:rPr>
        <w:t xml:space="preserve"> II niniejszego sprawozdania z przeglądu.</w:t>
      </w:r>
    </w:p>
    <w:p w:rsidR="00F71A16" w:rsidRPr="00E15FB4" w:rsidRDefault="00F71A16" w:rsidP="005C4EA4">
      <w:pPr>
        <w:spacing w:after="0" w:line="240" w:lineRule="auto"/>
        <w:rPr>
          <w:sz w:val="12"/>
          <w:szCs w:val="12"/>
        </w:rPr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Na podstawie proponowanych i przewidzianych zastosowań (wymienionych w załączniku II) nie określono żadnych szczególnych problemów.</w:t>
      </w:r>
    </w:p>
    <w:p w:rsidR="005C4EA4" w:rsidRPr="00E15FB4" w:rsidRDefault="005C4EA4" w:rsidP="005C4E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5C4EA4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Lista badań, które mają zostać wygenerowane</w:t>
      </w:r>
    </w:p>
    <w:p w:rsidR="00F71A16" w:rsidRPr="00E15FB4" w:rsidRDefault="00F71A16">
      <w:pPr>
        <w:spacing w:before="15" w:after="0" w:line="220" w:lineRule="exact"/>
      </w:pPr>
    </w:p>
    <w:p w:rsidR="00F71A16" w:rsidRPr="00E15FB4" w:rsidRDefault="00295829" w:rsidP="00E1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Nie zidentyfikowano dalszych badań, które na tym etapie uznano by za konieczne.</w:t>
      </w:r>
    </w:p>
    <w:p w:rsidR="005C4EA4" w:rsidRPr="00E15FB4" w:rsidRDefault="005C4EA4" w:rsidP="005C4EA4">
      <w:pPr>
        <w:spacing w:before="120" w:after="0" w:line="240" w:lineRule="auto"/>
        <w:ind w:right="16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5C4EA4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Aktualizacja tego sprawozdania z przeglądu</w:t>
      </w:r>
    </w:p>
    <w:p w:rsidR="00F71A16" w:rsidRPr="00E15FB4" w:rsidRDefault="00F71A16">
      <w:pPr>
        <w:spacing w:before="15" w:after="0" w:line="220" w:lineRule="exact"/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Informacje zawarte w niniejszym sprawozdaniu mogą wymagać okresowej aktualizacji w celu uwzględnienia rozwoju technicznego i naukowego, a także wyników analizy wszelkich informacji przekazanych Komisji na podstawie art. 23 rozporządzenia (WE) nr 1107/2009. Każde takie przyjęcie będzie finalizowane w Stałym Komitecie ds. Roślin, Zwierząt, Żywności i Paszy, stosownie do przypadku, w związku z każdą zmianą warunków zatwierdzania nasion gorczycy w proszku w części C załącznika do rozporządzenia (WE) nr 540/2011.</w:t>
      </w:r>
      <w:r w:rsidR="00743DD8">
        <w:rPr>
          <w:rFonts w:ascii="Times New Roman" w:hAnsi="Times New Roman"/>
          <w:sz w:val="24"/>
        </w:rPr>
        <w:t xml:space="preserve"> </w:t>
      </w:r>
    </w:p>
    <w:p w:rsidR="005C4EA4" w:rsidRPr="00E15FB4" w:rsidRDefault="005C4EA4" w:rsidP="005C4E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16" w:rsidRPr="00E15FB4" w:rsidRDefault="00295829" w:rsidP="005C4EA4">
      <w:pPr>
        <w:pStyle w:val="Akapitzlist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b/>
          <w:sz w:val="24"/>
        </w:rPr>
        <w:t>Zalecane ujawnienie tego sprawozdania z przeglądu</w:t>
      </w:r>
    </w:p>
    <w:p w:rsidR="00F71A16" w:rsidRPr="00E15FB4" w:rsidRDefault="00F71A16">
      <w:pPr>
        <w:spacing w:before="15" w:after="0" w:line="220" w:lineRule="exact"/>
      </w:pPr>
    </w:p>
    <w:p w:rsidR="00F71A16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Biorąc pod uwagę znaczenie przestrzegania zatwierdzonych warunków stosowania oraz fakt, że substancja podstawowa nie zostanie wprowadzona do </w:t>
      </w:r>
      <w:proofErr w:type="gramStart"/>
      <w:r w:rsidRPr="00E15FB4">
        <w:rPr>
          <w:rFonts w:ascii="Times New Roman" w:hAnsi="Times New Roman"/>
          <w:sz w:val="24"/>
        </w:rPr>
        <w:t>obrotu jako</w:t>
      </w:r>
      <w:proofErr w:type="gramEnd"/>
      <w:r w:rsidRPr="00E15FB4">
        <w:rPr>
          <w:rFonts w:ascii="Times New Roman" w:hAnsi="Times New Roman"/>
          <w:sz w:val="24"/>
        </w:rPr>
        <w:t xml:space="preserve"> środek ochrony roślin, w związku z czym dalsza ocena nie będzie musiała być przeprowadzana, bardzo ważne jest, aby </w:t>
      </w:r>
      <w:proofErr w:type="gramStart"/>
      <w:r w:rsidRPr="00E15FB4">
        <w:rPr>
          <w:rFonts w:ascii="Times New Roman" w:hAnsi="Times New Roman"/>
          <w:sz w:val="24"/>
        </w:rPr>
        <w:lastRenderedPageBreak/>
        <w:t>poinformować</w:t>
      </w:r>
      <w:proofErr w:type="gramEnd"/>
      <w:r w:rsidRPr="00E15FB4">
        <w:rPr>
          <w:rFonts w:ascii="Times New Roman" w:hAnsi="Times New Roman"/>
          <w:sz w:val="24"/>
        </w:rPr>
        <w:t xml:space="preserve"> nie tylko wnioskodawców, ale także potencjalnych użytkowników o istnieniu niniejszego sprawozdania z przeglądu.</w:t>
      </w:r>
      <w:r w:rsidR="00743DD8">
        <w:rPr>
          <w:rFonts w:ascii="Times New Roman" w:hAnsi="Times New Roman"/>
          <w:sz w:val="24"/>
        </w:rPr>
        <w:t xml:space="preserve"> </w:t>
      </w:r>
    </w:p>
    <w:p w:rsidR="00F71A16" w:rsidRPr="00E15FB4" w:rsidRDefault="00F71A16">
      <w:pPr>
        <w:spacing w:after="0" w:line="240" w:lineRule="exact"/>
        <w:rPr>
          <w:sz w:val="24"/>
          <w:szCs w:val="24"/>
        </w:rPr>
      </w:pPr>
    </w:p>
    <w:p w:rsidR="00B94019" w:rsidRPr="00E15FB4" w:rsidRDefault="00295829" w:rsidP="005C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 xml:space="preserve">Zaleca </w:t>
      </w:r>
      <w:proofErr w:type="gramStart"/>
      <w:r w:rsidRPr="00E15FB4">
        <w:rPr>
          <w:rFonts w:ascii="Times New Roman" w:hAnsi="Times New Roman"/>
          <w:sz w:val="24"/>
        </w:rPr>
        <w:t>się zatem</w:t>
      </w:r>
      <w:proofErr w:type="gramEnd"/>
      <w:r w:rsidRPr="00E15FB4">
        <w:rPr>
          <w:rFonts w:ascii="Times New Roman" w:hAnsi="Times New Roman"/>
          <w:sz w:val="24"/>
        </w:rPr>
        <w:t>, aby właściwe organy</w:t>
      </w:r>
      <w:r w:rsidR="008D4CF6">
        <w:rPr>
          <w:rFonts w:ascii="Times New Roman" w:hAnsi="Times New Roman"/>
          <w:sz w:val="24"/>
        </w:rPr>
        <w:t xml:space="preserve"> państw członkowskich udostępni</w:t>
      </w:r>
      <w:r w:rsidRPr="00E15FB4">
        <w:rPr>
          <w:rFonts w:ascii="Times New Roman" w:hAnsi="Times New Roman"/>
          <w:sz w:val="24"/>
        </w:rPr>
        <w:t>ły to sprawozdanie ogółowi społeczeństwa i podmiotom gospodarczym za pośrednictwem odpowiednich krajowych stron internetowych oraz z pomocą wszelkich innych odpowiednich form komunikacji w celu zapewnienia, że informacje dotrą do potencjalnych użytkowników.</w:t>
      </w:r>
    </w:p>
    <w:p w:rsidR="00B94019" w:rsidRPr="00E15FB4" w:rsidRDefault="00B94019">
      <w:pPr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br w:type="page"/>
      </w:r>
    </w:p>
    <w:p w:rsidR="00F71A16" w:rsidRPr="008D4CF6" w:rsidRDefault="00295829" w:rsidP="008D4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CF6">
        <w:rPr>
          <w:rFonts w:ascii="Times New Roman" w:hAnsi="Times New Roman" w:cs="Times New Roman"/>
          <w:b/>
          <w:sz w:val="24"/>
          <w:szCs w:val="24"/>
        </w:rPr>
        <w:lastRenderedPageBreak/>
        <w:t>ZAŁĄCZNIK I</w:t>
      </w:r>
    </w:p>
    <w:p w:rsidR="00F71A16" w:rsidRPr="008D4CF6" w:rsidRDefault="00F71A16" w:rsidP="008D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A16" w:rsidRPr="008D4CF6" w:rsidRDefault="00295829" w:rsidP="008D4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CF6">
        <w:rPr>
          <w:rFonts w:ascii="Times New Roman" w:hAnsi="Times New Roman" w:cs="Times New Roman"/>
          <w:b/>
          <w:sz w:val="24"/>
          <w:szCs w:val="24"/>
        </w:rPr>
        <w:t>Identyfikacja i właściwości biologiczne</w:t>
      </w:r>
    </w:p>
    <w:p w:rsidR="00F71A16" w:rsidRPr="008D4CF6" w:rsidRDefault="00F71A16" w:rsidP="008D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A16" w:rsidRPr="008D4CF6" w:rsidRDefault="00295829" w:rsidP="008D4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CF6">
        <w:rPr>
          <w:rFonts w:ascii="Times New Roman" w:hAnsi="Times New Roman" w:cs="Times New Roman"/>
          <w:sz w:val="24"/>
          <w:szCs w:val="24"/>
        </w:rPr>
        <w:t>NASIONA GORCZYCY W PROSZKU</w:t>
      </w:r>
    </w:p>
    <w:p w:rsidR="00F71A16" w:rsidRPr="008D4CF6" w:rsidRDefault="00F71A16" w:rsidP="008D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6104"/>
      </w:tblGrid>
      <w:tr w:rsidR="00F71A16" w:rsidRPr="00E15FB4" w:rsidTr="00B94019">
        <w:trPr>
          <w:trHeight w:hRule="exact" w:val="56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Nazwa zwyczajowa (ISO)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>
            <w:pPr>
              <w:spacing w:after="0" w:line="267" w:lineRule="exact"/>
              <w:ind w:left="6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Brak nazwy zwyczajowej ISO dla tej substancji</w:t>
            </w:r>
          </w:p>
        </w:tc>
      </w:tr>
      <w:tr w:rsidR="00F71A16" w:rsidRPr="00E15FB4" w:rsidTr="00B94019">
        <w:trPr>
          <w:trHeight w:hRule="exact" w:val="56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Nazwa chemiczna (</w:t>
            </w:r>
            <w:proofErr w:type="spellStart"/>
            <w:r w:rsidRPr="00E15FB4">
              <w:rPr>
                <w:rFonts w:ascii="Times New Roman" w:hAnsi="Times New Roman"/>
                <w:b/>
                <w:sz w:val="24"/>
              </w:rPr>
              <w:t>IUPAC</w:t>
            </w:r>
            <w:proofErr w:type="spellEnd"/>
            <w:r w:rsidRPr="00E15FB4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Nieistotne, substancja to złożona mieszanina</w:t>
            </w:r>
          </w:p>
        </w:tc>
      </w:tr>
      <w:tr w:rsidR="00F71A16" w:rsidRPr="00E15FB4" w:rsidTr="00B94019">
        <w:trPr>
          <w:trHeight w:hRule="exact" w:val="56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Nazwa chemiczna (CA)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Nieistotne, substancja to złożona mieszanina</w:t>
            </w:r>
          </w:p>
        </w:tc>
      </w:tr>
      <w:tr w:rsidR="00F71A16" w:rsidRPr="009A47FE" w:rsidTr="00B94019">
        <w:trPr>
          <w:trHeight w:hRule="exact" w:val="807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before="24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Klasyfikacja botaniczna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9A47FE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47FE">
              <w:rPr>
                <w:rFonts w:ascii="Times New Roman" w:hAnsi="Times New Roman"/>
                <w:i/>
                <w:sz w:val="24"/>
                <w:lang w:val="it-IT"/>
              </w:rPr>
              <w:t xml:space="preserve">Sinapis alba (Brassica alba), Brassica juncea </w:t>
            </w:r>
            <w:r w:rsidRPr="009A47FE">
              <w:rPr>
                <w:rFonts w:ascii="Times New Roman" w:hAnsi="Times New Roman"/>
                <w:sz w:val="24"/>
                <w:lang w:val="it-IT"/>
              </w:rPr>
              <w:t xml:space="preserve">i </w:t>
            </w:r>
            <w:r w:rsidRPr="009A47FE">
              <w:rPr>
                <w:rFonts w:ascii="Times New Roman" w:hAnsi="Times New Roman"/>
                <w:i/>
                <w:sz w:val="24"/>
                <w:lang w:val="it-IT"/>
              </w:rPr>
              <w:t>Brassica nigra</w:t>
            </w:r>
            <w:r w:rsidRPr="009A47FE">
              <w:rPr>
                <w:rFonts w:ascii="Times New Roman" w:hAnsi="Times New Roman"/>
                <w:sz w:val="24"/>
                <w:lang w:val="it-IT"/>
              </w:rPr>
              <w:t>.</w:t>
            </w:r>
          </w:p>
        </w:tc>
      </w:tr>
      <w:tr w:rsidR="00F71A16" w:rsidRPr="00E15FB4" w:rsidTr="00B94019">
        <w:trPr>
          <w:trHeight w:hRule="exact" w:val="80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before="24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Nazwy zwyczajowe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Nasiona gorczycy białej/jasnej, gorczycy sarepskiej, gorczycy czarnej w proszku</w:t>
            </w:r>
          </w:p>
        </w:tc>
      </w:tr>
      <w:tr w:rsidR="00F71A16" w:rsidRPr="00E15FB4" w:rsidTr="00B94019">
        <w:trPr>
          <w:trHeight w:hRule="exact" w:val="1085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before="24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 xml:space="preserve">Nr </w:t>
            </w:r>
            <w:proofErr w:type="spellStart"/>
            <w:r w:rsidRPr="00E15FB4">
              <w:rPr>
                <w:rFonts w:ascii="Times New Roman" w:hAnsi="Times New Roman"/>
                <w:b/>
                <w:sz w:val="24"/>
              </w:rPr>
              <w:t>CAS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9A47FE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47FE">
              <w:rPr>
                <w:rFonts w:ascii="Times New Roman" w:hAnsi="Times New Roman"/>
                <w:sz w:val="24"/>
                <w:lang w:val="it-IT"/>
              </w:rPr>
              <w:t>84929-33-9 (wyciąg z nasion Brassica alba)</w:t>
            </w:r>
          </w:p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 xml:space="preserve">93062-78-3 (wyciąg z nasion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Brassica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juncea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>)</w:t>
            </w:r>
          </w:p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 xml:space="preserve">90064-15-6 (wyciąg z nasion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Brassica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nigra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71A16" w:rsidRPr="00E15FB4" w:rsidTr="00B94019">
        <w:trPr>
          <w:trHeight w:hRule="exact" w:val="1082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before="24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 xml:space="preserve">Nr </w:t>
            </w:r>
            <w:proofErr w:type="spellStart"/>
            <w:r w:rsidRPr="00E15FB4">
              <w:rPr>
                <w:rFonts w:ascii="Times New Roman" w:hAnsi="Times New Roman"/>
                <w:b/>
                <w:sz w:val="24"/>
              </w:rPr>
              <w:t>CIPAC</w:t>
            </w:r>
            <w:proofErr w:type="spellEnd"/>
            <w:r w:rsidRPr="00E15FB4">
              <w:rPr>
                <w:rFonts w:ascii="Times New Roman" w:hAnsi="Times New Roman"/>
                <w:b/>
                <w:sz w:val="24"/>
              </w:rPr>
              <w:t xml:space="preserve"> i nr EWG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9A47FE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A47FE">
              <w:rPr>
                <w:rFonts w:ascii="Times New Roman" w:hAnsi="Times New Roman"/>
                <w:sz w:val="24"/>
                <w:lang w:val="it-IT"/>
              </w:rPr>
              <w:t>284-517-9 (wyciąg z nasion Brassica alba)</w:t>
            </w:r>
          </w:p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 xml:space="preserve">296-833-4 (wyciąg z nasion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Brassica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juncea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>)</w:t>
            </w:r>
          </w:p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 xml:space="preserve">290-076-3 (wyciąg z nasion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Brassica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nigra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71A16" w:rsidRPr="00E15FB4" w:rsidTr="00B94019">
        <w:trPr>
          <w:trHeight w:hRule="exact" w:val="567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Specyfikacja FAO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Niedostępna</w:t>
            </w:r>
          </w:p>
        </w:tc>
      </w:tr>
      <w:tr w:rsidR="00F71A16" w:rsidRPr="00E15FB4" w:rsidTr="00B94019">
        <w:trPr>
          <w:trHeight w:hRule="exact" w:val="56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Minimalna czystość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Nieistotne</w:t>
            </w:r>
          </w:p>
        </w:tc>
      </w:tr>
      <w:tr w:rsidR="00F71A16" w:rsidRPr="00E15FB4" w:rsidTr="00B94019">
        <w:trPr>
          <w:trHeight w:hRule="exact" w:val="566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Istotne zanieczyszczenia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Czystość zależy od pochodzenia</w:t>
            </w:r>
          </w:p>
        </w:tc>
      </w:tr>
      <w:tr w:rsidR="00F71A16" w:rsidRPr="00E15FB4" w:rsidTr="00B94019">
        <w:trPr>
          <w:trHeight w:hRule="exact" w:val="842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Masa cząsteczkowa i wzór strukturalny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5FB4">
              <w:rPr>
                <w:rFonts w:ascii="Times New Roman" w:hAnsi="Times New Roman"/>
                <w:sz w:val="24"/>
              </w:rPr>
              <w:t>brak</w:t>
            </w:r>
            <w:proofErr w:type="gramEnd"/>
          </w:p>
        </w:tc>
      </w:tr>
      <w:tr w:rsidR="00F71A16" w:rsidRPr="00E15FB4" w:rsidTr="00743DD8">
        <w:trPr>
          <w:trHeight w:hRule="exact" w:val="1075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before="24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Tryb stosowania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743DD8" w:rsidRDefault="00295829" w:rsidP="00743D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>Wymieszać</w:t>
            </w:r>
            <w:proofErr w:type="gramStart"/>
            <w:r w:rsidRPr="00E15FB4">
              <w:rPr>
                <w:rFonts w:ascii="Times New Roman" w:hAnsi="Times New Roman"/>
                <w:sz w:val="24"/>
              </w:rPr>
              <w:t xml:space="preserve"> 1,5 kg</w:t>
            </w:r>
            <w:proofErr w:type="gramEnd"/>
            <w:r w:rsidRPr="00E15FB4">
              <w:rPr>
                <w:rFonts w:ascii="Times New Roman" w:hAnsi="Times New Roman"/>
                <w:sz w:val="24"/>
              </w:rPr>
              <w:t xml:space="preserve"> nasion </w:t>
            </w:r>
            <w:r w:rsidRPr="00743DD8">
              <w:rPr>
                <w:rFonts w:ascii="Times New Roman" w:hAnsi="Times New Roman" w:cs="Times New Roman"/>
                <w:sz w:val="24"/>
                <w:szCs w:val="24"/>
              </w:rPr>
              <w:t>gorczycy w proszku z 4,5 l wody.</w:t>
            </w:r>
          </w:p>
          <w:p w:rsidR="00743DD8" w:rsidRPr="00743DD8" w:rsidRDefault="00743DD8" w:rsidP="00743D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16" w:rsidRPr="00E15FB4" w:rsidRDefault="00295829" w:rsidP="00743DD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D8">
              <w:rPr>
                <w:rFonts w:ascii="Times New Roman" w:hAnsi="Times New Roman" w:cs="Times New Roman"/>
                <w:sz w:val="24"/>
                <w:szCs w:val="24"/>
              </w:rPr>
              <w:t>Stworzony szlam stosować</w:t>
            </w:r>
            <w:r w:rsidRPr="00E15FB4">
              <w:rPr>
                <w:rFonts w:ascii="Times New Roman" w:hAnsi="Times New Roman"/>
                <w:sz w:val="24"/>
              </w:rPr>
              <w:t xml:space="preserve"> na 100 kg nasion.</w:t>
            </w:r>
          </w:p>
        </w:tc>
      </w:tr>
      <w:tr w:rsidR="00F71A16" w:rsidRPr="00E15FB4" w:rsidTr="00704EAC">
        <w:trPr>
          <w:trHeight w:hRule="exact" w:val="701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Stosowany preparat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sz w:val="24"/>
              </w:rPr>
              <w:t xml:space="preserve">Proszek ulegający dyspersji w wodzie do </w:t>
            </w:r>
            <w:proofErr w:type="gramStart"/>
            <w:r w:rsidRPr="00E15FB4">
              <w:rPr>
                <w:rFonts w:ascii="Times New Roman" w:hAnsi="Times New Roman"/>
                <w:sz w:val="24"/>
              </w:rPr>
              <w:t>stosowania jako</w:t>
            </w:r>
            <w:proofErr w:type="gramEnd"/>
            <w:r w:rsidRPr="00E15FB4">
              <w:rPr>
                <w:rFonts w:ascii="Times New Roman" w:hAnsi="Times New Roman"/>
                <w:sz w:val="24"/>
              </w:rPr>
              <w:t xml:space="preserve"> szlam na nasionach (</w:t>
            </w:r>
            <w:proofErr w:type="spellStart"/>
            <w:r w:rsidRPr="00E15FB4">
              <w:rPr>
                <w:rFonts w:ascii="Times New Roman" w:hAnsi="Times New Roman"/>
                <w:sz w:val="24"/>
              </w:rPr>
              <w:t>WS</w:t>
            </w:r>
            <w:proofErr w:type="spellEnd"/>
            <w:r w:rsidRPr="00E15FB4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71A16" w:rsidRPr="00E15FB4" w:rsidTr="00B94019">
        <w:trPr>
          <w:trHeight w:hRule="exact" w:val="569"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295829" w:rsidP="00B94019">
            <w:pPr>
              <w:spacing w:after="0" w:line="272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B4">
              <w:rPr>
                <w:rFonts w:ascii="Times New Roman" w:hAnsi="Times New Roman"/>
                <w:b/>
                <w:sz w:val="24"/>
              </w:rPr>
              <w:t>Funkcja ochrony roślin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A16" w:rsidRPr="00E15FB4" w:rsidRDefault="00704EAC" w:rsidP="00B94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Fungicyd do s</w:t>
            </w:r>
            <w:r w:rsidR="00295829" w:rsidRPr="00E15FB4">
              <w:rPr>
                <w:rFonts w:ascii="Times New Roman" w:hAnsi="Times New Roman"/>
                <w:sz w:val="24"/>
              </w:rPr>
              <w:t>tosowania na nasionach</w:t>
            </w:r>
          </w:p>
        </w:tc>
      </w:tr>
    </w:tbl>
    <w:p w:rsidR="00F71A16" w:rsidRPr="00E15FB4" w:rsidRDefault="00F71A1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71A16" w:rsidRPr="00E15FB4" w:rsidSect="00E15FB4">
          <w:footerReference w:type="default" r:id="rId9"/>
          <w:pgSz w:w="11920" w:h="16860"/>
          <w:pgMar w:top="1440" w:right="1430" w:bottom="1440" w:left="1080" w:header="0" w:footer="717" w:gutter="0"/>
          <w:cols w:space="708"/>
          <w:docGrid w:linePitch="299"/>
        </w:sectPr>
      </w:pPr>
    </w:p>
    <w:p w:rsidR="00F71A16" w:rsidRPr="00E15FB4" w:rsidRDefault="00F71A16">
      <w:pPr>
        <w:spacing w:before="8" w:after="0" w:line="170" w:lineRule="exact"/>
        <w:rPr>
          <w:sz w:val="17"/>
          <w:szCs w:val="17"/>
        </w:rPr>
      </w:pPr>
    </w:p>
    <w:p w:rsidR="00F71A16" w:rsidRPr="00E15FB4" w:rsidRDefault="00F71A16">
      <w:pPr>
        <w:spacing w:after="0" w:line="200" w:lineRule="exact"/>
        <w:rPr>
          <w:sz w:val="20"/>
          <w:szCs w:val="20"/>
        </w:rPr>
      </w:pPr>
    </w:p>
    <w:p w:rsidR="00F71A16" w:rsidRPr="00E15FB4" w:rsidRDefault="00F71A16">
      <w:pPr>
        <w:spacing w:after="0" w:line="200" w:lineRule="exact"/>
        <w:rPr>
          <w:sz w:val="20"/>
          <w:szCs w:val="20"/>
        </w:rPr>
      </w:pPr>
    </w:p>
    <w:p w:rsidR="00F71A16" w:rsidRPr="00E15FB4" w:rsidRDefault="00295829" w:rsidP="0074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FB4">
        <w:rPr>
          <w:rFonts w:ascii="Times New Roman" w:hAnsi="Times New Roman"/>
          <w:sz w:val="24"/>
        </w:rPr>
        <w:t>ZAŁĄCZNIK II</w:t>
      </w:r>
    </w:p>
    <w:p w:rsidR="00F71A16" w:rsidRPr="00E15FB4" w:rsidRDefault="00295829" w:rsidP="00743D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FB4">
        <w:rPr>
          <w:rFonts w:ascii="Times New Roman" w:hAnsi="Times New Roman"/>
          <w:b/>
        </w:rPr>
        <w:t>Lista zastosowań na podstawie dostępnych danych</w:t>
      </w:r>
    </w:p>
    <w:p w:rsidR="00F71A16" w:rsidRPr="00E15FB4" w:rsidRDefault="00295829" w:rsidP="00743D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FB4">
        <w:rPr>
          <w:rFonts w:ascii="Times New Roman" w:hAnsi="Times New Roman"/>
          <w:b/>
          <w:position w:val="-1"/>
        </w:rPr>
        <w:t>NASIONA GORCZYCY W PROSZKU</w:t>
      </w:r>
    </w:p>
    <w:p w:rsidR="00F71A16" w:rsidRPr="00E15FB4" w:rsidRDefault="00F71A16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838"/>
        <w:gridCol w:w="1078"/>
        <w:gridCol w:w="566"/>
        <w:gridCol w:w="968"/>
        <w:gridCol w:w="792"/>
        <w:gridCol w:w="851"/>
        <w:gridCol w:w="824"/>
        <w:gridCol w:w="972"/>
        <w:gridCol w:w="708"/>
        <w:gridCol w:w="1068"/>
        <w:gridCol w:w="770"/>
        <w:gridCol w:w="682"/>
        <w:gridCol w:w="817"/>
        <w:gridCol w:w="811"/>
        <w:gridCol w:w="1068"/>
      </w:tblGrid>
      <w:tr w:rsidR="00F71A16" w:rsidRPr="00E15FB4" w:rsidTr="00704EAC">
        <w:trPr>
          <w:trHeight w:hRule="exact" w:val="454"/>
        </w:trPr>
        <w:tc>
          <w:tcPr>
            <w:tcW w:w="903" w:type="dxa"/>
            <w:vMerge w:val="restart"/>
            <w:tcBorders>
              <w:top w:val="single" w:sz="12" w:space="0" w:color="000000"/>
              <w:left w:val="nil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18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Uprawa i/lub sytuacja</w:t>
            </w:r>
          </w:p>
          <w:p w:rsidR="00F71A16" w:rsidRPr="00E15FB4" w:rsidRDefault="00295829" w:rsidP="00704EAC">
            <w:pPr>
              <w:spacing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(a)</w:t>
            </w:r>
          </w:p>
        </w:tc>
        <w:tc>
          <w:tcPr>
            <w:tcW w:w="838" w:type="dxa"/>
            <w:vMerge w:val="restart"/>
            <w:tcBorders>
              <w:top w:val="single" w:sz="12" w:space="0" w:color="000000"/>
              <w:left w:val="single" w:sz="4" w:space="0" w:color="D9D9D9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Państwo członkowskie</w:t>
            </w:r>
            <w:r w:rsidRPr="00E15FB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br/>
            </w:r>
            <w:r w:rsidRPr="00E15FB4">
              <w:rPr>
                <w:rFonts w:ascii="Tahoma" w:hAnsi="Tahoma"/>
                <w:b/>
                <w:sz w:val="18"/>
              </w:rPr>
              <w:t>lub kraj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4" w:space="0" w:color="D9D9D9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18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Przykła</w:t>
            </w:r>
            <w:r w:rsidR="00704EAC">
              <w:rPr>
                <w:rFonts w:ascii="Tahoma" w:hAnsi="Tahoma"/>
                <w:b/>
                <w:sz w:val="18"/>
              </w:rPr>
              <w:softHyphen/>
            </w:r>
            <w:r w:rsidRPr="00E15FB4">
              <w:rPr>
                <w:rFonts w:ascii="Tahoma" w:hAnsi="Tahoma"/>
                <w:b/>
                <w:sz w:val="18"/>
              </w:rPr>
              <w:t>dowe nazwy produktu dostępne na rynku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4" w:space="0" w:color="D9D9D9"/>
              <w:right w:val="single" w:sz="4" w:space="0" w:color="D9D9D9"/>
            </w:tcBorders>
          </w:tcPr>
          <w:p w:rsidR="00F71A16" w:rsidRPr="00E15FB4" w:rsidRDefault="00704EAC" w:rsidP="00704EAC">
            <w:pPr>
              <w:spacing w:before="4" w:after="0" w:line="218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</w:rPr>
              <w:t>F</w:t>
            </w:r>
            <w:r>
              <w:rPr>
                <w:rFonts w:ascii="Tahoma" w:hAnsi="Tahoma"/>
                <w:b/>
                <w:sz w:val="18"/>
              </w:rPr>
              <w:br/>
            </w:r>
            <w:r w:rsidR="00295829" w:rsidRPr="00E15FB4">
              <w:rPr>
                <w:rFonts w:ascii="Tahoma" w:hAnsi="Tahoma"/>
                <w:b/>
                <w:sz w:val="18"/>
              </w:rPr>
              <w:t>G</w:t>
            </w:r>
            <w:r>
              <w:rPr>
                <w:rFonts w:ascii="Tahoma" w:hAnsi="Tahoma"/>
                <w:b/>
                <w:sz w:val="18"/>
              </w:rPr>
              <w:br/>
            </w:r>
            <w:r w:rsidR="00295829" w:rsidRPr="00E15FB4">
              <w:rPr>
                <w:rFonts w:ascii="Tahoma" w:hAnsi="Tahoma"/>
                <w:b/>
                <w:sz w:val="18"/>
              </w:rPr>
              <w:t>I</w:t>
            </w:r>
          </w:p>
          <w:p w:rsidR="00F71A16" w:rsidRPr="00E15FB4" w:rsidRDefault="00295829" w:rsidP="00704EAC">
            <w:pPr>
              <w:spacing w:before="1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(b)</w:t>
            </w:r>
          </w:p>
        </w:tc>
        <w:tc>
          <w:tcPr>
            <w:tcW w:w="968" w:type="dxa"/>
            <w:vMerge w:val="restart"/>
            <w:tcBorders>
              <w:top w:val="single" w:sz="12" w:space="0" w:color="000000"/>
              <w:left w:val="single" w:sz="4" w:space="0" w:color="D9D9D9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Zwalczane szkodniki lub grupy szkodni</w:t>
            </w:r>
            <w:r w:rsidR="00704EAC">
              <w:rPr>
                <w:rFonts w:ascii="Tahoma" w:hAnsi="Tahoma"/>
                <w:b/>
                <w:sz w:val="18"/>
              </w:rPr>
              <w:softHyphen/>
            </w:r>
            <w:r w:rsidRPr="00E15FB4">
              <w:rPr>
                <w:rFonts w:ascii="Tahoma" w:hAnsi="Tahoma"/>
                <w:b/>
                <w:sz w:val="18"/>
              </w:rPr>
              <w:t>ków</w:t>
            </w:r>
          </w:p>
          <w:p w:rsidR="00F71A16" w:rsidRPr="00E15FB4" w:rsidRDefault="00295829" w:rsidP="00704EA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(c)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A16" w:rsidRPr="00E15FB4" w:rsidRDefault="00295829" w:rsidP="00704EAC">
            <w:pPr>
              <w:spacing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Formuła</w:t>
            </w:r>
          </w:p>
        </w:tc>
        <w:tc>
          <w:tcPr>
            <w:tcW w:w="3572" w:type="dxa"/>
            <w:gridSpan w:val="4"/>
            <w:tcBorders>
              <w:top w:val="single" w:sz="12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A16" w:rsidRPr="00E15FB4" w:rsidRDefault="00295829" w:rsidP="00704EAC">
            <w:pPr>
              <w:spacing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Zastosowanie</w:t>
            </w:r>
          </w:p>
        </w:tc>
        <w:tc>
          <w:tcPr>
            <w:tcW w:w="2269" w:type="dxa"/>
            <w:gridSpan w:val="3"/>
            <w:tcBorders>
              <w:top w:val="single" w:sz="12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A16" w:rsidRPr="00E15FB4" w:rsidRDefault="00295829" w:rsidP="00743DD8">
            <w:pPr>
              <w:spacing w:before="4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Dawka stosowania na zabieg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D9D9D9"/>
              <w:right w:val="single" w:sz="4" w:space="0" w:color="D9D9D9"/>
            </w:tcBorders>
          </w:tcPr>
          <w:p w:rsidR="00F71A16" w:rsidRPr="00E15FB4" w:rsidRDefault="00295829" w:rsidP="00743DD8">
            <w:pPr>
              <w:spacing w:before="4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PHI (dni)</w:t>
            </w:r>
          </w:p>
          <w:p w:rsidR="00F71A16" w:rsidRPr="00E15FB4" w:rsidRDefault="00295829" w:rsidP="00743DD8">
            <w:pPr>
              <w:spacing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(m)</w:t>
            </w:r>
          </w:p>
        </w:tc>
        <w:tc>
          <w:tcPr>
            <w:tcW w:w="1068" w:type="dxa"/>
            <w:vMerge w:val="restart"/>
            <w:tcBorders>
              <w:top w:val="single" w:sz="12" w:space="0" w:color="000000"/>
              <w:left w:val="single" w:sz="4" w:space="0" w:color="D9D9D9"/>
              <w:right w:val="nil"/>
            </w:tcBorders>
          </w:tcPr>
          <w:p w:rsidR="00F71A16" w:rsidRPr="00E15FB4" w:rsidRDefault="00295829" w:rsidP="00743DD8">
            <w:pPr>
              <w:spacing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Uwagi</w:t>
            </w:r>
          </w:p>
        </w:tc>
      </w:tr>
      <w:tr w:rsidR="00F71A16" w:rsidRPr="00E15FB4" w:rsidTr="001E3C5A">
        <w:trPr>
          <w:trHeight w:hRule="exact" w:val="1609"/>
        </w:trPr>
        <w:tc>
          <w:tcPr>
            <w:tcW w:w="903" w:type="dxa"/>
            <w:vMerge/>
            <w:tcBorders>
              <w:left w:val="nil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838" w:type="dxa"/>
            <w:vMerge/>
            <w:tcBorders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1078" w:type="dxa"/>
            <w:vMerge/>
            <w:tcBorders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566" w:type="dxa"/>
            <w:vMerge/>
            <w:tcBorders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968" w:type="dxa"/>
            <w:vMerge/>
            <w:tcBorders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792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704EAC">
            <w:pPr>
              <w:spacing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Typ</w:t>
            </w:r>
          </w:p>
          <w:p w:rsidR="00F71A16" w:rsidRPr="00E15FB4" w:rsidRDefault="00295829" w:rsidP="00704EAC">
            <w:pPr>
              <w:spacing w:before="1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(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d-f</w:t>
            </w:r>
            <w:proofErr w:type="spellEnd"/>
            <w:r w:rsidRPr="00E15FB4">
              <w:rPr>
                <w:rFonts w:ascii="Tahoma" w:hAnsi="Tahoma"/>
                <w:b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704EAC" w:rsidRDefault="00295829" w:rsidP="00704EAC">
            <w:pPr>
              <w:spacing w:before="4" w:after="0" w:line="240" w:lineRule="auto"/>
              <w:rPr>
                <w:rFonts w:ascii="Tahoma" w:hAnsi="Tahoma"/>
                <w:b/>
                <w:sz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 xml:space="preserve">Stężenie 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skł</w:t>
            </w:r>
            <w:proofErr w:type="spellEnd"/>
            <w:r w:rsidRPr="00E15FB4">
              <w:rPr>
                <w:rFonts w:ascii="Tahoma" w:hAnsi="Tahoma"/>
                <w:b/>
                <w:sz w:val="18"/>
              </w:rPr>
              <w:t xml:space="preserve">. </w:t>
            </w:r>
            <w:proofErr w:type="gramStart"/>
            <w:r w:rsidRPr="00E15FB4">
              <w:rPr>
                <w:rFonts w:ascii="Tahoma" w:hAnsi="Tahoma"/>
                <w:b/>
                <w:sz w:val="18"/>
              </w:rPr>
              <w:t>czyn</w:t>
            </w:r>
            <w:r w:rsidR="00704EAC">
              <w:rPr>
                <w:rFonts w:ascii="Tahoma" w:hAnsi="Tahoma"/>
                <w:b/>
                <w:sz w:val="18"/>
              </w:rPr>
              <w:softHyphen/>
            </w:r>
            <w:r w:rsidRPr="00E15FB4">
              <w:rPr>
                <w:rFonts w:ascii="Tahoma" w:hAnsi="Tahoma"/>
                <w:b/>
                <w:sz w:val="18"/>
              </w:rPr>
              <w:t>nego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 xml:space="preserve"> </w:t>
            </w:r>
          </w:p>
          <w:p w:rsidR="00F71A16" w:rsidRPr="00E15FB4" w:rsidRDefault="00295829" w:rsidP="00704EAC">
            <w:pPr>
              <w:spacing w:before="4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g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/kg</w:t>
            </w:r>
          </w:p>
          <w:p w:rsidR="00F71A16" w:rsidRPr="00E15FB4" w:rsidRDefault="00295829" w:rsidP="00704EA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(i)</w:t>
            </w:r>
          </w:p>
        </w:tc>
        <w:tc>
          <w:tcPr>
            <w:tcW w:w="824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18" w:lineRule="exact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Metoda</w:t>
            </w:r>
            <w:r w:rsidRPr="00E15FB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br/>
            </w:r>
            <w:r w:rsidRPr="00E15FB4">
              <w:rPr>
                <w:rFonts w:ascii="Tahoma" w:hAnsi="Tahoma"/>
                <w:b/>
                <w:sz w:val="18"/>
              </w:rPr>
              <w:t>rodzaj</w:t>
            </w:r>
          </w:p>
          <w:p w:rsidR="00F71A16" w:rsidRPr="00E15FB4" w:rsidRDefault="00295829" w:rsidP="00704EAC">
            <w:pPr>
              <w:spacing w:after="0" w:line="210" w:lineRule="exact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(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f-h</w:t>
            </w:r>
            <w:proofErr w:type="spellEnd"/>
            <w:r w:rsidRPr="00E15FB4">
              <w:rPr>
                <w:rFonts w:ascii="Tahoma" w:hAnsi="Tahoma"/>
                <w:b/>
                <w:sz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DD20E3">
            <w:pPr>
              <w:spacing w:before="4" w:after="0" w:line="218" w:lineRule="exact"/>
              <w:ind w:left="102" w:right="132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Etap wzrostu i pora roku</w:t>
            </w:r>
          </w:p>
          <w:p w:rsidR="00F71A16" w:rsidRPr="00E15FB4" w:rsidRDefault="00295829">
            <w:pPr>
              <w:spacing w:after="0" w:line="216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(j)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DD20E3" w:rsidP="00704EAC">
            <w:pPr>
              <w:spacing w:before="4" w:after="0" w:line="218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Liczba</w:t>
            </w:r>
          </w:p>
          <w:p w:rsidR="00F71A16" w:rsidRPr="00E15FB4" w:rsidRDefault="00295829" w:rsidP="00704EAC">
            <w:pPr>
              <w:spacing w:after="0" w:line="210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min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.</w:t>
            </w:r>
          </w:p>
          <w:p w:rsidR="00F71A16" w:rsidRPr="00E15FB4" w:rsidRDefault="00295829" w:rsidP="00704EAC">
            <w:pPr>
              <w:spacing w:before="1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maks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.</w:t>
            </w:r>
          </w:p>
          <w:p w:rsidR="00F71A16" w:rsidRPr="00E15FB4" w:rsidRDefault="00295829" w:rsidP="00704EAC">
            <w:pPr>
              <w:spacing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(k)</w:t>
            </w:r>
          </w:p>
        </w:tc>
        <w:tc>
          <w:tcPr>
            <w:tcW w:w="1068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DD20E3">
            <w:pPr>
              <w:spacing w:before="4" w:after="0" w:line="218" w:lineRule="exact"/>
              <w:ind w:left="102" w:right="115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Odstęp czasu między poszcz. zastoso</w:t>
            </w:r>
            <w:r w:rsidR="00704EAC">
              <w:rPr>
                <w:rFonts w:ascii="Tahoma" w:hAnsi="Tahoma"/>
                <w:b/>
                <w:sz w:val="18"/>
              </w:rPr>
              <w:softHyphen/>
            </w:r>
            <w:r w:rsidRPr="00E15FB4">
              <w:rPr>
                <w:rFonts w:ascii="Tahoma" w:hAnsi="Tahoma"/>
                <w:b/>
                <w:sz w:val="18"/>
              </w:rPr>
              <w:t>waniami</w:t>
            </w:r>
          </w:p>
          <w:p w:rsidR="00F71A16" w:rsidRPr="00E15FB4" w:rsidRDefault="00295829">
            <w:pPr>
              <w:spacing w:after="0" w:line="216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position w:val="-1"/>
                <w:sz w:val="18"/>
              </w:rPr>
              <w:t>(min.)</w:t>
            </w:r>
          </w:p>
        </w:tc>
        <w:tc>
          <w:tcPr>
            <w:tcW w:w="770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704EAC">
            <w:pPr>
              <w:spacing w:before="4" w:after="0" w:line="218" w:lineRule="exact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kg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skł</w:t>
            </w:r>
            <w:proofErr w:type="spellEnd"/>
            <w:r w:rsidRPr="00E15FB4">
              <w:rPr>
                <w:rFonts w:ascii="Tahoma" w:hAnsi="Tahoma"/>
                <w:b/>
                <w:sz w:val="18"/>
              </w:rPr>
              <w:t xml:space="preserve">. </w:t>
            </w:r>
            <w:proofErr w:type="gramStart"/>
            <w:r w:rsidRPr="00E15FB4">
              <w:rPr>
                <w:rFonts w:ascii="Tahoma" w:hAnsi="Tahoma"/>
                <w:b/>
                <w:sz w:val="18"/>
              </w:rPr>
              <w:t>czyn</w:t>
            </w:r>
            <w:r w:rsidR="001E3C5A">
              <w:rPr>
                <w:rFonts w:ascii="Tahoma" w:hAnsi="Tahoma"/>
                <w:b/>
                <w:sz w:val="18"/>
              </w:rPr>
              <w:softHyphen/>
            </w:r>
            <w:r w:rsidRPr="00E15FB4">
              <w:rPr>
                <w:rFonts w:ascii="Tahoma" w:hAnsi="Tahoma"/>
                <w:b/>
                <w:sz w:val="18"/>
              </w:rPr>
              <w:t>nego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 xml:space="preserve"> na 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hl</w:t>
            </w:r>
            <w:proofErr w:type="spellEnd"/>
          </w:p>
          <w:p w:rsidR="00F71A16" w:rsidRPr="00E15FB4" w:rsidRDefault="00295829" w:rsidP="00704EAC">
            <w:pPr>
              <w:spacing w:after="0" w:line="210" w:lineRule="exact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min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.</w:t>
            </w:r>
          </w:p>
          <w:p w:rsidR="00F71A16" w:rsidRPr="00E15FB4" w:rsidRDefault="00295829" w:rsidP="00704EAC">
            <w:pPr>
              <w:spacing w:before="1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maks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. (kg/</w:t>
            </w:r>
            <w:proofErr w:type="spellStart"/>
            <w:r w:rsidRPr="00E15FB4">
              <w:rPr>
                <w:rFonts w:ascii="Tahoma" w:hAnsi="Tahoma"/>
                <w:b/>
                <w:sz w:val="18"/>
              </w:rPr>
              <w:t>hl</w:t>
            </w:r>
            <w:proofErr w:type="spellEnd"/>
            <w:r w:rsidRPr="00E15FB4">
              <w:rPr>
                <w:rFonts w:ascii="Tahoma" w:hAnsi="Tahoma"/>
                <w:b/>
                <w:sz w:val="18"/>
              </w:rPr>
              <w:t>)</w:t>
            </w:r>
          </w:p>
        </w:tc>
        <w:tc>
          <w:tcPr>
            <w:tcW w:w="682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1E3C5A">
            <w:pPr>
              <w:spacing w:before="4" w:after="0" w:line="218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r w:rsidRPr="00E15FB4">
              <w:rPr>
                <w:rFonts w:ascii="Tahoma" w:hAnsi="Tahoma"/>
                <w:b/>
                <w:sz w:val="18"/>
              </w:rPr>
              <w:t>Woda</w:t>
            </w:r>
          </w:p>
          <w:p w:rsidR="00F71A16" w:rsidRPr="00E15FB4" w:rsidRDefault="00295829" w:rsidP="001E3C5A">
            <w:pPr>
              <w:spacing w:after="0" w:line="210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l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/ha</w:t>
            </w:r>
          </w:p>
          <w:p w:rsidR="00F71A16" w:rsidRPr="00E15FB4" w:rsidRDefault="00295829" w:rsidP="001E3C5A">
            <w:pPr>
              <w:spacing w:before="9"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min</w:t>
            </w:r>
            <w:proofErr w:type="gramEnd"/>
            <w:r w:rsidRPr="00E15FB4">
              <w:rPr>
                <w:rFonts w:ascii="Tahoma" w:hAnsi="Tahoma"/>
                <w:b/>
                <w:sz w:val="18"/>
              </w:rPr>
              <w:t>. maks.</w:t>
            </w:r>
          </w:p>
        </w:tc>
        <w:tc>
          <w:tcPr>
            <w:tcW w:w="817" w:type="dxa"/>
            <w:tcBorders>
              <w:top w:val="single" w:sz="4" w:space="0" w:color="D9D9D9"/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295829" w:rsidP="001E3C5A">
            <w:pPr>
              <w:spacing w:after="0" w:line="216" w:lineRule="exact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position w:val="-1"/>
                <w:sz w:val="18"/>
              </w:rPr>
              <w:t>kg</w:t>
            </w:r>
            <w:proofErr w:type="gramEnd"/>
            <w:r w:rsidRPr="00E15FB4">
              <w:rPr>
                <w:rFonts w:ascii="Tahoma" w:hAnsi="Tahoma"/>
                <w:b/>
                <w:position w:val="-1"/>
                <w:sz w:val="18"/>
              </w:rPr>
              <w:t xml:space="preserve"> </w:t>
            </w:r>
            <w:proofErr w:type="spellStart"/>
            <w:r w:rsidRPr="00E15FB4">
              <w:rPr>
                <w:rFonts w:ascii="Tahoma" w:hAnsi="Tahoma"/>
                <w:b/>
                <w:position w:val="-1"/>
                <w:sz w:val="18"/>
              </w:rPr>
              <w:t>skł</w:t>
            </w:r>
            <w:proofErr w:type="spellEnd"/>
            <w:r w:rsidRPr="00E15FB4">
              <w:rPr>
                <w:rFonts w:ascii="Tahoma" w:hAnsi="Tahoma"/>
                <w:b/>
                <w:position w:val="-1"/>
                <w:sz w:val="18"/>
              </w:rPr>
              <w:t xml:space="preserve">. </w:t>
            </w:r>
            <w:proofErr w:type="gramStart"/>
            <w:r w:rsidRPr="00E15FB4">
              <w:rPr>
                <w:rFonts w:ascii="Tahoma" w:hAnsi="Tahoma"/>
                <w:b/>
                <w:position w:val="-1"/>
                <w:sz w:val="18"/>
              </w:rPr>
              <w:t>czyn</w:t>
            </w:r>
            <w:r w:rsidR="001E3C5A">
              <w:rPr>
                <w:rFonts w:ascii="Tahoma" w:hAnsi="Tahoma"/>
                <w:b/>
                <w:position w:val="-1"/>
                <w:sz w:val="18"/>
              </w:rPr>
              <w:softHyphen/>
            </w:r>
            <w:r w:rsidRPr="00E15FB4">
              <w:rPr>
                <w:rFonts w:ascii="Tahoma" w:hAnsi="Tahoma"/>
                <w:b/>
                <w:position w:val="-1"/>
                <w:sz w:val="18"/>
              </w:rPr>
              <w:t>nego</w:t>
            </w:r>
            <w:proofErr w:type="gramEnd"/>
          </w:p>
          <w:p w:rsidR="00F71A16" w:rsidRPr="00E15FB4" w:rsidRDefault="00295829" w:rsidP="001E3C5A">
            <w:pPr>
              <w:spacing w:before="1" w:after="0" w:line="240" w:lineRule="auto"/>
              <w:ind w:left="57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15FB4">
              <w:rPr>
                <w:rFonts w:ascii="Tahoma" w:hAnsi="Tahoma"/>
                <w:b/>
                <w:sz w:val="18"/>
              </w:rPr>
              <w:t>na</w:t>
            </w:r>
            <w:proofErr w:type="gramEnd"/>
            <w:r w:rsidR="001E3C5A">
              <w:rPr>
                <w:rFonts w:ascii="Tahoma" w:hAnsi="Tahoma"/>
                <w:b/>
                <w:sz w:val="18"/>
              </w:rPr>
              <w:t xml:space="preserve"> </w:t>
            </w:r>
            <w:r w:rsidRPr="00E15FB4">
              <w:rPr>
                <w:rFonts w:ascii="Tahoma" w:hAnsi="Tahoma"/>
                <w:b/>
                <w:sz w:val="18"/>
              </w:rPr>
              <w:t>100 kg nasion</w:t>
            </w:r>
          </w:p>
        </w:tc>
        <w:tc>
          <w:tcPr>
            <w:tcW w:w="811" w:type="dxa"/>
            <w:vMerge/>
            <w:tcBorders>
              <w:left w:val="single" w:sz="4" w:space="0" w:color="D9D9D9"/>
              <w:bottom w:val="single" w:sz="12" w:space="0" w:color="000000"/>
              <w:right w:val="single" w:sz="4" w:space="0" w:color="D9D9D9"/>
            </w:tcBorders>
          </w:tcPr>
          <w:p w:rsidR="00F71A16" w:rsidRPr="00E15FB4" w:rsidRDefault="00F71A16"/>
        </w:tc>
        <w:tc>
          <w:tcPr>
            <w:tcW w:w="1068" w:type="dxa"/>
            <w:vMerge/>
            <w:tcBorders>
              <w:left w:val="single" w:sz="4" w:space="0" w:color="D9D9D9"/>
              <w:bottom w:val="single" w:sz="12" w:space="0" w:color="000000"/>
              <w:right w:val="nil"/>
            </w:tcBorders>
          </w:tcPr>
          <w:p w:rsidR="00F71A16" w:rsidRPr="00E15FB4" w:rsidRDefault="00F71A16"/>
        </w:tc>
      </w:tr>
      <w:tr w:rsidR="00F71A16" w:rsidRPr="00E15FB4" w:rsidTr="001E3C5A">
        <w:trPr>
          <w:trHeight w:hRule="exact" w:val="3528"/>
        </w:trPr>
        <w:tc>
          <w:tcPr>
            <w:tcW w:w="9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1E3C5A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Nasiona pszenicy zwyczaj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 xml:space="preserve">nej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Triticum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vulgare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Triticum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aestivum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r w:rsidRPr="00E15FB4">
              <w:rPr>
                <w:rFonts w:ascii="Arial" w:hAnsi="Arial"/>
                <w:sz w:val="18"/>
              </w:rPr>
              <w:t xml:space="preserve">Pszenicy twardej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Triticum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durum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r w:rsidRPr="00E15FB4">
              <w:rPr>
                <w:rFonts w:ascii="Arial" w:hAnsi="Arial"/>
                <w:sz w:val="18"/>
              </w:rPr>
              <w:t xml:space="preserve">Pszenicy </w:t>
            </w:r>
            <w:proofErr w:type="spellStart"/>
            <w:r w:rsidRPr="00E15FB4">
              <w:rPr>
                <w:rFonts w:ascii="Arial" w:hAnsi="Arial"/>
                <w:sz w:val="18"/>
              </w:rPr>
              <w:t>orkisz</w:t>
            </w:r>
            <w:r w:rsidRPr="00E15FB4">
              <w:rPr>
                <w:rFonts w:ascii="Arial" w:hAnsi="Arial"/>
                <w:i/>
                <w:sz w:val="18"/>
              </w:rPr>
              <w:t>Triticum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spelta</w:t>
            </w:r>
            <w:proofErr w:type="spellEnd"/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Wszystkie państwa członkow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>skie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F71A16" w:rsidP="00DD20E3">
            <w:pPr>
              <w:spacing w:after="0" w:line="240" w:lineRule="auto"/>
              <w:jc w:val="center"/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1E3C5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 xml:space="preserve">grzyby takie jak śnieć pszeniczna: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Tilletia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proofErr w:type="gramStart"/>
            <w:r w:rsidRPr="00E15FB4">
              <w:rPr>
                <w:rFonts w:ascii="Arial" w:hAnsi="Arial"/>
                <w:i/>
                <w:sz w:val="18"/>
              </w:rPr>
              <w:t>caries</w:t>
            </w:r>
            <w:proofErr w:type="spell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Tilletia</w:t>
            </w:r>
            <w:proofErr w:type="spellEnd"/>
            <w:proofErr w:type="gramEnd"/>
            <w:r w:rsidRPr="00E15FB4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E15FB4">
              <w:rPr>
                <w:rFonts w:ascii="Arial" w:hAnsi="Arial"/>
                <w:i/>
                <w:sz w:val="18"/>
              </w:rPr>
              <w:t>foetida</w:t>
            </w:r>
            <w:proofErr w:type="spellEnd"/>
          </w:p>
        </w:tc>
        <w:tc>
          <w:tcPr>
            <w:tcW w:w="792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704EA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 xml:space="preserve">Proszek ulegający dyspersji w wodzie do </w:t>
            </w:r>
            <w:proofErr w:type="gramStart"/>
            <w:r w:rsidRPr="00E15FB4">
              <w:rPr>
                <w:rFonts w:ascii="Arial" w:hAnsi="Arial"/>
                <w:sz w:val="18"/>
              </w:rPr>
              <w:t>stoso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>wania jako</w:t>
            </w:r>
            <w:proofErr w:type="gramEnd"/>
            <w:r w:rsidRPr="00E15FB4">
              <w:rPr>
                <w:rFonts w:ascii="Arial" w:hAnsi="Arial"/>
                <w:sz w:val="18"/>
              </w:rPr>
              <w:t xml:space="preserve"> szlam na nasio</w:t>
            </w:r>
            <w:r w:rsidR="001E3C5A">
              <w:rPr>
                <w:rFonts w:ascii="Arial" w:hAnsi="Arial"/>
                <w:sz w:val="18"/>
              </w:rPr>
              <w:softHyphen/>
              <w:t>nach</w:t>
            </w:r>
          </w:p>
          <w:p w:rsidR="00F71A16" w:rsidRPr="00E15FB4" w:rsidRDefault="00295829" w:rsidP="00704EA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(</w:t>
            </w:r>
            <w:proofErr w:type="spellStart"/>
            <w:r w:rsidRPr="00E15FB4">
              <w:rPr>
                <w:rFonts w:ascii="Arial" w:hAnsi="Arial"/>
                <w:sz w:val="18"/>
              </w:rPr>
              <w:t>WS</w:t>
            </w:r>
            <w:proofErr w:type="spellEnd"/>
            <w:r w:rsidRPr="00E15FB4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704EA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E15FB4">
              <w:rPr>
                <w:rFonts w:ascii="Arial" w:hAnsi="Arial"/>
                <w:sz w:val="18"/>
              </w:rPr>
              <w:t>nie</w:t>
            </w:r>
            <w:proofErr w:type="gramEnd"/>
            <w:r w:rsidRPr="00E15FB4">
              <w:rPr>
                <w:rFonts w:ascii="Arial" w:hAnsi="Arial"/>
                <w:sz w:val="18"/>
              </w:rPr>
              <w:t xml:space="preserve"> dotyczy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1E3C5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Zastoso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>wanie na nasio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>nach przed obsia</w:t>
            </w:r>
            <w:r w:rsidR="001E3C5A">
              <w:rPr>
                <w:rFonts w:ascii="Arial" w:hAnsi="Arial"/>
                <w:sz w:val="18"/>
              </w:rPr>
              <w:softHyphen/>
            </w:r>
            <w:r w:rsidRPr="00E15FB4">
              <w:rPr>
                <w:rFonts w:ascii="Arial" w:hAnsi="Arial"/>
                <w:sz w:val="18"/>
              </w:rPr>
              <w:t>niem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125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Od lata do jesieni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Brak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1,5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single" w:sz="4" w:space="0" w:color="D9D9D9"/>
            </w:tcBorders>
            <w:vAlign w:val="center"/>
          </w:tcPr>
          <w:p w:rsidR="00F71A16" w:rsidRPr="00E15FB4" w:rsidRDefault="00295829" w:rsidP="00DD20E3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D9D9D9"/>
              <w:bottom w:val="single" w:sz="12" w:space="0" w:color="000000"/>
              <w:right w:val="nil"/>
            </w:tcBorders>
          </w:tcPr>
          <w:p w:rsidR="00F71A16" w:rsidRPr="00E15FB4" w:rsidRDefault="00295829" w:rsidP="001E3C5A">
            <w:pPr>
              <w:spacing w:after="0" w:line="240" w:lineRule="auto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B4">
              <w:rPr>
                <w:rFonts w:ascii="Arial" w:hAnsi="Arial"/>
                <w:sz w:val="18"/>
              </w:rPr>
              <w:t>Wymieszać</w:t>
            </w:r>
            <w:proofErr w:type="gramStart"/>
            <w:r w:rsidRPr="00E15FB4">
              <w:rPr>
                <w:rFonts w:ascii="Arial" w:hAnsi="Arial"/>
                <w:sz w:val="18"/>
              </w:rPr>
              <w:t xml:space="preserve"> 1,5 kg</w:t>
            </w:r>
            <w:proofErr w:type="gramEnd"/>
            <w:r w:rsidRPr="00E15FB4">
              <w:rPr>
                <w:rFonts w:ascii="Arial" w:hAnsi="Arial"/>
                <w:sz w:val="18"/>
              </w:rPr>
              <w:t xml:space="preserve"> nasion gorczycy w proszku z 4,5 l wody. Stworzony szlam stosować na 100 kg nasion.</w:t>
            </w:r>
          </w:p>
        </w:tc>
      </w:tr>
    </w:tbl>
    <w:p w:rsidR="001E3C5A" w:rsidRDefault="00295829" w:rsidP="001E3C5A">
      <w:pPr>
        <w:spacing w:before="3" w:after="0" w:line="240" w:lineRule="auto"/>
        <w:ind w:left="595" w:right="204"/>
        <w:rPr>
          <w:rFonts w:ascii="Tahoma" w:hAnsi="Tahoma"/>
          <w:sz w:val="16"/>
        </w:rPr>
      </w:pPr>
      <w:r w:rsidRPr="00E15FB4">
        <w:rPr>
          <w:rFonts w:ascii="Tahoma" w:hAnsi="Tahoma"/>
          <w:sz w:val="16"/>
        </w:rPr>
        <w:t xml:space="preserve">(a): W przypadku upraw należy wziąć po uwagę zarówno klasyfikację unijną, jak i klasyfikację </w:t>
      </w:r>
      <w:proofErr w:type="spellStart"/>
      <w:r w:rsidRPr="00E15FB4">
        <w:rPr>
          <w:rFonts w:ascii="Tahoma" w:hAnsi="Tahoma"/>
          <w:sz w:val="16"/>
        </w:rPr>
        <w:t>Codex</w:t>
      </w:r>
      <w:proofErr w:type="spellEnd"/>
      <w:r w:rsidRPr="00E15FB4">
        <w:rPr>
          <w:rFonts w:ascii="Tahoma" w:hAnsi="Tahoma"/>
          <w:sz w:val="16"/>
        </w:rPr>
        <w:t xml:space="preserve">; w stosowanych przypadkach należy opisać sytuację zastosowania (np. fumigacja konstrukcji). </w:t>
      </w:r>
    </w:p>
    <w:p w:rsidR="00F71A16" w:rsidRPr="00E15FB4" w:rsidRDefault="00295829" w:rsidP="001E3C5A">
      <w:pPr>
        <w:spacing w:before="3"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(b): Zastosowanie na zewnątrz lub na polu (F), zastosowanie w szklarni (G) lub zastosowanie w pomieszczeniach (I).</w:t>
      </w:r>
    </w:p>
    <w:p w:rsidR="00F71A16" w:rsidRPr="00E15FB4" w:rsidRDefault="00295829" w:rsidP="001E3C5A">
      <w:pPr>
        <w:spacing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(c): np. szkodniki gryzące i ssące, owady przenoszone przez glebą, grzyby liści, chwasty lub owady wywołujące powstanie roślin.</w:t>
      </w:r>
    </w:p>
    <w:p w:rsidR="001E3C5A" w:rsidRDefault="00295829" w:rsidP="001E3C5A">
      <w:pPr>
        <w:spacing w:before="7" w:after="0" w:line="240" w:lineRule="auto"/>
        <w:ind w:left="595" w:right="204"/>
        <w:rPr>
          <w:rFonts w:ascii="Tahoma" w:hAnsi="Tahoma"/>
          <w:sz w:val="16"/>
        </w:rPr>
      </w:pPr>
      <w:r w:rsidRPr="00E15FB4">
        <w:rPr>
          <w:rFonts w:ascii="Tahoma" w:hAnsi="Tahoma"/>
          <w:sz w:val="16"/>
        </w:rPr>
        <w:t>(d): np. proszek zawiesinowy (</w:t>
      </w:r>
      <w:proofErr w:type="spellStart"/>
      <w:r w:rsidRPr="00E15FB4">
        <w:rPr>
          <w:rFonts w:ascii="Tahoma" w:hAnsi="Tahoma"/>
          <w:sz w:val="16"/>
        </w:rPr>
        <w:t>WP</w:t>
      </w:r>
      <w:proofErr w:type="spellEnd"/>
      <w:r w:rsidRPr="00E15FB4">
        <w:rPr>
          <w:rFonts w:ascii="Tahoma" w:hAnsi="Tahoma"/>
          <w:sz w:val="16"/>
        </w:rPr>
        <w:t>), koncentrat emulgujący (</w:t>
      </w:r>
      <w:proofErr w:type="spellStart"/>
      <w:r w:rsidRPr="00E15FB4">
        <w:rPr>
          <w:rFonts w:ascii="Tahoma" w:hAnsi="Tahoma"/>
          <w:sz w:val="16"/>
        </w:rPr>
        <w:t>EC</w:t>
      </w:r>
      <w:proofErr w:type="spellEnd"/>
      <w:r w:rsidRPr="00E15FB4">
        <w:rPr>
          <w:rFonts w:ascii="Tahoma" w:hAnsi="Tahoma"/>
          <w:sz w:val="16"/>
        </w:rPr>
        <w:t>), granulat (</w:t>
      </w:r>
      <w:proofErr w:type="spellStart"/>
      <w:r w:rsidRPr="00E15FB4">
        <w:rPr>
          <w:rFonts w:ascii="Tahoma" w:hAnsi="Tahoma"/>
          <w:sz w:val="16"/>
        </w:rPr>
        <w:t>GR</w:t>
      </w:r>
      <w:proofErr w:type="spellEnd"/>
      <w:r w:rsidRPr="00E15FB4">
        <w:rPr>
          <w:rFonts w:ascii="Tahoma" w:hAnsi="Tahoma"/>
          <w:sz w:val="16"/>
        </w:rPr>
        <w:t xml:space="preserve">) itp. </w:t>
      </w:r>
    </w:p>
    <w:p w:rsidR="00F71A16" w:rsidRPr="00E15FB4" w:rsidRDefault="00295829" w:rsidP="001E3C5A">
      <w:pPr>
        <w:spacing w:before="7"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 xml:space="preserve">(e): Kody </w:t>
      </w:r>
      <w:proofErr w:type="spellStart"/>
      <w:r w:rsidRPr="00E15FB4">
        <w:rPr>
          <w:rFonts w:ascii="Tahoma" w:hAnsi="Tahoma"/>
          <w:sz w:val="16"/>
        </w:rPr>
        <w:t>GCPF</w:t>
      </w:r>
      <w:proofErr w:type="spellEnd"/>
      <w:r w:rsidRPr="00E15FB4">
        <w:rPr>
          <w:rFonts w:ascii="Tahoma" w:hAnsi="Tahoma"/>
          <w:sz w:val="16"/>
        </w:rPr>
        <w:t xml:space="preserve"> – Techniczna monografia </w:t>
      </w:r>
      <w:proofErr w:type="spellStart"/>
      <w:r w:rsidRPr="00E15FB4">
        <w:rPr>
          <w:rFonts w:ascii="Tahoma" w:hAnsi="Tahoma"/>
          <w:sz w:val="16"/>
        </w:rPr>
        <w:t>GIFAP</w:t>
      </w:r>
      <w:proofErr w:type="spellEnd"/>
      <w:r w:rsidRPr="00E15FB4">
        <w:rPr>
          <w:rFonts w:ascii="Tahoma" w:hAnsi="Tahoma"/>
          <w:sz w:val="16"/>
        </w:rPr>
        <w:t xml:space="preserve"> Nr 2, 1989.</w:t>
      </w:r>
    </w:p>
    <w:p w:rsidR="00F71A16" w:rsidRPr="00E15FB4" w:rsidRDefault="00DD20E3" w:rsidP="001E3C5A">
      <w:pPr>
        <w:spacing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(f): Należy objaśnić wszystkie stosowane skróty.</w:t>
      </w:r>
    </w:p>
    <w:p w:rsidR="00F71A16" w:rsidRPr="00E15FB4" w:rsidRDefault="00295829" w:rsidP="001E3C5A">
      <w:pPr>
        <w:spacing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position w:val="-1"/>
          <w:sz w:val="16"/>
        </w:rPr>
        <w:t>(g): Metoda, np. opryskiwanie dużą ilością środka, opryskiwanie małą ilością środka, nakładanie, posypywanie, moczenie.</w:t>
      </w:r>
    </w:p>
    <w:p w:rsidR="00F71A16" w:rsidRPr="00E15FB4" w:rsidRDefault="00295829" w:rsidP="001E3C5A">
      <w:pPr>
        <w:spacing w:before="1"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(h): Rodzaj, np. ogólne, rozpylanie, opryski, w rzędach, na poszczególnych roślinach, pomiędzy roślinami – należy podać rodzaj stosowanego sprzętu.</w:t>
      </w:r>
    </w:p>
    <w:p w:rsidR="00F71A16" w:rsidRPr="00E15FB4" w:rsidRDefault="00295829" w:rsidP="001E3C5A">
      <w:pPr>
        <w:spacing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position w:val="-1"/>
          <w:sz w:val="16"/>
        </w:rPr>
        <w:t>(i): g/kg lub g/l. Zwykle należy podać dawkę dla substancji czynnej (zgodnie z ISO).</w:t>
      </w:r>
    </w:p>
    <w:p w:rsidR="00F71A16" w:rsidRPr="00E15FB4" w:rsidRDefault="00DD20E3" w:rsidP="001E3C5A">
      <w:pPr>
        <w:spacing w:before="1"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(j): Etap wzrostu roślin podczas ostatniego zastosowania (</w:t>
      </w:r>
      <w:proofErr w:type="spellStart"/>
      <w:r w:rsidRPr="00E15FB4">
        <w:rPr>
          <w:rFonts w:ascii="Tahoma" w:hAnsi="Tahoma"/>
          <w:sz w:val="16"/>
        </w:rPr>
        <w:t>BBCH</w:t>
      </w:r>
      <w:proofErr w:type="spellEnd"/>
      <w:r w:rsidRPr="00E15FB4">
        <w:rPr>
          <w:rFonts w:ascii="Tahoma" w:hAnsi="Tahoma"/>
          <w:sz w:val="16"/>
        </w:rPr>
        <w:t xml:space="preserve"> </w:t>
      </w:r>
      <w:proofErr w:type="spellStart"/>
      <w:r w:rsidRPr="00E15FB4">
        <w:rPr>
          <w:rFonts w:ascii="Tahoma" w:hAnsi="Tahoma"/>
          <w:sz w:val="16"/>
        </w:rPr>
        <w:t>Monograph</w:t>
      </w:r>
      <w:proofErr w:type="spellEnd"/>
      <w:r w:rsidRPr="00E15FB4">
        <w:rPr>
          <w:rFonts w:ascii="Tahoma" w:hAnsi="Tahoma"/>
          <w:sz w:val="16"/>
        </w:rPr>
        <w:t xml:space="preserve">, Growth </w:t>
      </w:r>
      <w:proofErr w:type="spellStart"/>
      <w:r w:rsidRPr="00E15FB4">
        <w:rPr>
          <w:rFonts w:ascii="Tahoma" w:hAnsi="Tahoma"/>
          <w:sz w:val="16"/>
        </w:rPr>
        <w:t>Stages</w:t>
      </w:r>
      <w:proofErr w:type="spellEnd"/>
      <w:r w:rsidRPr="00E15FB4">
        <w:rPr>
          <w:rFonts w:ascii="Tahoma" w:hAnsi="Tahoma"/>
          <w:sz w:val="16"/>
        </w:rPr>
        <w:t xml:space="preserve"> of </w:t>
      </w:r>
      <w:proofErr w:type="spellStart"/>
      <w:r w:rsidRPr="00E15FB4">
        <w:rPr>
          <w:rFonts w:ascii="Tahoma" w:hAnsi="Tahoma"/>
          <w:sz w:val="16"/>
        </w:rPr>
        <w:t>Plants</w:t>
      </w:r>
      <w:proofErr w:type="spellEnd"/>
      <w:r w:rsidRPr="00E15FB4">
        <w:rPr>
          <w:rFonts w:ascii="Tahoma" w:hAnsi="Tahoma"/>
          <w:sz w:val="16"/>
        </w:rPr>
        <w:t xml:space="preserve">, 1997, </w:t>
      </w:r>
      <w:proofErr w:type="spellStart"/>
      <w:r w:rsidRPr="00E15FB4">
        <w:rPr>
          <w:rFonts w:ascii="Tahoma" w:hAnsi="Tahoma"/>
          <w:sz w:val="16"/>
        </w:rPr>
        <w:t>Blackwell</w:t>
      </w:r>
      <w:proofErr w:type="spellEnd"/>
      <w:r w:rsidRPr="00E15FB4">
        <w:rPr>
          <w:rFonts w:ascii="Tahoma" w:hAnsi="Tahoma"/>
          <w:sz w:val="16"/>
        </w:rPr>
        <w:t xml:space="preserve">. </w:t>
      </w:r>
      <w:proofErr w:type="spellStart"/>
      <w:r w:rsidRPr="00E15FB4">
        <w:rPr>
          <w:rFonts w:ascii="Tahoma" w:hAnsi="Tahoma"/>
          <w:sz w:val="16"/>
        </w:rPr>
        <w:t>ISBN</w:t>
      </w:r>
      <w:proofErr w:type="spellEnd"/>
      <w:r w:rsidRPr="00E15FB4">
        <w:rPr>
          <w:rFonts w:ascii="Tahoma" w:hAnsi="Tahoma"/>
          <w:sz w:val="16"/>
        </w:rPr>
        <w:t xml:space="preserve"> 3-8263-3152-4), w tym, w stosowanych przypadkach, pora roku podczas zastosowania.</w:t>
      </w:r>
    </w:p>
    <w:p w:rsidR="00F71A16" w:rsidRPr="00E15FB4" w:rsidRDefault="00295829" w:rsidP="001E3C5A">
      <w:pPr>
        <w:spacing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position w:val="-1"/>
          <w:sz w:val="16"/>
        </w:rPr>
        <w:t>(k): Należy podać minimalną i maksymalną liczbę możliwych zastosowań w praktycznych warunkach stosowania.</w:t>
      </w:r>
    </w:p>
    <w:p w:rsidR="00F71A16" w:rsidRPr="00E15FB4" w:rsidRDefault="00295829" w:rsidP="001E3C5A">
      <w:pPr>
        <w:spacing w:before="1" w:after="0" w:line="240" w:lineRule="auto"/>
        <w:ind w:left="595" w:right="204"/>
        <w:rPr>
          <w:rFonts w:ascii="Tahoma" w:eastAsia="Tahoma" w:hAnsi="Tahoma" w:cs="Tahoma"/>
          <w:sz w:val="16"/>
          <w:szCs w:val="16"/>
        </w:rPr>
      </w:pPr>
      <w:r w:rsidRPr="00E15FB4">
        <w:rPr>
          <w:rFonts w:ascii="Tahoma" w:hAnsi="Tahoma"/>
          <w:sz w:val="16"/>
        </w:rPr>
        <w:t>(l): Należy podać wartość w g lub kg, zależnie od tego, która jest bardziej przejrzysta (np. 200 kg/ha zamiast 200 000 g/ha lub</w:t>
      </w:r>
      <w:proofErr w:type="gramStart"/>
      <w:r w:rsidRPr="00E15FB4">
        <w:rPr>
          <w:rFonts w:ascii="Tahoma" w:hAnsi="Tahoma"/>
          <w:sz w:val="16"/>
        </w:rPr>
        <w:t xml:space="preserve"> 12,5 g</w:t>
      </w:r>
      <w:proofErr w:type="gramEnd"/>
      <w:r w:rsidRPr="00E15FB4">
        <w:rPr>
          <w:rFonts w:ascii="Tahoma" w:hAnsi="Tahoma"/>
          <w:sz w:val="16"/>
        </w:rPr>
        <w:t>/ha zamiast 0,0125 kg/ha).</w:t>
      </w:r>
    </w:p>
    <w:p w:rsidR="00F71A16" w:rsidRPr="00E15FB4" w:rsidRDefault="00295829" w:rsidP="001E3C5A">
      <w:pPr>
        <w:spacing w:after="0" w:line="240" w:lineRule="auto"/>
        <w:ind w:left="595" w:right="204"/>
        <w:rPr>
          <w:sz w:val="20"/>
          <w:szCs w:val="20"/>
        </w:rPr>
      </w:pPr>
      <w:r w:rsidRPr="00E15FB4">
        <w:rPr>
          <w:rFonts w:ascii="Tahoma" w:hAnsi="Tahoma"/>
          <w:position w:val="-1"/>
          <w:sz w:val="16"/>
        </w:rPr>
        <w:t xml:space="preserve">(m): PHI </w:t>
      </w:r>
      <w:r w:rsidR="001E3C5A">
        <w:rPr>
          <w:rFonts w:ascii="Tahoma" w:hAnsi="Tahoma"/>
          <w:position w:val="-1"/>
          <w:sz w:val="16"/>
        </w:rPr>
        <w:t>–</w:t>
      </w:r>
      <w:r w:rsidRPr="00E15FB4">
        <w:rPr>
          <w:rFonts w:ascii="Tahoma" w:hAnsi="Tahoma"/>
          <w:position w:val="-1"/>
          <w:sz w:val="16"/>
        </w:rPr>
        <w:t xml:space="preserve"> minimalny okres między zastosowaniem środka a zbiorami.</w:t>
      </w:r>
    </w:p>
    <w:p w:rsidR="00F71A16" w:rsidRPr="00E15FB4" w:rsidRDefault="00295829">
      <w:pPr>
        <w:spacing w:before="40" w:after="0" w:line="240" w:lineRule="auto"/>
        <w:ind w:left="7590" w:right="6458"/>
        <w:jc w:val="center"/>
        <w:rPr>
          <w:rFonts w:ascii="Arial" w:eastAsia="Arial" w:hAnsi="Arial" w:cs="Arial"/>
          <w:sz w:val="16"/>
          <w:szCs w:val="16"/>
        </w:rPr>
      </w:pPr>
      <w:r w:rsidRPr="00E15FB4">
        <w:rPr>
          <w:rFonts w:ascii="Arial" w:hAnsi="Arial"/>
          <w:sz w:val="16"/>
        </w:rPr>
        <w:t>6</w:t>
      </w:r>
    </w:p>
    <w:sectPr w:rsidR="00F71A16" w:rsidRPr="00E15FB4" w:rsidSect="00F71A16">
      <w:footerReference w:type="default" r:id="rId10"/>
      <w:pgSz w:w="16860" w:h="11920" w:orient="landscape"/>
      <w:pgMar w:top="1080" w:right="1440" w:bottom="280" w:left="11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A0" w:rsidRDefault="00BE6FA0" w:rsidP="00F71A16">
      <w:pPr>
        <w:spacing w:after="0" w:line="240" w:lineRule="auto"/>
      </w:pPr>
      <w:r>
        <w:separator/>
      </w:r>
    </w:p>
  </w:endnote>
  <w:endnote w:type="continuationSeparator" w:id="0">
    <w:p w:rsidR="00BE6FA0" w:rsidRDefault="00BE6FA0" w:rsidP="00F7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2593479"/>
      <w:docPartObj>
        <w:docPartGallery w:val="Page Numbers (Bottom of Page)"/>
        <w:docPartUnique/>
      </w:docPartObj>
    </w:sdtPr>
    <w:sdtContent>
      <w:p w:rsidR="00DD20E3" w:rsidRPr="005C4EA4" w:rsidRDefault="003921B5" w:rsidP="005C4EA4">
        <w:pPr>
          <w:pStyle w:val="Stopka"/>
          <w:jc w:val="center"/>
        </w:pPr>
        <w:fldSimple w:instr=" PAGE   \* MERGEFORMAT ">
          <w:r w:rsidR="00743DD8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E3" w:rsidRDefault="00DD20E3">
    <w:pPr>
      <w:spacing w:after="0"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A0" w:rsidRDefault="00BE6FA0" w:rsidP="00F71A16">
      <w:pPr>
        <w:spacing w:after="0" w:line="240" w:lineRule="auto"/>
      </w:pPr>
      <w:r>
        <w:separator/>
      </w:r>
    </w:p>
  </w:footnote>
  <w:footnote w:type="continuationSeparator" w:id="0">
    <w:p w:rsidR="00BE6FA0" w:rsidRDefault="00BE6FA0" w:rsidP="00F71A16">
      <w:pPr>
        <w:spacing w:after="0" w:line="240" w:lineRule="auto"/>
      </w:pPr>
      <w:r>
        <w:continuationSeparator/>
      </w:r>
    </w:p>
  </w:footnote>
  <w:footnote w:id="1">
    <w:p w:rsidR="00DD20E3" w:rsidRPr="001D6ED5" w:rsidRDefault="00DD20E3" w:rsidP="00E15FB4">
      <w:pPr>
        <w:pStyle w:val="Tekstprzypisudolnego"/>
        <w:ind w:left="426" w:hanging="426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Sprawozdanie sporządzone zgodnie z art. 13 rozporządzenia (WE) nr 1107/2009; nie musi ono odzwierciedlać poglądów Komisji Europejskiej.</w:t>
      </w:r>
    </w:p>
  </w:footnote>
  <w:footnote w:id="2">
    <w:p w:rsidR="00DD20E3" w:rsidRPr="001D6ED5" w:rsidRDefault="00DD20E3" w:rsidP="00E15FB4">
      <w:pPr>
        <w:pStyle w:val="Tekstprzypisudolnego"/>
        <w:ind w:left="426" w:hanging="426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Dz.U. L 309 z 24.11.2009, str. 1-50.</w:t>
      </w:r>
    </w:p>
  </w:footnote>
  <w:footnote w:id="3">
    <w:p w:rsidR="00DD20E3" w:rsidRPr="001D6ED5" w:rsidRDefault="00DD20E3" w:rsidP="00E15FB4">
      <w:pPr>
        <w:spacing w:after="0" w:line="225" w:lineRule="exact"/>
        <w:ind w:left="426" w:right="-20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Odwoanieprzypisudolnego"/>
          <w:rFonts w:ascii="Times New Roman" w:hAnsi="Times New Roman"/>
          <w:sz w:val="20"/>
        </w:rPr>
        <w:footnoteRef/>
      </w:r>
      <w:r>
        <w:tab/>
      </w:r>
      <w:proofErr w:type="spellStart"/>
      <w:r>
        <w:rPr>
          <w:rFonts w:ascii="Times New Roman" w:hAnsi="Times New Roman"/>
          <w:sz w:val="20"/>
        </w:rPr>
        <w:t>EFSA</w:t>
      </w:r>
      <w:proofErr w:type="spellEnd"/>
      <w:r>
        <w:rPr>
          <w:rFonts w:ascii="Times New Roman" w:hAnsi="Times New Roman"/>
          <w:sz w:val="20"/>
        </w:rPr>
        <w:t xml:space="preserve"> (Europejski Urząd ds. Bezpieczeństwa Żywności), 2017. Sprawozdanie techniczne dotyczące wyniku konsultacji z państwami członkowskimi i EFSA w sprawie stosowania substancji podstawowej, dotyczących stosowania nasion gorczycy w proszku pozyskanych z Sinapis alba (Brassica alba), Brassica juncea oraz Brassica nigra do ochrony roślin jako fungicyd. Publikacja dodatkowa EFSA 2017:EN-1169. 35 s. doi:10.2903/sp.efsa.2017. EN-1169.</w:t>
      </w:r>
    </w:p>
    <w:p w:rsidR="00DD20E3" w:rsidRPr="001D6ED5" w:rsidRDefault="00DD20E3" w:rsidP="00DE06DF">
      <w:pPr>
        <w:spacing w:before="7" w:after="0" w:line="230" w:lineRule="exact"/>
        <w:ind w:left="426" w:right="61" w:hanging="426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DD20E3" w:rsidRPr="001D6ED5" w:rsidRDefault="00DD20E3" w:rsidP="00DE06DF">
      <w:pPr>
        <w:pStyle w:val="Tekstprzypisudolnego"/>
        <w:ind w:left="426" w:hanging="426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Dz.U. L 295 z 14.11.2017, str. 43.</w:t>
      </w:r>
    </w:p>
  </w:footnote>
  <w:footnote w:id="5">
    <w:p w:rsidR="00DD20E3" w:rsidRPr="001D6ED5" w:rsidRDefault="00DD20E3" w:rsidP="00B94019">
      <w:pPr>
        <w:spacing w:after="0" w:line="235" w:lineRule="exact"/>
        <w:ind w:left="426" w:right="-20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  <w:rFonts w:ascii="Times New Roman" w:hAnsi="Times New Roman"/>
          <w:sz w:val="20"/>
        </w:rPr>
        <w:footnoteRef/>
      </w:r>
      <w:r>
        <w:tab/>
      </w:r>
      <w:r>
        <w:rPr>
          <w:rFonts w:ascii="Times New Roman" w:hAnsi="Times New Roman"/>
          <w:sz w:val="20"/>
        </w:rPr>
        <w:t xml:space="preserve">Dz.U. L 31 z 1.2.2002 </w:t>
      </w:r>
      <w:proofErr w:type="gramStart"/>
      <w:r>
        <w:rPr>
          <w:rFonts w:ascii="Times New Roman" w:hAnsi="Times New Roman"/>
          <w:sz w:val="20"/>
        </w:rPr>
        <w:t>str</w:t>
      </w:r>
      <w:proofErr w:type="gramEnd"/>
      <w:r>
        <w:rPr>
          <w:rFonts w:ascii="Times New Roman" w:hAnsi="Times New Roman"/>
          <w:sz w:val="20"/>
        </w:rPr>
        <w:t xml:space="preserve">. 1-24 </w:t>
      </w:r>
      <w:r w:rsidR="00E15FB4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Rozporządzenie (WE) nr 178/2002 Parlamentu Europejskiego i Rady z dnia 28 stycznia 2002 r. ustanawiające ogólne zasady i wymagania prawa żywnościowego, powołujące Europejski Urząd ds. Bezpieczeństwa Żywności oraz ustanawiające procedury w zakresie bezpieczeństwa żywności.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C6E"/>
    <w:multiLevelType w:val="hybridMultilevel"/>
    <w:tmpl w:val="32BE3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C27A5"/>
    <w:multiLevelType w:val="hybridMultilevel"/>
    <w:tmpl w:val="1FE60C98"/>
    <w:lvl w:ilvl="0" w:tplc="91169B9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1A16"/>
    <w:rsid w:val="00102516"/>
    <w:rsid w:val="001D6ED5"/>
    <w:rsid w:val="001E3C5A"/>
    <w:rsid w:val="002502FF"/>
    <w:rsid w:val="00295829"/>
    <w:rsid w:val="003921B5"/>
    <w:rsid w:val="00416827"/>
    <w:rsid w:val="00560F20"/>
    <w:rsid w:val="005C4EA4"/>
    <w:rsid w:val="006D19BE"/>
    <w:rsid w:val="00704EAC"/>
    <w:rsid w:val="00743DD8"/>
    <w:rsid w:val="008D4CF6"/>
    <w:rsid w:val="009A47FE"/>
    <w:rsid w:val="00B94019"/>
    <w:rsid w:val="00BE6FA0"/>
    <w:rsid w:val="00C82852"/>
    <w:rsid w:val="00DD20E3"/>
    <w:rsid w:val="00DE06DF"/>
    <w:rsid w:val="00E15FB4"/>
    <w:rsid w:val="00F37C54"/>
    <w:rsid w:val="00F7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6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6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6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6D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EA4"/>
  </w:style>
  <w:style w:type="paragraph" w:styleId="Stopka">
    <w:name w:val="footer"/>
    <w:basedOn w:val="Normalny"/>
    <w:link w:val="StopkaZnak"/>
    <w:uiPriority w:val="99"/>
    <w:unhideWhenUsed/>
    <w:rsid w:val="005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2FB8-D899-4145-AEA8-E872CCD2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1890</Words>
  <Characters>12191</Characters>
  <Application>Microsoft Office Word</Application>
  <DocSecurity>0</DocSecurity>
  <Lines>420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Drent</dc:creator>
  <cp:keywords>EL4</cp:keywords>
  <cp:lastModifiedBy>Sonia</cp:lastModifiedBy>
  <cp:revision>4</cp:revision>
  <dcterms:created xsi:type="dcterms:W3CDTF">2018-03-19T11:01:00Z</dcterms:created>
  <dcterms:modified xsi:type="dcterms:W3CDTF">2018-03-21T08:09:00Z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2018-03-16T00:00:00Z</vt:filetime>
  </property>
</Properties>
</file>