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86A3B" w14:textId="15A6A8BF" w:rsidR="00FF56E9" w:rsidRDefault="00FF56E9" w:rsidP="00A90B92">
      <w:pPr>
        <w:spacing w:after="0" w:line="240" w:lineRule="auto"/>
        <w:jc w:val="both"/>
        <w:rPr>
          <w:rFonts w:ascii="Times New Roman" w:eastAsia="Times New Roman" w:hAnsi="Times New Roman"/>
          <w:lang w:eastAsia="pl-PL"/>
        </w:rPr>
      </w:pPr>
      <w:r w:rsidRPr="00DA0492">
        <w:rPr>
          <w:rFonts w:ascii="Times New Roman" w:eastAsia="Times New Roman" w:hAnsi="Times New Roman"/>
          <w:lang w:eastAsia="pl-PL"/>
        </w:rPr>
        <w:t>Załącznik B.</w:t>
      </w:r>
      <w:r>
        <w:rPr>
          <w:rFonts w:ascii="Times New Roman" w:eastAsia="Times New Roman" w:hAnsi="Times New Roman"/>
          <w:lang w:eastAsia="pl-PL"/>
        </w:rPr>
        <w:t>119</w:t>
      </w:r>
      <w:r w:rsidRPr="00DA0492">
        <w:rPr>
          <w:rFonts w:ascii="Times New Roman" w:eastAsia="Times New Roman" w:hAnsi="Times New Roman"/>
          <w:lang w:eastAsia="pl-PL"/>
        </w:rPr>
        <w:t>.</w:t>
      </w:r>
    </w:p>
    <w:p w14:paraId="30334A16" w14:textId="77777777" w:rsidR="00A90B92" w:rsidRDefault="00A90B92" w:rsidP="00A90B92">
      <w:pPr>
        <w:spacing w:after="0" w:line="240" w:lineRule="auto"/>
        <w:jc w:val="both"/>
        <w:rPr>
          <w:rFonts w:ascii="Times New Roman" w:eastAsia="Times New Roman" w:hAnsi="Times New Roman"/>
          <w:lang w:eastAsia="pl-PL"/>
        </w:rPr>
      </w:pPr>
    </w:p>
    <w:p w14:paraId="36157468" w14:textId="68496444" w:rsidR="0086724E" w:rsidRPr="00A90B92" w:rsidRDefault="0086724E" w:rsidP="00A90B92">
      <w:pPr>
        <w:autoSpaceDE w:val="0"/>
        <w:autoSpaceDN w:val="0"/>
        <w:adjustRightInd w:val="0"/>
        <w:spacing w:after="240" w:line="240" w:lineRule="auto"/>
        <w:jc w:val="both"/>
        <w:rPr>
          <w:rFonts w:ascii="Times New Roman" w:eastAsia="Times New Roman" w:hAnsi="Times New Roman"/>
          <w:b/>
          <w:bCs/>
          <w:sz w:val="28"/>
          <w:szCs w:val="24"/>
          <w:lang w:eastAsia="pl-PL"/>
        </w:rPr>
      </w:pPr>
      <w:r w:rsidRPr="00A90B92">
        <w:rPr>
          <w:rFonts w:ascii="Times New Roman" w:eastAsia="Times New Roman" w:hAnsi="Times New Roman"/>
          <w:b/>
          <w:bCs/>
          <w:sz w:val="28"/>
          <w:szCs w:val="24"/>
          <w:lang w:eastAsia="pl-PL"/>
        </w:rPr>
        <w:t>LECZENIE PACJENTÓW ZE ZRÓŻNICOWANYM RAKIEM TARCZYCY (ICD-10 C 73)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1"/>
        <w:gridCol w:w="5131"/>
        <w:gridCol w:w="5128"/>
      </w:tblGrid>
      <w:tr w:rsidR="0086724E" w:rsidRPr="0065200D" w14:paraId="02B1D781" w14:textId="77777777" w:rsidTr="00DB0BA1">
        <w:trPr>
          <w:trHeight w:val="56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01F7AAB" w14:textId="77777777" w:rsidR="0086724E" w:rsidRPr="0065200D" w:rsidRDefault="0086724E" w:rsidP="00DB0BA1">
            <w:pPr>
              <w:spacing w:after="0" w:line="240" w:lineRule="auto"/>
              <w:jc w:val="center"/>
              <w:rPr>
                <w:rFonts w:ascii="Times New Roman" w:hAnsi="Times New Roman"/>
                <w:b/>
                <w:color w:val="000000"/>
                <w:sz w:val="20"/>
                <w:szCs w:val="20"/>
              </w:rPr>
            </w:pPr>
            <w:r w:rsidRPr="0065200D">
              <w:rPr>
                <w:rFonts w:ascii="Times New Roman" w:hAnsi="Times New Roman"/>
                <w:b/>
                <w:color w:val="000000"/>
                <w:sz w:val="20"/>
                <w:szCs w:val="20"/>
              </w:rPr>
              <w:t>ZAKRES ŚWIADCZENIA GWARANTOWANEGO</w:t>
            </w:r>
          </w:p>
        </w:tc>
      </w:tr>
      <w:tr w:rsidR="0086724E" w:rsidRPr="0065200D" w14:paraId="69CF03BA" w14:textId="77777777" w:rsidTr="00A90B92">
        <w:trPr>
          <w:trHeight w:val="567"/>
        </w:trPr>
        <w:tc>
          <w:tcPr>
            <w:tcW w:w="1667" w:type="pct"/>
            <w:tcBorders>
              <w:top w:val="single" w:sz="4" w:space="0" w:color="auto"/>
              <w:left w:val="single" w:sz="4" w:space="0" w:color="auto"/>
              <w:bottom w:val="single" w:sz="4" w:space="0" w:color="auto"/>
              <w:right w:val="single" w:sz="4" w:space="0" w:color="auto"/>
            </w:tcBorders>
            <w:shd w:val="clear" w:color="auto" w:fill="auto"/>
            <w:vAlign w:val="center"/>
          </w:tcPr>
          <w:p w14:paraId="7BA51A32" w14:textId="77777777" w:rsidR="0086724E" w:rsidRPr="0065200D" w:rsidRDefault="0086724E" w:rsidP="00DB0BA1">
            <w:pPr>
              <w:spacing w:after="0" w:line="240" w:lineRule="auto"/>
              <w:jc w:val="center"/>
              <w:rPr>
                <w:rFonts w:ascii="Times New Roman" w:hAnsi="Times New Roman"/>
                <w:b/>
                <w:color w:val="000000"/>
                <w:sz w:val="20"/>
                <w:szCs w:val="20"/>
              </w:rPr>
            </w:pPr>
            <w:r w:rsidRPr="0065200D">
              <w:rPr>
                <w:rFonts w:ascii="Times New Roman" w:hAnsi="Times New Roman"/>
                <w:b/>
                <w:color w:val="000000"/>
                <w:sz w:val="20"/>
                <w:szCs w:val="20"/>
              </w:rPr>
              <w:t>ŚWIADCZENIOBIORCY</w:t>
            </w:r>
          </w:p>
        </w:tc>
        <w:tc>
          <w:tcPr>
            <w:tcW w:w="1667" w:type="pct"/>
            <w:tcBorders>
              <w:top w:val="single" w:sz="4" w:space="0" w:color="auto"/>
              <w:left w:val="single" w:sz="4" w:space="0" w:color="auto"/>
              <w:bottom w:val="single" w:sz="4" w:space="0" w:color="auto"/>
              <w:right w:val="single" w:sz="4" w:space="0" w:color="auto"/>
            </w:tcBorders>
            <w:shd w:val="clear" w:color="auto" w:fill="auto"/>
            <w:vAlign w:val="center"/>
          </w:tcPr>
          <w:p w14:paraId="07EAE210" w14:textId="77777777" w:rsidR="0086724E" w:rsidRPr="0065200D" w:rsidRDefault="0086724E" w:rsidP="00DB0BA1">
            <w:pPr>
              <w:spacing w:after="0" w:line="240" w:lineRule="auto"/>
              <w:jc w:val="center"/>
              <w:rPr>
                <w:rFonts w:ascii="Times New Roman" w:hAnsi="Times New Roman"/>
                <w:b/>
                <w:color w:val="000000"/>
                <w:sz w:val="20"/>
                <w:szCs w:val="20"/>
              </w:rPr>
            </w:pPr>
            <w:r w:rsidRPr="0065200D">
              <w:rPr>
                <w:rFonts w:ascii="Times New Roman" w:hAnsi="Times New Roman"/>
                <w:b/>
                <w:color w:val="000000"/>
                <w:sz w:val="20"/>
                <w:szCs w:val="20"/>
              </w:rPr>
              <w:t xml:space="preserve">SCHEMAT DAWKOWANIA LEKÓW </w:t>
            </w:r>
            <w:r w:rsidRPr="0065200D">
              <w:rPr>
                <w:rFonts w:ascii="Times New Roman" w:hAnsi="Times New Roman"/>
                <w:b/>
                <w:color w:val="000000"/>
                <w:sz w:val="20"/>
                <w:szCs w:val="20"/>
              </w:rPr>
              <w:br/>
              <w:t>W PROGRAMIE</w:t>
            </w:r>
          </w:p>
        </w:tc>
        <w:tc>
          <w:tcPr>
            <w:tcW w:w="1667" w:type="pct"/>
            <w:tcBorders>
              <w:top w:val="single" w:sz="4" w:space="0" w:color="auto"/>
              <w:left w:val="single" w:sz="4" w:space="0" w:color="auto"/>
              <w:bottom w:val="single" w:sz="4" w:space="0" w:color="auto"/>
              <w:right w:val="single" w:sz="4" w:space="0" w:color="auto"/>
            </w:tcBorders>
            <w:shd w:val="clear" w:color="auto" w:fill="auto"/>
            <w:vAlign w:val="center"/>
          </w:tcPr>
          <w:p w14:paraId="58EF2799" w14:textId="77777777" w:rsidR="0086724E" w:rsidRPr="0065200D" w:rsidRDefault="0086724E" w:rsidP="00DB0BA1">
            <w:pPr>
              <w:spacing w:after="0" w:line="240" w:lineRule="auto"/>
              <w:jc w:val="center"/>
              <w:rPr>
                <w:rFonts w:ascii="Times New Roman" w:hAnsi="Times New Roman"/>
                <w:b/>
                <w:color w:val="000000"/>
                <w:sz w:val="20"/>
                <w:szCs w:val="20"/>
              </w:rPr>
            </w:pPr>
            <w:r w:rsidRPr="0065200D">
              <w:rPr>
                <w:rFonts w:ascii="Times New Roman" w:hAnsi="Times New Roman"/>
                <w:b/>
                <w:color w:val="000000"/>
                <w:sz w:val="20"/>
                <w:szCs w:val="20"/>
              </w:rPr>
              <w:t xml:space="preserve">BADANIA DIAGNOSTYCZNE WYKONYWANE </w:t>
            </w:r>
            <w:r w:rsidRPr="0065200D">
              <w:rPr>
                <w:rFonts w:ascii="Times New Roman" w:hAnsi="Times New Roman"/>
                <w:b/>
                <w:color w:val="000000"/>
                <w:sz w:val="20"/>
                <w:szCs w:val="20"/>
              </w:rPr>
              <w:br/>
              <w:t>W RAMACH PROGRAMU</w:t>
            </w:r>
          </w:p>
        </w:tc>
      </w:tr>
      <w:tr w:rsidR="0086724E" w:rsidRPr="004F5F51" w14:paraId="0110A9D9" w14:textId="77777777" w:rsidTr="00A90B92">
        <w:trPr>
          <w:trHeight w:val="20"/>
        </w:trPr>
        <w:tc>
          <w:tcPr>
            <w:tcW w:w="1667" w:type="pct"/>
            <w:tcBorders>
              <w:top w:val="single" w:sz="4" w:space="0" w:color="auto"/>
              <w:left w:val="single" w:sz="4" w:space="0" w:color="auto"/>
              <w:bottom w:val="single" w:sz="4" w:space="0" w:color="auto"/>
              <w:right w:val="single" w:sz="4" w:space="0" w:color="auto"/>
            </w:tcBorders>
            <w:shd w:val="clear" w:color="auto" w:fill="auto"/>
          </w:tcPr>
          <w:p w14:paraId="7E6B4148" w14:textId="77777777" w:rsidR="0086724E" w:rsidRPr="00A90B92" w:rsidRDefault="0086724E" w:rsidP="00A90B92">
            <w:pPr>
              <w:pStyle w:val="Akapitzlist"/>
              <w:numPr>
                <w:ilvl w:val="0"/>
                <w:numId w:val="11"/>
              </w:numPr>
              <w:autoSpaceDE w:val="0"/>
              <w:autoSpaceDN w:val="0"/>
              <w:adjustRightInd w:val="0"/>
              <w:spacing w:after="60"/>
              <w:ind w:left="227" w:hanging="227"/>
              <w:contextualSpacing w:val="0"/>
              <w:jc w:val="both"/>
              <w:rPr>
                <w:rFonts w:ascii="Times New Roman" w:eastAsia="Times New Roman" w:hAnsi="Times New Roman"/>
                <w:b/>
                <w:bCs/>
                <w:sz w:val="20"/>
                <w:szCs w:val="20"/>
                <w:lang w:eastAsia="pl-PL"/>
              </w:rPr>
            </w:pPr>
            <w:r w:rsidRPr="00A90B92">
              <w:rPr>
                <w:rFonts w:ascii="Times New Roman" w:eastAsia="Times New Roman" w:hAnsi="Times New Roman"/>
                <w:b/>
                <w:bCs/>
                <w:sz w:val="20"/>
                <w:szCs w:val="20"/>
                <w:lang w:eastAsia="pl-PL"/>
              </w:rPr>
              <w:t>Kryteria kwalifikacji</w:t>
            </w:r>
          </w:p>
          <w:p w14:paraId="685603F7" w14:textId="77777777" w:rsidR="0086724E" w:rsidRPr="00A90B92" w:rsidRDefault="0086724E" w:rsidP="00A90B92">
            <w:pPr>
              <w:pStyle w:val="Akapitzlist"/>
              <w:numPr>
                <w:ilvl w:val="2"/>
                <w:numId w:val="4"/>
              </w:numPr>
              <w:autoSpaceDE w:val="0"/>
              <w:autoSpaceDN w:val="0"/>
              <w:adjustRightInd w:val="0"/>
              <w:spacing w:after="60"/>
              <w:ind w:left="454"/>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 xml:space="preserve">histologiczne rozpoznanie zróżnicowanego raka tarczycy, tj. brodawkowatego, pęcherzykowego lub </w:t>
            </w:r>
            <w:proofErr w:type="spellStart"/>
            <w:r w:rsidRPr="00A90B92">
              <w:rPr>
                <w:rFonts w:ascii="Times New Roman" w:eastAsia="Times New Roman" w:hAnsi="Times New Roman"/>
                <w:color w:val="000000"/>
                <w:sz w:val="20"/>
                <w:szCs w:val="20"/>
                <w:lang w:eastAsia="pl-PL"/>
              </w:rPr>
              <w:t>onkocytarnego</w:t>
            </w:r>
            <w:proofErr w:type="spellEnd"/>
            <w:r w:rsidRPr="00A90B92">
              <w:rPr>
                <w:rFonts w:ascii="Times New Roman" w:eastAsia="Times New Roman" w:hAnsi="Times New Roman"/>
                <w:color w:val="000000"/>
                <w:sz w:val="20"/>
                <w:szCs w:val="20"/>
                <w:lang w:eastAsia="pl-PL"/>
              </w:rPr>
              <w:t>;</w:t>
            </w:r>
          </w:p>
          <w:p w14:paraId="46E31371" w14:textId="1885A7E0" w:rsidR="0086724E" w:rsidRPr="00A90B92" w:rsidRDefault="0086724E" w:rsidP="00A90B92">
            <w:pPr>
              <w:pStyle w:val="Akapitzlist"/>
              <w:numPr>
                <w:ilvl w:val="2"/>
                <w:numId w:val="4"/>
              </w:numPr>
              <w:autoSpaceDE w:val="0"/>
              <w:autoSpaceDN w:val="0"/>
              <w:adjustRightInd w:val="0"/>
              <w:spacing w:after="60"/>
              <w:ind w:left="454"/>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wiek powyżej 18 roku życia;</w:t>
            </w:r>
          </w:p>
          <w:p w14:paraId="5A85EB47" w14:textId="77BC38DA" w:rsidR="0086724E" w:rsidRPr="00A90B92" w:rsidRDefault="0086724E" w:rsidP="00A90B92">
            <w:pPr>
              <w:pStyle w:val="Akapitzlist"/>
              <w:numPr>
                <w:ilvl w:val="2"/>
                <w:numId w:val="4"/>
              </w:numPr>
              <w:autoSpaceDE w:val="0"/>
              <w:autoSpaceDN w:val="0"/>
              <w:adjustRightInd w:val="0"/>
              <w:spacing w:after="60"/>
              <w:ind w:left="454"/>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 xml:space="preserve">nowotwór w stadium zaawansowanym (miejscowy nawrót, wznowa lub przerzuty odległe), który nie kwalifikuje się do leczenia miejscowego z opornością na jod promieniotwórczy (udokumentowana nieskuteczność leczenia radioaktywnym jodem rozumiana jako obecność co najmniej jednej zmiany nie wychwytującej jodu lub progresji pomimo wychwytu jodu lub wyczerpanie łącznej kumulatywnej dawki jodu wynoszącej co najmniej 600 </w:t>
            </w:r>
            <w:proofErr w:type="spellStart"/>
            <w:r w:rsidRPr="00A90B92">
              <w:rPr>
                <w:rFonts w:ascii="Times New Roman" w:eastAsia="Times New Roman" w:hAnsi="Times New Roman"/>
                <w:color w:val="000000"/>
                <w:sz w:val="20"/>
                <w:szCs w:val="20"/>
                <w:lang w:eastAsia="pl-PL"/>
              </w:rPr>
              <w:t>mCi</w:t>
            </w:r>
            <w:proofErr w:type="spellEnd"/>
            <w:r w:rsidRPr="00A90B92">
              <w:rPr>
                <w:rFonts w:ascii="Times New Roman" w:eastAsia="Times New Roman" w:hAnsi="Times New Roman"/>
                <w:color w:val="000000"/>
                <w:sz w:val="20"/>
                <w:szCs w:val="20"/>
                <w:lang w:eastAsia="pl-PL"/>
              </w:rPr>
              <w:t>) lub niekwalifikujący się do tej terapii;</w:t>
            </w:r>
          </w:p>
          <w:p w14:paraId="0ADE0640" w14:textId="3A184574" w:rsidR="0086724E" w:rsidRPr="00A90B92" w:rsidRDefault="0086724E" w:rsidP="00A90B92">
            <w:pPr>
              <w:pStyle w:val="Akapitzlist"/>
              <w:numPr>
                <w:ilvl w:val="2"/>
                <w:numId w:val="4"/>
              </w:numPr>
              <w:autoSpaceDE w:val="0"/>
              <w:autoSpaceDN w:val="0"/>
              <w:adjustRightInd w:val="0"/>
              <w:spacing w:after="60"/>
              <w:ind w:left="454"/>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progresją choroby w okresie do 14 miesięcy przed włączeniem do programu;</w:t>
            </w:r>
          </w:p>
          <w:p w14:paraId="62564FA2" w14:textId="1875BC0F" w:rsidR="0086724E" w:rsidRPr="00A90B92" w:rsidRDefault="0086724E" w:rsidP="00A90B92">
            <w:pPr>
              <w:pStyle w:val="Akapitzlist"/>
              <w:numPr>
                <w:ilvl w:val="2"/>
                <w:numId w:val="4"/>
              </w:numPr>
              <w:autoSpaceDE w:val="0"/>
              <w:autoSpaceDN w:val="0"/>
              <w:adjustRightInd w:val="0"/>
              <w:spacing w:after="60"/>
              <w:ind w:left="454"/>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stan sprawności ogólnej w stopniach 0-2 według klasyfikacji ECOG;</w:t>
            </w:r>
          </w:p>
          <w:p w14:paraId="106DA16F" w14:textId="496729D9" w:rsidR="0086724E" w:rsidRPr="00A90B92" w:rsidRDefault="0086724E" w:rsidP="00A90B92">
            <w:pPr>
              <w:pStyle w:val="Akapitzlist"/>
              <w:numPr>
                <w:ilvl w:val="2"/>
                <w:numId w:val="4"/>
              </w:numPr>
              <w:autoSpaceDE w:val="0"/>
              <w:autoSpaceDN w:val="0"/>
              <w:adjustRightInd w:val="0"/>
              <w:spacing w:after="60"/>
              <w:ind w:left="454"/>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zmiany nowotworowe możliwe do obiektywnej oceny w badaniach obrazowych według klasyfikacji RECIST;</w:t>
            </w:r>
          </w:p>
          <w:p w14:paraId="58D6C875" w14:textId="77777777" w:rsidR="0086724E" w:rsidRPr="00A90B92" w:rsidRDefault="0086724E" w:rsidP="00A90B92">
            <w:pPr>
              <w:pStyle w:val="Akapitzlist"/>
              <w:numPr>
                <w:ilvl w:val="2"/>
                <w:numId w:val="4"/>
              </w:numPr>
              <w:autoSpaceDE w:val="0"/>
              <w:autoSpaceDN w:val="0"/>
              <w:adjustRightInd w:val="0"/>
              <w:spacing w:after="60"/>
              <w:ind w:left="454"/>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 xml:space="preserve">nieobecność przerzutów w ośrodkowym układzie nerwowym (dopuszczalne wcześniejsze wycięcie </w:t>
            </w:r>
            <w:r w:rsidRPr="00A90B92">
              <w:rPr>
                <w:rFonts w:ascii="Times New Roman" w:eastAsia="Times New Roman" w:hAnsi="Times New Roman"/>
                <w:color w:val="000000"/>
                <w:sz w:val="20"/>
                <w:szCs w:val="20"/>
                <w:lang w:eastAsia="pl-PL"/>
              </w:rPr>
              <w:lastRenderedPageBreak/>
              <w:t>przerzutów lub radioterapia, o ile po leczeniu utrzymuje się stan bezobjawowy);</w:t>
            </w:r>
          </w:p>
          <w:p w14:paraId="42D525FE" w14:textId="77777777" w:rsidR="0086724E" w:rsidRPr="00A90B92" w:rsidRDefault="0086724E" w:rsidP="00A90B92">
            <w:pPr>
              <w:pStyle w:val="Akapitzlist"/>
              <w:numPr>
                <w:ilvl w:val="2"/>
                <w:numId w:val="4"/>
              </w:numPr>
              <w:autoSpaceDE w:val="0"/>
              <w:autoSpaceDN w:val="0"/>
              <w:adjustRightInd w:val="0"/>
              <w:spacing w:after="60"/>
              <w:ind w:left="454"/>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wykluczenie współwystępowania innych nowotworów złośliwych niekontrolowanych leczeniem;</w:t>
            </w:r>
          </w:p>
          <w:p w14:paraId="061F53EC" w14:textId="77777777" w:rsidR="0086724E" w:rsidRPr="00A90B92" w:rsidRDefault="0086724E" w:rsidP="00A90B92">
            <w:pPr>
              <w:pStyle w:val="Akapitzlist"/>
              <w:numPr>
                <w:ilvl w:val="2"/>
                <w:numId w:val="4"/>
              </w:numPr>
              <w:autoSpaceDE w:val="0"/>
              <w:autoSpaceDN w:val="0"/>
              <w:adjustRightInd w:val="0"/>
              <w:spacing w:after="60"/>
              <w:ind w:left="454"/>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adekwatna wydolność narządowa określona na podstawie wyników badań laboratoryjnych krwi zgodnie z zapisami aktualnej ChPL;</w:t>
            </w:r>
          </w:p>
          <w:p w14:paraId="7AE3459E" w14:textId="77777777" w:rsidR="0086724E" w:rsidRPr="00A90B92" w:rsidRDefault="0086724E" w:rsidP="00A90B92">
            <w:pPr>
              <w:pStyle w:val="Akapitzlist"/>
              <w:numPr>
                <w:ilvl w:val="2"/>
                <w:numId w:val="4"/>
              </w:numPr>
              <w:autoSpaceDE w:val="0"/>
              <w:autoSpaceDN w:val="0"/>
              <w:adjustRightInd w:val="0"/>
              <w:spacing w:after="60"/>
              <w:ind w:left="454"/>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wykluczenie ciąży i okresu karmienia piersią;</w:t>
            </w:r>
          </w:p>
          <w:p w14:paraId="4F9A1F00" w14:textId="68D2EEDD" w:rsidR="0086724E" w:rsidRPr="003E7055" w:rsidRDefault="0086724E" w:rsidP="00A90B92">
            <w:pPr>
              <w:pStyle w:val="Akapitzlist"/>
              <w:numPr>
                <w:ilvl w:val="2"/>
                <w:numId w:val="4"/>
              </w:numPr>
              <w:autoSpaceDE w:val="0"/>
              <w:autoSpaceDN w:val="0"/>
              <w:adjustRightInd w:val="0"/>
              <w:spacing w:after="60"/>
              <w:ind w:left="454"/>
              <w:contextualSpacing w:val="0"/>
              <w:jc w:val="both"/>
              <w:rPr>
                <w:rFonts w:ascii="Times New Roman" w:hAnsi="Times New Roman"/>
                <w:sz w:val="20"/>
                <w:szCs w:val="20"/>
              </w:rPr>
            </w:pPr>
            <w:r w:rsidRPr="00A90B92">
              <w:rPr>
                <w:rFonts w:ascii="Times New Roman" w:eastAsia="Times New Roman" w:hAnsi="Times New Roman"/>
                <w:color w:val="000000"/>
                <w:sz w:val="20"/>
                <w:szCs w:val="20"/>
                <w:lang w:eastAsia="pl-PL"/>
              </w:rPr>
              <w:t>niewystępowanie stanów klinicznych, które w opinii lekarza prowadzącego uniemożliwiają włączenie terapii.</w:t>
            </w:r>
          </w:p>
          <w:p w14:paraId="576B81E8" w14:textId="77777777" w:rsidR="009E5E7E" w:rsidRPr="003E7055" w:rsidRDefault="009E5E7E" w:rsidP="00A90B92">
            <w:pPr>
              <w:spacing w:before="60" w:after="60"/>
              <w:jc w:val="both"/>
              <w:rPr>
                <w:rFonts w:ascii="Times New Roman" w:hAnsi="Times New Roman"/>
                <w:sz w:val="20"/>
                <w:szCs w:val="20"/>
              </w:rPr>
            </w:pPr>
          </w:p>
          <w:p w14:paraId="0B056EED" w14:textId="62D318CE" w:rsidR="0086724E" w:rsidRPr="003E7055" w:rsidRDefault="009E5E7E" w:rsidP="00A90B92">
            <w:pPr>
              <w:spacing w:before="60" w:after="60"/>
              <w:jc w:val="both"/>
              <w:rPr>
                <w:rFonts w:ascii="Times New Roman" w:hAnsi="Times New Roman"/>
                <w:sz w:val="20"/>
                <w:szCs w:val="20"/>
              </w:rPr>
            </w:pPr>
            <w:r w:rsidRPr="003E7055">
              <w:rPr>
                <w:rFonts w:ascii="Times New Roman" w:hAnsi="Times New Roman"/>
                <w:sz w:val="20"/>
                <w:szCs w:val="20"/>
              </w:rPr>
              <w:t>Powyższe kryteria kwalifikacji muszą być spełnione łącznie.</w:t>
            </w:r>
          </w:p>
          <w:p w14:paraId="51B689D9" w14:textId="77777777" w:rsidR="009E5E7E" w:rsidRPr="003E7055" w:rsidRDefault="009E5E7E" w:rsidP="00A90B92">
            <w:pPr>
              <w:spacing w:before="60" w:after="60"/>
              <w:jc w:val="both"/>
              <w:rPr>
                <w:rFonts w:ascii="Times New Roman" w:hAnsi="Times New Roman"/>
                <w:sz w:val="20"/>
                <w:szCs w:val="20"/>
              </w:rPr>
            </w:pPr>
          </w:p>
          <w:p w14:paraId="622CF0D6" w14:textId="298DE065" w:rsidR="0086724E" w:rsidRPr="003E7055" w:rsidRDefault="009E5E7E" w:rsidP="00A90B92">
            <w:pPr>
              <w:autoSpaceDE w:val="0"/>
              <w:autoSpaceDN w:val="0"/>
              <w:adjustRightInd w:val="0"/>
              <w:spacing w:before="60" w:after="60"/>
              <w:jc w:val="both"/>
              <w:rPr>
                <w:rFonts w:ascii="Times New Roman" w:hAnsi="Times New Roman"/>
                <w:sz w:val="20"/>
                <w:szCs w:val="20"/>
              </w:rPr>
            </w:pPr>
            <w:r w:rsidRPr="003E7055">
              <w:rPr>
                <w:rFonts w:ascii="Times New Roman" w:hAnsi="Times New Roman"/>
                <w:sz w:val="20"/>
                <w:szCs w:val="20"/>
              </w:rPr>
              <w:t>Ponadto do programu lekowego kwalifikowani są również pacjenci wymagający kontynuacji leczenia, którzy byli leczeni substancją czynną finansowaną w programie lekowym w ramach innego sposobu finansowania terapii (za wyjątkiem trwających badań klinicznych tego leku), pod warunkiem, że w chwili rozpoczęcia leczenia spełniali kryteria kwalifikacji do programu lekowego.</w:t>
            </w:r>
          </w:p>
          <w:p w14:paraId="42E65231" w14:textId="77777777" w:rsidR="009E5E7E" w:rsidRPr="003E7055" w:rsidRDefault="009E5E7E" w:rsidP="00A90B92">
            <w:pPr>
              <w:autoSpaceDE w:val="0"/>
              <w:autoSpaceDN w:val="0"/>
              <w:adjustRightInd w:val="0"/>
              <w:spacing w:before="60" w:after="60"/>
              <w:jc w:val="both"/>
              <w:rPr>
                <w:rFonts w:ascii="Times New Roman" w:eastAsia="Times New Roman" w:hAnsi="Times New Roman"/>
                <w:sz w:val="20"/>
                <w:szCs w:val="20"/>
                <w:lang w:eastAsia="pl-PL"/>
              </w:rPr>
            </w:pPr>
          </w:p>
          <w:p w14:paraId="71202A31" w14:textId="77777777" w:rsidR="0086724E" w:rsidRPr="00A90B92" w:rsidRDefault="0086724E" w:rsidP="00CA6621">
            <w:pPr>
              <w:pStyle w:val="Akapitzlist"/>
              <w:numPr>
                <w:ilvl w:val="0"/>
                <w:numId w:val="11"/>
              </w:numPr>
              <w:autoSpaceDE w:val="0"/>
              <w:autoSpaceDN w:val="0"/>
              <w:adjustRightInd w:val="0"/>
              <w:spacing w:after="60"/>
              <w:ind w:left="227" w:hanging="227"/>
              <w:contextualSpacing w:val="0"/>
              <w:jc w:val="both"/>
              <w:rPr>
                <w:rFonts w:ascii="Times New Roman" w:eastAsia="Times New Roman" w:hAnsi="Times New Roman"/>
                <w:b/>
                <w:bCs/>
                <w:sz w:val="20"/>
                <w:szCs w:val="20"/>
                <w:lang w:eastAsia="pl-PL"/>
              </w:rPr>
            </w:pPr>
            <w:r w:rsidRPr="00A90B92">
              <w:rPr>
                <w:rFonts w:ascii="Times New Roman" w:eastAsia="Times New Roman" w:hAnsi="Times New Roman"/>
                <w:b/>
                <w:bCs/>
                <w:sz w:val="20"/>
                <w:szCs w:val="20"/>
                <w:lang w:eastAsia="pl-PL"/>
              </w:rPr>
              <w:t xml:space="preserve">Określenie czasu leczenia w programie </w:t>
            </w:r>
          </w:p>
          <w:p w14:paraId="79FF7B94" w14:textId="77777777" w:rsidR="0086724E" w:rsidRPr="003E7055" w:rsidRDefault="0086724E" w:rsidP="00A90B92">
            <w:pPr>
              <w:autoSpaceDE w:val="0"/>
              <w:autoSpaceDN w:val="0"/>
              <w:adjustRightInd w:val="0"/>
              <w:spacing w:before="60" w:after="60"/>
              <w:jc w:val="both"/>
              <w:rPr>
                <w:rFonts w:ascii="Times New Roman" w:eastAsia="Times New Roman" w:hAnsi="Times New Roman"/>
                <w:bCs/>
                <w:sz w:val="20"/>
                <w:szCs w:val="20"/>
                <w:lang w:eastAsia="pl-PL"/>
              </w:rPr>
            </w:pPr>
            <w:r w:rsidRPr="003E7055">
              <w:rPr>
                <w:rFonts w:ascii="Times New Roman" w:eastAsia="Times New Roman" w:hAnsi="Times New Roman"/>
                <w:bCs/>
                <w:sz w:val="20"/>
                <w:szCs w:val="20"/>
                <w:lang w:eastAsia="pl-PL"/>
              </w:rPr>
              <w:t>Leczenie trwa do czasu podjęcia przez lekarza prowadzącego decyzji o wyłączeniu świadczeniobiorcy z programu, zgodnie z kryteriami wyłączenia.</w:t>
            </w:r>
          </w:p>
          <w:p w14:paraId="5934DE9D" w14:textId="77777777" w:rsidR="0086724E" w:rsidRPr="003E7055" w:rsidRDefault="0086724E" w:rsidP="00A90B92">
            <w:pPr>
              <w:autoSpaceDE w:val="0"/>
              <w:autoSpaceDN w:val="0"/>
              <w:adjustRightInd w:val="0"/>
              <w:spacing w:before="60" w:after="60"/>
              <w:jc w:val="both"/>
              <w:rPr>
                <w:rFonts w:ascii="Times New Roman" w:hAnsi="Times New Roman"/>
                <w:b/>
                <w:bCs/>
                <w:sz w:val="20"/>
                <w:szCs w:val="20"/>
                <w:lang w:eastAsia="pl-PL"/>
              </w:rPr>
            </w:pPr>
          </w:p>
          <w:p w14:paraId="5C4D24FE" w14:textId="77777777" w:rsidR="0086724E" w:rsidRPr="00A90B92" w:rsidRDefault="0086724E" w:rsidP="00A90B92">
            <w:pPr>
              <w:pStyle w:val="Akapitzlist"/>
              <w:numPr>
                <w:ilvl w:val="0"/>
                <w:numId w:val="11"/>
              </w:numPr>
              <w:autoSpaceDE w:val="0"/>
              <w:autoSpaceDN w:val="0"/>
              <w:adjustRightInd w:val="0"/>
              <w:spacing w:after="60"/>
              <w:ind w:left="227" w:hanging="227"/>
              <w:contextualSpacing w:val="0"/>
              <w:jc w:val="both"/>
              <w:rPr>
                <w:rFonts w:ascii="Times New Roman" w:eastAsia="Times New Roman" w:hAnsi="Times New Roman"/>
                <w:b/>
                <w:bCs/>
                <w:sz w:val="20"/>
                <w:szCs w:val="20"/>
                <w:lang w:eastAsia="pl-PL"/>
              </w:rPr>
            </w:pPr>
            <w:r w:rsidRPr="00A90B92">
              <w:rPr>
                <w:rFonts w:ascii="Times New Roman" w:eastAsia="Times New Roman" w:hAnsi="Times New Roman"/>
                <w:b/>
                <w:bCs/>
                <w:sz w:val="20"/>
                <w:szCs w:val="20"/>
                <w:lang w:eastAsia="pl-PL"/>
              </w:rPr>
              <w:t>Kryteria wyłączenia</w:t>
            </w:r>
          </w:p>
          <w:p w14:paraId="16911D10" w14:textId="77777777" w:rsidR="0086724E" w:rsidRPr="00A90B92" w:rsidRDefault="0086724E" w:rsidP="00A90B92">
            <w:pPr>
              <w:pStyle w:val="Akapitzlist"/>
              <w:numPr>
                <w:ilvl w:val="2"/>
                <w:numId w:val="14"/>
              </w:numPr>
              <w:autoSpaceDE w:val="0"/>
              <w:autoSpaceDN w:val="0"/>
              <w:adjustRightInd w:val="0"/>
              <w:spacing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 xml:space="preserve">udokumentowana progresja w trakcie stosowania leku; </w:t>
            </w:r>
          </w:p>
          <w:p w14:paraId="29834F7D" w14:textId="77777777" w:rsidR="0086724E" w:rsidRPr="00A90B92" w:rsidRDefault="0086724E" w:rsidP="00A90B92">
            <w:pPr>
              <w:pStyle w:val="Akapitzlist"/>
              <w:numPr>
                <w:ilvl w:val="2"/>
                <w:numId w:val="14"/>
              </w:numPr>
              <w:autoSpaceDE w:val="0"/>
              <w:autoSpaceDN w:val="0"/>
              <w:adjustRightInd w:val="0"/>
              <w:spacing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lastRenderedPageBreak/>
              <w:t>wystąpienie nadwrażliwości na lek lub substancję pomocniczą uniemożliwiające kontynuację leczenia;</w:t>
            </w:r>
          </w:p>
          <w:p w14:paraId="2D8D3DE9" w14:textId="77777777" w:rsidR="0086724E" w:rsidRPr="00A90B92" w:rsidRDefault="0086724E" w:rsidP="00A90B92">
            <w:pPr>
              <w:pStyle w:val="Akapitzlist"/>
              <w:numPr>
                <w:ilvl w:val="2"/>
                <w:numId w:val="14"/>
              </w:numPr>
              <w:autoSpaceDE w:val="0"/>
              <w:autoSpaceDN w:val="0"/>
              <w:adjustRightInd w:val="0"/>
              <w:spacing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 xml:space="preserve">nawracająca lub nieakceptowalna toksyczność powyżej 3 stopnia według skali WHO; </w:t>
            </w:r>
          </w:p>
          <w:p w14:paraId="1E8CE2C5" w14:textId="66EA4D12" w:rsidR="0086724E" w:rsidRPr="00A90B92" w:rsidRDefault="0086724E" w:rsidP="00A90B92">
            <w:pPr>
              <w:pStyle w:val="Akapitzlist"/>
              <w:numPr>
                <w:ilvl w:val="2"/>
                <w:numId w:val="14"/>
              </w:numPr>
              <w:autoSpaceDE w:val="0"/>
              <w:autoSpaceDN w:val="0"/>
              <w:adjustRightInd w:val="0"/>
              <w:spacing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 xml:space="preserve">pogorszenie stanu sprawności o 1 lub 2 stopnie, w zależności od wartości przy kwalifikacji, ale maksymalnie do wartości </w:t>
            </w:r>
            <w:r w:rsidR="00F15032" w:rsidRPr="00A90B92">
              <w:rPr>
                <w:rFonts w:ascii="Times New Roman" w:eastAsia="Times New Roman" w:hAnsi="Times New Roman"/>
                <w:color w:val="000000"/>
                <w:sz w:val="20"/>
                <w:szCs w:val="20"/>
                <w:lang w:eastAsia="pl-PL"/>
              </w:rPr>
              <w:t>3</w:t>
            </w:r>
            <w:r w:rsidRPr="00A90B92">
              <w:rPr>
                <w:rFonts w:ascii="Times New Roman" w:eastAsia="Times New Roman" w:hAnsi="Times New Roman"/>
                <w:color w:val="000000"/>
                <w:sz w:val="20"/>
                <w:szCs w:val="20"/>
                <w:lang w:eastAsia="pl-PL"/>
              </w:rPr>
              <w:t xml:space="preserve"> wg ECOG;</w:t>
            </w:r>
          </w:p>
          <w:p w14:paraId="1DE47237" w14:textId="77777777" w:rsidR="0086724E" w:rsidRPr="00A90B92" w:rsidRDefault="0086724E" w:rsidP="00A90B92">
            <w:pPr>
              <w:pStyle w:val="Akapitzlist"/>
              <w:numPr>
                <w:ilvl w:val="2"/>
                <w:numId w:val="14"/>
              </w:numPr>
              <w:autoSpaceDE w:val="0"/>
              <w:autoSpaceDN w:val="0"/>
              <w:adjustRightInd w:val="0"/>
              <w:spacing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wystąpienie chorób lub stanów, które w opinii lekarza prowadzącego uniemożliwiają dalsze prowadzenie leczenia;</w:t>
            </w:r>
          </w:p>
          <w:p w14:paraId="5FFE68DE" w14:textId="77777777" w:rsidR="0086724E" w:rsidRPr="00A90B92" w:rsidRDefault="0086724E" w:rsidP="00A90B92">
            <w:pPr>
              <w:pStyle w:val="Akapitzlist"/>
              <w:numPr>
                <w:ilvl w:val="2"/>
                <w:numId w:val="14"/>
              </w:numPr>
              <w:autoSpaceDE w:val="0"/>
              <w:autoSpaceDN w:val="0"/>
              <w:adjustRightInd w:val="0"/>
              <w:spacing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 xml:space="preserve">okres ciąży lub karmienia piersią; </w:t>
            </w:r>
          </w:p>
          <w:p w14:paraId="3E09F207" w14:textId="459B9B08" w:rsidR="0086724E" w:rsidRPr="003E7055" w:rsidRDefault="0086724E" w:rsidP="00A90B92">
            <w:pPr>
              <w:pStyle w:val="Akapitzlist"/>
              <w:numPr>
                <w:ilvl w:val="2"/>
                <w:numId w:val="14"/>
              </w:numPr>
              <w:autoSpaceDE w:val="0"/>
              <w:autoSpaceDN w:val="0"/>
              <w:adjustRightInd w:val="0"/>
              <w:spacing w:after="60"/>
              <w:contextualSpacing w:val="0"/>
              <w:jc w:val="both"/>
              <w:rPr>
                <w:rFonts w:ascii="Times New Roman" w:hAnsi="Times New Roman"/>
                <w:sz w:val="20"/>
                <w:szCs w:val="20"/>
                <w:lang w:eastAsia="pl-PL"/>
              </w:rPr>
            </w:pPr>
            <w:r w:rsidRPr="00A90B92">
              <w:rPr>
                <w:rFonts w:ascii="Times New Roman" w:eastAsia="Times New Roman" w:hAnsi="Times New Roman"/>
                <w:color w:val="000000"/>
                <w:sz w:val="20"/>
                <w:szCs w:val="20"/>
                <w:lang w:eastAsia="pl-PL"/>
              </w:rPr>
              <w:t>brak współpracy lub nieprzestrzeganie zaleceń lekarskich, w tym zwłaszcza dotyczących okresowych badań kontrolnych oceniających skuteczność i bezpieczeństwo leczenia ze strony świadczeniobiorcy.</w:t>
            </w:r>
          </w:p>
        </w:tc>
        <w:tc>
          <w:tcPr>
            <w:tcW w:w="1667" w:type="pct"/>
            <w:tcBorders>
              <w:top w:val="single" w:sz="4" w:space="0" w:color="auto"/>
              <w:left w:val="single" w:sz="4" w:space="0" w:color="auto"/>
              <w:bottom w:val="single" w:sz="4" w:space="0" w:color="auto"/>
              <w:right w:val="single" w:sz="4" w:space="0" w:color="auto"/>
            </w:tcBorders>
            <w:shd w:val="clear" w:color="auto" w:fill="auto"/>
          </w:tcPr>
          <w:p w14:paraId="1E96C72B" w14:textId="77777777" w:rsidR="0086724E" w:rsidRPr="00A90B92" w:rsidRDefault="0086724E" w:rsidP="00777359">
            <w:pPr>
              <w:pStyle w:val="Akapitzlist"/>
              <w:numPr>
                <w:ilvl w:val="0"/>
                <w:numId w:val="15"/>
              </w:numPr>
              <w:autoSpaceDE w:val="0"/>
              <w:autoSpaceDN w:val="0"/>
              <w:adjustRightInd w:val="0"/>
              <w:spacing w:after="0"/>
              <w:ind w:left="227" w:hanging="227"/>
              <w:rPr>
                <w:rFonts w:ascii="Times New Roman" w:eastAsia="Times New Roman" w:hAnsi="Times New Roman"/>
                <w:b/>
                <w:bCs/>
                <w:sz w:val="20"/>
                <w:szCs w:val="20"/>
                <w:lang w:eastAsia="pl-PL"/>
              </w:rPr>
            </w:pPr>
            <w:r w:rsidRPr="00A90B92">
              <w:rPr>
                <w:rFonts w:ascii="Times New Roman" w:eastAsia="Times New Roman" w:hAnsi="Times New Roman"/>
                <w:b/>
                <w:bCs/>
                <w:sz w:val="20"/>
                <w:szCs w:val="20"/>
                <w:lang w:eastAsia="pl-PL"/>
              </w:rPr>
              <w:lastRenderedPageBreak/>
              <w:t>Dawkowanie</w:t>
            </w:r>
          </w:p>
          <w:p w14:paraId="1963812F" w14:textId="31058939" w:rsidR="0086724E" w:rsidRPr="003E7055" w:rsidRDefault="0086724E" w:rsidP="00A90B92">
            <w:pPr>
              <w:spacing w:before="60" w:after="60"/>
              <w:ind w:right="23"/>
              <w:jc w:val="both"/>
              <w:rPr>
                <w:rFonts w:ascii="Times New Roman" w:eastAsia="Times New Roman" w:hAnsi="Times New Roman"/>
                <w:sz w:val="20"/>
                <w:szCs w:val="20"/>
                <w:lang w:eastAsia="pl-PL"/>
              </w:rPr>
            </w:pPr>
            <w:r w:rsidRPr="003E7055">
              <w:rPr>
                <w:rFonts w:ascii="Times New Roman" w:eastAsia="Times New Roman" w:hAnsi="Times New Roman"/>
                <w:sz w:val="20"/>
                <w:szCs w:val="20"/>
                <w:lang w:eastAsia="pl-PL"/>
              </w:rPr>
              <w:t>Sposób podawania oraz ewentualne czasowe wstrzymania leczenia, prowadzone zgodnie z aktualn</w:t>
            </w:r>
            <w:r w:rsidR="00787C93" w:rsidRPr="003E7055">
              <w:rPr>
                <w:rFonts w:ascii="Times New Roman" w:eastAsia="Times New Roman" w:hAnsi="Times New Roman"/>
                <w:sz w:val="20"/>
                <w:szCs w:val="20"/>
                <w:lang w:eastAsia="pl-PL"/>
              </w:rPr>
              <w:t>ą</w:t>
            </w:r>
            <w:r w:rsidRPr="003E7055">
              <w:rPr>
                <w:rFonts w:ascii="Times New Roman" w:eastAsia="Times New Roman" w:hAnsi="Times New Roman"/>
                <w:sz w:val="20"/>
                <w:szCs w:val="20"/>
                <w:lang w:eastAsia="pl-PL"/>
              </w:rPr>
              <w:t xml:space="preserve"> Charakterystyk</w:t>
            </w:r>
            <w:r w:rsidR="00787C93" w:rsidRPr="003E7055">
              <w:rPr>
                <w:rFonts w:ascii="Times New Roman" w:eastAsia="Times New Roman" w:hAnsi="Times New Roman"/>
                <w:sz w:val="20"/>
                <w:szCs w:val="20"/>
                <w:lang w:eastAsia="pl-PL"/>
              </w:rPr>
              <w:t>ą</w:t>
            </w:r>
            <w:r w:rsidRPr="003E7055">
              <w:rPr>
                <w:rFonts w:ascii="Times New Roman" w:eastAsia="Times New Roman" w:hAnsi="Times New Roman"/>
                <w:sz w:val="20"/>
                <w:szCs w:val="20"/>
                <w:lang w:eastAsia="pl-PL"/>
              </w:rPr>
              <w:t xml:space="preserve"> Produktu Leczniczego (ChPL).</w:t>
            </w:r>
          </w:p>
          <w:p w14:paraId="195FA345" w14:textId="29DA268C" w:rsidR="0086724E" w:rsidRPr="003E7055" w:rsidRDefault="0086724E" w:rsidP="00A90B92">
            <w:pPr>
              <w:spacing w:before="60" w:after="60"/>
              <w:ind w:right="23"/>
              <w:jc w:val="both"/>
              <w:rPr>
                <w:rFonts w:ascii="Times New Roman" w:hAnsi="Times New Roman"/>
                <w:sz w:val="20"/>
                <w:szCs w:val="20"/>
              </w:rPr>
            </w:pPr>
            <w:r w:rsidRPr="003E7055">
              <w:rPr>
                <w:rFonts w:ascii="Times New Roman" w:eastAsia="Times New Roman" w:hAnsi="Times New Roman"/>
                <w:sz w:val="20"/>
                <w:szCs w:val="20"/>
                <w:lang w:eastAsia="pl-PL"/>
              </w:rPr>
              <w:t>Dopuszczalne jest zmniejszenie wymienionych poniżej dawek zgodnie z aktualną ChPL</w:t>
            </w:r>
            <w:r w:rsidR="00787C93" w:rsidRPr="003E7055">
              <w:rPr>
                <w:rFonts w:ascii="Times New Roman" w:eastAsia="Times New Roman" w:hAnsi="Times New Roman"/>
                <w:sz w:val="20"/>
                <w:szCs w:val="20"/>
                <w:lang w:eastAsia="pl-PL"/>
              </w:rPr>
              <w:t xml:space="preserve">. </w:t>
            </w:r>
          </w:p>
          <w:p w14:paraId="05446253" w14:textId="462EC15E" w:rsidR="0086724E" w:rsidRPr="003E7055" w:rsidRDefault="0086724E" w:rsidP="003E7055">
            <w:pPr>
              <w:widowControl w:val="0"/>
              <w:autoSpaceDE w:val="0"/>
              <w:autoSpaceDN w:val="0"/>
              <w:adjustRightInd w:val="0"/>
              <w:spacing w:after="60"/>
              <w:rPr>
                <w:rFonts w:ascii="Times New Roman" w:eastAsia="Times New Roman" w:hAnsi="Times New Roman"/>
                <w:b/>
                <w:sz w:val="20"/>
                <w:szCs w:val="20"/>
                <w:lang w:eastAsia="pl-PL"/>
              </w:rPr>
            </w:pPr>
          </w:p>
          <w:p w14:paraId="7E97060C" w14:textId="006C3A3F" w:rsidR="0086724E" w:rsidRPr="00A90B92" w:rsidRDefault="0086724E" w:rsidP="00A90B92">
            <w:pPr>
              <w:widowControl w:val="0"/>
              <w:autoSpaceDE w:val="0"/>
              <w:autoSpaceDN w:val="0"/>
              <w:adjustRightInd w:val="0"/>
              <w:spacing w:before="60" w:after="60"/>
              <w:jc w:val="both"/>
              <w:rPr>
                <w:rFonts w:ascii="Times New Roman" w:eastAsia="Times New Roman" w:hAnsi="Times New Roman"/>
                <w:sz w:val="20"/>
                <w:szCs w:val="20"/>
                <w:lang w:eastAsia="pl-PL"/>
              </w:rPr>
            </w:pPr>
            <w:proofErr w:type="spellStart"/>
            <w:r w:rsidRPr="003E7055">
              <w:rPr>
                <w:rFonts w:ascii="Times New Roman" w:eastAsia="Times New Roman" w:hAnsi="Times New Roman"/>
                <w:sz w:val="20"/>
                <w:szCs w:val="20"/>
                <w:lang w:eastAsia="pl-PL"/>
              </w:rPr>
              <w:t>Sorafenib</w:t>
            </w:r>
            <w:proofErr w:type="spellEnd"/>
            <w:r w:rsidRPr="003E7055">
              <w:rPr>
                <w:rFonts w:ascii="Times New Roman" w:eastAsia="Times New Roman" w:hAnsi="Times New Roman"/>
                <w:sz w:val="20"/>
                <w:szCs w:val="20"/>
                <w:lang w:eastAsia="pl-PL"/>
              </w:rPr>
              <w:t xml:space="preserve"> jest stosowany w dobowej dawce 800 mg bez przerw.</w:t>
            </w:r>
          </w:p>
        </w:tc>
        <w:tc>
          <w:tcPr>
            <w:tcW w:w="1667" w:type="pct"/>
            <w:tcBorders>
              <w:top w:val="single" w:sz="4" w:space="0" w:color="auto"/>
              <w:left w:val="single" w:sz="4" w:space="0" w:color="auto"/>
              <w:bottom w:val="single" w:sz="4" w:space="0" w:color="auto"/>
              <w:right w:val="single" w:sz="4" w:space="0" w:color="auto"/>
            </w:tcBorders>
            <w:shd w:val="clear" w:color="auto" w:fill="auto"/>
          </w:tcPr>
          <w:p w14:paraId="02D00548" w14:textId="0373C844" w:rsidR="0086724E" w:rsidRPr="00A90B92" w:rsidRDefault="0086724E" w:rsidP="00CA6621">
            <w:pPr>
              <w:pStyle w:val="Akapitzlist"/>
              <w:numPr>
                <w:ilvl w:val="0"/>
                <w:numId w:val="16"/>
              </w:numPr>
              <w:autoSpaceDE w:val="0"/>
              <w:autoSpaceDN w:val="0"/>
              <w:adjustRightInd w:val="0"/>
              <w:spacing w:after="0"/>
              <w:ind w:left="227" w:hanging="227"/>
              <w:rPr>
                <w:rFonts w:ascii="Times New Roman" w:eastAsia="Times New Roman" w:hAnsi="Times New Roman"/>
                <w:b/>
                <w:bCs/>
                <w:sz w:val="20"/>
                <w:szCs w:val="20"/>
                <w:lang w:eastAsia="pl-PL"/>
              </w:rPr>
            </w:pPr>
            <w:r w:rsidRPr="00A90B92">
              <w:rPr>
                <w:rFonts w:ascii="Times New Roman" w:eastAsia="Times New Roman" w:hAnsi="Times New Roman"/>
                <w:b/>
                <w:bCs/>
                <w:sz w:val="20"/>
                <w:szCs w:val="20"/>
                <w:lang w:eastAsia="pl-PL"/>
              </w:rPr>
              <w:t xml:space="preserve">Badania przy kwalifikacji do leczenia </w:t>
            </w:r>
          </w:p>
          <w:p w14:paraId="016745A5" w14:textId="77777777" w:rsidR="0086724E" w:rsidRPr="00A90B92" w:rsidRDefault="0086724E" w:rsidP="00A90B92">
            <w:pPr>
              <w:pStyle w:val="Akapitzlist"/>
              <w:numPr>
                <w:ilvl w:val="2"/>
                <w:numId w:val="17"/>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 xml:space="preserve">histologiczne potwierdzenie zróżnicowanego raka tarczycy, tj. brodawkowatego, pęcherzykowego lub </w:t>
            </w:r>
            <w:proofErr w:type="spellStart"/>
            <w:r w:rsidRPr="00A90B92">
              <w:rPr>
                <w:rFonts w:ascii="Times New Roman" w:eastAsia="Times New Roman" w:hAnsi="Times New Roman"/>
                <w:color w:val="000000"/>
                <w:sz w:val="20"/>
                <w:szCs w:val="20"/>
                <w:lang w:eastAsia="pl-PL"/>
              </w:rPr>
              <w:t>onkocytarnego</w:t>
            </w:r>
            <w:proofErr w:type="spellEnd"/>
            <w:r w:rsidRPr="00A90B92">
              <w:rPr>
                <w:rFonts w:ascii="Times New Roman" w:eastAsia="Times New Roman" w:hAnsi="Times New Roman"/>
                <w:color w:val="000000"/>
                <w:sz w:val="20"/>
                <w:szCs w:val="20"/>
                <w:lang w:eastAsia="pl-PL"/>
              </w:rPr>
              <w:t>;</w:t>
            </w:r>
          </w:p>
          <w:p w14:paraId="71E77E0B" w14:textId="77777777" w:rsidR="0086724E" w:rsidRPr="00A90B92" w:rsidRDefault="0086724E" w:rsidP="00A90B92">
            <w:pPr>
              <w:pStyle w:val="Akapitzlist"/>
              <w:numPr>
                <w:ilvl w:val="2"/>
                <w:numId w:val="17"/>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morfologia krwi z rozmazem;</w:t>
            </w:r>
          </w:p>
          <w:p w14:paraId="58DB582F" w14:textId="77777777" w:rsidR="0086724E" w:rsidRPr="00A90B92" w:rsidRDefault="0086724E" w:rsidP="00A90B92">
            <w:pPr>
              <w:pStyle w:val="Akapitzlist"/>
              <w:numPr>
                <w:ilvl w:val="2"/>
                <w:numId w:val="17"/>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oznaczenie stężenia hemoglobiny;</w:t>
            </w:r>
          </w:p>
          <w:p w14:paraId="71D2FB55" w14:textId="7CCEA0F5" w:rsidR="0086724E" w:rsidRPr="00A90B92" w:rsidRDefault="0086724E" w:rsidP="00A90B92">
            <w:pPr>
              <w:pStyle w:val="Akapitzlist"/>
              <w:numPr>
                <w:ilvl w:val="2"/>
                <w:numId w:val="17"/>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oznaczenie stężenia</w:t>
            </w:r>
            <w:r w:rsidR="00735201" w:rsidRPr="00A90B92">
              <w:rPr>
                <w:rFonts w:ascii="Times New Roman" w:eastAsia="Times New Roman" w:hAnsi="Times New Roman"/>
                <w:color w:val="000000"/>
                <w:sz w:val="20"/>
                <w:szCs w:val="20"/>
                <w:lang w:eastAsia="pl-PL"/>
              </w:rPr>
              <w:t xml:space="preserve"> w surowicy</w:t>
            </w:r>
            <w:r w:rsidRPr="00A90B92">
              <w:rPr>
                <w:rFonts w:ascii="Times New Roman" w:eastAsia="Times New Roman" w:hAnsi="Times New Roman"/>
                <w:color w:val="000000"/>
                <w:sz w:val="20"/>
                <w:szCs w:val="20"/>
                <w:lang w:eastAsia="pl-PL"/>
              </w:rPr>
              <w:t>:</w:t>
            </w:r>
          </w:p>
          <w:p w14:paraId="4600DA2C" w14:textId="47847FC2" w:rsidR="0086724E" w:rsidRPr="00A90B92" w:rsidRDefault="0086724E" w:rsidP="00A90B92">
            <w:pPr>
              <w:pStyle w:val="Akapitzlist"/>
              <w:numPr>
                <w:ilvl w:val="2"/>
                <w:numId w:val="18"/>
              </w:numPr>
              <w:autoSpaceDE w:val="0"/>
              <w:autoSpaceDN w:val="0"/>
              <w:adjustRightInd w:val="0"/>
              <w:spacing w:before="60" w:after="60"/>
              <w:ind w:left="394" w:firstLine="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bilirubiny,</w:t>
            </w:r>
          </w:p>
          <w:p w14:paraId="29BEB236" w14:textId="77777777" w:rsidR="0086724E" w:rsidRPr="00A90B92" w:rsidRDefault="0086724E" w:rsidP="00A90B92">
            <w:pPr>
              <w:pStyle w:val="Akapitzlist"/>
              <w:numPr>
                <w:ilvl w:val="2"/>
                <w:numId w:val="18"/>
              </w:numPr>
              <w:autoSpaceDE w:val="0"/>
              <w:autoSpaceDN w:val="0"/>
              <w:adjustRightInd w:val="0"/>
              <w:spacing w:before="60" w:after="60"/>
              <w:ind w:left="394" w:firstLine="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kreatyniny;</w:t>
            </w:r>
          </w:p>
          <w:p w14:paraId="69B25F8C" w14:textId="42F6FD64" w:rsidR="0086724E" w:rsidRPr="00A90B92" w:rsidRDefault="0086724E" w:rsidP="00A90B92">
            <w:pPr>
              <w:pStyle w:val="Akapitzlist"/>
              <w:numPr>
                <w:ilvl w:val="2"/>
                <w:numId w:val="17"/>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oznaczenie aktywności transaminaz (</w:t>
            </w:r>
            <w:proofErr w:type="spellStart"/>
            <w:r w:rsidRPr="00A90B92">
              <w:rPr>
                <w:rFonts w:ascii="Times New Roman" w:eastAsia="Times New Roman" w:hAnsi="Times New Roman"/>
                <w:color w:val="000000"/>
                <w:sz w:val="20"/>
                <w:szCs w:val="20"/>
                <w:lang w:eastAsia="pl-PL"/>
              </w:rPr>
              <w:t>AspAT</w:t>
            </w:r>
            <w:proofErr w:type="spellEnd"/>
            <w:r w:rsidRPr="00A90B92">
              <w:rPr>
                <w:rFonts w:ascii="Times New Roman" w:eastAsia="Times New Roman" w:hAnsi="Times New Roman"/>
                <w:color w:val="000000"/>
                <w:sz w:val="20"/>
                <w:szCs w:val="20"/>
                <w:lang w:eastAsia="pl-PL"/>
              </w:rPr>
              <w:t xml:space="preserve">, </w:t>
            </w:r>
            <w:proofErr w:type="spellStart"/>
            <w:r w:rsidRPr="00A90B92">
              <w:rPr>
                <w:rFonts w:ascii="Times New Roman" w:eastAsia="Times New Roman" w:hAnsi="Times New Roman"/>
                <w:color w:val="000000"/>
                <w:sz w:val="20"/>
                <w:szCs w:val="20"/>
                <w:lang w:eastAsia="pl-PL"/>
              </w:rPr>
              <w:t>AlAT</w:t>
            </w:r>
            <w:proofErr w:type="spellEnd"/>
            <w:r w:rsidRPr="00A90B92">
              <w:rPr>
                <w:rFonts w:ascii="Times New Roman" w:eastAsia="Times New Roman" w:hAnsi="Times New Roman"/>
                <w:color w:val="000000"/>
                <w:sz w:val="20"/>
                <w:szCs w:val="20"/>
                <w:lang w:eastAsia="pl-PL"/>
              </w:rPr>
              <w:t>) oraz fosfatazy alkalicznej;</w:t>
            </w:r>
          </w:p>
          <w:p w14:paraId="7B086DA6" w14:textId="77777777" w:rsidR="0086724E" w:rsidRPr="00A90B92" w:rsidRDefault="0086724E" w:rsidP="00A90B92">
            <w:pPr>
              <w:pStyle w:val="Akapitzlist"/>
              <w:numPr>
                <w:ilvl w:val="2"/>
                <w:numId w:val="17"/>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test ciążowy u kobiet w wieku rozrodczym;</w:t>
            </w:r>
          </w:p>
          <w:p w14:paraId="0D6379CF" w14:textId="77777777" w:rsidR="0086724E" w:rsidRPr="00A90B92" w:rsidRDefault="0086724E" w:rsidP="00A90B92">
            <w:pPr>
              <w:pStyle w:val="Akapitzlist"/>
              <w:numPr>
                <w:ilvl w:val="2"/>
                <w:numId w:val="17"/>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scyntygrafia kości;</w:t>
            </w:r>
          </w:p>
          <w:p w14:paraId="3C44C175" w14:textId="77777777" w:rsidR="0086724E" w:rsidRPr="00A90B92" w:rsidRDefault="0086724E" w:rsidP="00A90B92">
            <w:pPr>
              <w:pStyle w:val="Akapitzlist"/>
              <w:numPr>
                <w:ilvl w:val="2"/>
                <w:numId w:val="17"/>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MR jamy brzusznej i miednicy;</w:t>
            </w:r>
          </w:p>
          <w:p w14:paraId="34BE7561" w14:textId="709C834E" w:rsidR="0086724E" w:rsidRPr="00A90B92" w:rsidRDefault="0086724E" w:rsidP="00A90B92">
            <w:pPr>
              <w:pStyle w:val="Akapitzlist"/>
              <w:numPr>
                <w:ilvl w:val="2"/>
                <w:numId w:val="17"/>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R</w:t>
            </w:r>
            <w:r w:rsidR="00735201" w:rsidRPr="00A90B92">
              <w:rPr>
                <w:rFonts w:ascii="Times New Roman" w:eastAsia="Times New Roman" w:hAnsi="Times New Roman"/>
                <w:color w:val="000000"/>
                <w:sz w:val="20"/>
                <w:szCs w:val="20"/>
                <w:lang w:eastAsia="pl-PL"/>
              </w:rPr>
              <w:t>TG</w:t>
            </w:r>
            <w:r w:rsidRPr="00A90B92">
              <w:rPr>
                <w:rFonts w:ascii="Times New Roman" w:eastAsia="Times New Roman" w:hAnsi="Times New Roman"/>
                <w:color w:val="000000"/>
                <w:sz w:val="20"/>
                <w:szCs w:val="20"/>
                <w:lang w:eastAsia="pl-PL"/>
              </w:rPr>
              <w:t xml:space="preserve"> lub </w:t>
            </w:r>
            <w:r w:rsidR="00735201" w:rsidRPr="00A90B92">
              <w:rPr>
                <w:rFonts w:ascii="Times New Roman" w:eastAsia="Times New Roman" w:hAnsi="Times New Roman"/>
                <w:color w:val="000000"/>
                <w:sz w:val="20"/>
                <w:szCs w:val="20"/>
                <w:lang w:eastAsia="pl-PL"/>
              </w:rPr>
              <w:t>TK</w:t>
            </w:r>
            <w:r w:rsidRPr="00A90B92">
              <w:rPr>
                <w:rFonts w:ascii="Times New Roman" w:eastAsia="Times New Roman" w:hAnsi="Times New Roman"/>
                <w:color w:val="000000"/>
                <w:sz w:val="20"/>
                <w:szCs w:val="20"/>
                <w:lang w:eastAsia="pl-PL"/>
              </w:rPr>
              <w:t xml:space="preserve"> klatki piersiowej;</w:t>
            </w:r>
          </w:p>
          <w:p w14:paraId="09A9D5D8" w14:textId="77777777" w:rsidR="0086724E" w:rsidRPr="00A90B92" w:rsidRDefault="0086724E" w:rsidP="00A90B92">
            <w:pPr>
              <w:pStyle w:val="Akapitzlist"/>
              <w:numPr>
                <w:ilvl w:val="2"/>
                <w:numId w:val="17"/>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elektrokardiogram (EKG);</w:t>
            </w:r>
          </w:p>
          <w:p w14:paraId="537D7D82" w14:textId="77777777" w:rsidR="0086724E" w:rsidRPr="00A90B92" w:rsidRDefault="0086724E" w:rsidP="00A90B92">
            <w:pPr>
              <w:pStyle w:val="Akapitzlist"/>
              <w:numPr>
                <w:ilvl w:val="2"/>
                <w:numId w:val="17"/>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pomiar ciśnienia tętniczego;</w:t>
            </w:r>
          </w:p>
          <w:p w14:paraId="1044CD5B" w14:textId="77777777" w:rsidR="0086724E" w:rsidRPr="00A90B92" w:rsidRDefault="0086724E" w:rsidP="00A90B92">
            <w:pPr>
              <w:pStyle w:val="Akapitzlist"/>
              <w:numPr>
                <w:ilvl w:val="2"/>
                <w:numId w:val="17"/>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inne badania w razie wskazań klinicznych.</w:t>
            </w:r>
          </w:p>
          <w:p w14:paraId="3A86C977" w14:textId="00A72F0E" w:rsidR="0086724E" w:rsidRDefault="00F935B8" w:rsidP="00A90B92">
            <w:pPr>
              <w:spacing w:before="60" w:after="60"/>
              <w:jc w:val="both"/>
              <w:rPr>
                <w:rFonts w:ascii="Times New Roman" w:hAnsi="Times New Roman"/>
                <w:sz w:val="20"/>
                <w:szCs w:val="20"/>
              </w:rPr>
            </w:pPr>
            <w:r w:rsidRPr="003E7055">
              <w:rPr>
                <w:rFonts w:ascii="Times New Roman" w:hAnsi="Times New Roman"/>
                <w:sz w:val="20"/>
                <w:szCs w:val="20"/>
              </w:rPr>
              <w:t>Wstępne badania obrazowe muszą umożliwić późniejszą obiektywną ocenę odpowiedzi na leczenie wg aktualnych kryteriów RECIST.</w:t>
            </w:r>
          </w:p>
          <w:p w14:paraId="33882E28" w14:textId="77777777" w:rsidR="00CA6621" w:rsidRPr="003E7055" w:rsidRDefault="00CA6621" w:rsidP="00A90B92">
            <w:pPr>
              <w:spacing w:before="60" w:after="60"/>
              <w:jc w:val="both"/>
              <w:rPr>
                <w:rFonts w:ascii="Times New Roman" w:hAnsi="Times New Roman"/>
                <w:sz w:val="20"/>
                <w:szCs w:val="20"/>
              </w:rPr>
            </w:pPr>
          </w:p>
          <w:p w14:paraId="3913F5BC" w14:textId="77777777" w:rsidR="006424DE" w:rsidRPr="00A90B92" w:rsidRDefault="006424DE" w:rsidP="00CA6621">
            <w:pPr>
              <w:pStyle w:val="Akapitzlist"/>
              <w:numPr>
                <w:ilvl w:val="0"/>
                <w:numId w:val="16"/>
              </w:numPr>
              <w:autoSpaceDE w:val="0"/>
              <w:autoSpaceDN w:val="0"/>
              <w:adjustRightInd w:val="0"/>
              <w:spacing w:after="0"/>
              <w:ind w:left="227" w:hanging="227"/>
              <w:rPr>
                <w:rFonts w:ascii="Times New Roman" w:eastAsia="Times New Roman" w:hAnsi="Times New Roman"/>
                <w:b/>
                <w:bCs/>
                <w:sz w:val="20"/>
                <w:szCs w:val="20"/>
                <w:lang w:eastAsia="pl-PL"/>
              </w:rPr>
            </w:pPr>
            <w:r w:rsidRPr="00A90B92">
              <w:rPr>
                <w:rFonts w:ascii="Times New Roman" w:eastAsia="Times New Roman" w:hAnsi="Times New Roman"/>
                <w:b/>
                <w:bCs/>
                <w:sz w:val="20"/>
                <w:szCs w:val="20"/>
                <w:lang w:eastAsia="pl-PL"/>
              </w:rPr>
              <w:t>Monitorowanie bezpieczeństwa leczenia</w:t>
            </w:r>
          </w:p>
          <w:p w14:paraId="4DC6F18E" w14:textId="77777777" w:rsidR="006424DE" w:rsidRPr="00A90B92" w:rsidRDefault="006424DE" w:rsidP="00A90B92">
            <w:pPr>
              <w:pStyle w:val="Akapitzlist"/>
              <w:numPr>
                <w:ilvl w:val="2"/>
                <w:numId w:val="19"/>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morfologia krwi z rozmazem;</w:t>
            </w:r>
          </w:p>
          <w:p w14:paraId="642DC0A1" w14:textId="14D57726" w:rsidR="006424DE" w:rsidRPr="00A90B92" w:rsidRDefault="006424DE" w:rsidP="00A90B92">
            <w:pPr>
              <w:pStyle w:val="Akapitzlist"/>
              <w:numPr>
                <w:ilvl w:val="2"/>
                <w:numId w:val="19"/>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oznaczenie stężenia w surowicy:</w:t>
            </w:r>
          </w:p>
          <w:p w14:paraId="4A43DDD8" w14:textId="77777777" w:rsidR="006424DE" w:rsidRPr="00A90B92" w:rsidRDefault="006424DE" w:rsidP="00A90B92">
            <w:pPr>
              <w:pStyle w:val="Akapitzlist"/>
              <w:numPr>
                <w:ilvl w:val="2"/>
                <w:numId w:val="20"/>
              </w:numPr>
              <w:autoSpaceDE w:val="0"/>
              <w:autoSpaceDN w:val="0"/>
              <w:adjustRightInd w:val="0"/>
              <w:spacing w:before="60" w:after="60"/>
              <w:ind w:left="678" w:hanging="284"/>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bilirubiny,</w:t>
            </w:r>
          </w:p>
          <w:p w14:paraId="28A27CE4" w14:textId="3E5C7308" w:rsidR="006424DE" w:rsidRPr="00A90B92" w:rsidRDefault="006424DE" w:rsidP="00A90B92">
            <w:pPr>
              <w:pStyle w:val="Akapitzlist"/>
              <w:numPr>
                <w:ilvl w:val="2"/>
                <w:numId w:val="20"/>
              </w:numPr>
              <w:autoSpaceDE w:val="0"/>
              <w:autoSpaceDN w:val="0"/>
              <w:adjustRightInd w:val="0"/>
              <w:spacing w:before="60" w:after="60"/>
              <w:ind w:left="678" w:hanging="284"/>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kreatyniny,</w:t>
            </w:r>
          </w:p>
          <w:p w14:paraId="7C9DECFF" w14:textId="77777777" w:rsidR="006424DE" w:rsidRPr="00A90B92" w:rsidRDefault="006424DE" w:rsidP="00A90B92">
            <w:pPr>
              <w:pStyle w:val="Akapitzlist"/>
              <w:numPr>
                <w:ilvl w:val="2"/>
                <w:numId w:val="20"/>
              </w:numPr>
              <w:autoSpaceDE w:val="0"/>
              <w:autoSpaceDN w:val="0"/>
              <w:adjustRightInd w:val="0"/>
              <w:spacing w:before="60" w:after="60"/>
              <w:ind w:left="678" w:hanging="284"/>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transaminaz (AspAT, AlAT),</w:t>
            </w:r>
          </w:p>
          <w:p w14:paraId="5199FF5A" w14:textId="77777777" w:rsidR="006424DE" w:rsidRPr="00A90B92" w:rsidRDefault="006424DE" w:rsidP="00A90B92">
            <w:pPr>
              <w:pStyle w:val="Akapitzlist"/>
              <w:numPr>
                <w:ilvl w:val="2"/>
                <w:numId w:val="20"/>
              </w:numPr>
              <w:autoSpaceDE w:val="0"/>
              <w:autoSpaceDN w:val="0"/>
              <w:adjustRightInd w:val="0"/>
              <w:spacing w:before="60" w:after="60"/>
              <w:ind w:left="678" w:hanging="284"/>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wapnia,</w:t>
            </w:r>
          </w:p>
          <w:p w14:paraId="615AC62A" w14:textId="48DC169D" w:rsidR="006424DE" w:rsidRPr="00A90B92" w:rsidRDefault="006424DE" w:rsidP="00A90B92">
            <w:pPr>
              <w:pStyle w:val="Akapitzlist"/>
              <w:numPr>
                <w:ilvl w:val="2"/>
                <w:numId w:val="19"/>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TSH;</w:t>
            </w:r>
          </w:p>
          <w:p w14:paraId="72711771" w14:textId="77777777" w:rsidR="006424DE" w:rsidRPr="00A90B92" w:rsidRDefault="006424DE" w:rsidP="00A90B92">
            <w:pPr>
              <w:pStyle w:val="Akapitzlist"/>
              <w:numPr>
                <w:ilvl w:val="2"/>
                <w:numId w:val="19"/>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elektrokardiogram.</w:t>
            </w:r>
          </w:p>
          <w:p w14:paraId="6450FE29" w14:textId="00B84017" w:rsidR="006424DE" w:rsidRPr="003E7055" w:rsidRDefault="006424DE" w:rsidP="00A90B92">
            <w:pPr>
              <w:autoSpaceDE w:val="0"/>
              <w:autoSpaceDN w:val="0"/>
              <w:adjustRightInd w:val="0"/>
              <w:spacing w:before="60" w:after="60"/>
              <w:jc w:val="both"/>
              <w:rPr>
                <w:rFonts w:ascii="Times New Roman" w:hAnsi="Times New Roman"/>
                <w:sz w:val="20"/>
                <w:szCs w:val="20"/>
              </w:rPr>
            </w:pPr>
            <w:r w:rsidRPr="003E7055">
              <w:rPr>
                <w:rFonts w:ascii="Times New Roman" w:hAnsi="Times New Roman"/>
                <w:sz w:val="20"/>
                <w:szCs w:val="20"/>
              </w:rPr>
              <w:t>Badania laboratoryjne oraz ocenę stanu klinicznego wykonuje się:</w:t>
            </w:r>
          </w:p>
          <w:p w14:paraId="12334EED" w14:textId="77777777" w:rsidR="006424DE" w:rsidRPr="00A90B92" w:rsidRDefault="006424DE" w:rsidP="00A90B92">
            <w:pPr>
              <w:pStyle w:val="Akapitzlist"/>
              <w:numPr>
                <w:ilvl w:val="2"/>
                <w:numId w:val="21"/>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przez pierwsze dwa miesiące terapii- co 2 tygodnie;</w:t>
            </w:r>
          </w:p>
          <w:p w14:paraId="5567A061" w14:textId="77777777" w:rsidR="006424DE" w:rsidRPr="00A90B92" w:rsidRDefault="006424DE" w:rsidP="00A90B92">
            <w:pPr>
              <w:pStyle w:val="Akapitzlist"/>
              <w:numPr>
                <w:ilvl w:val="2"/>
                <w:numId w:val="21"/>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od 3 do 6 miesiąca terapii – co miesiąc;</w:t>
            </w:r>
          </w:p>
          <w:p w14:paraId="0380919E" w14:textId="77777777" w:rsidR="006424DE" w:rsidRPr="00A90B92" w:rsidRDefault="006424DE" w:rsidP="00A90B92">
            <w:pPr>
              <w:pStyle w:val="Akapitzlist"/>
              <w:numPr>
                <w:ilvl w:val="2"/>
                <w:numId w:val="21"/>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od 7 do 12 miesiąca terapii – co 3 miesiące;</w:t>
            </w:r>
          </w:p>
          <w:p w14:paraId="765F0ED8" w14:textId="77777777" w:rsidR="006424DE" w:rsidRPr="00A90B92" w:rsidRDefault="006424DE" w:rsidP="00A90B92">
            <w:pPr>
              <w:pStyle w:val="Akapitzlist"/>
              <w:numPr>
                <w:ilvl w:val="2"/>
                <w:numId w:val="21"/>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A90B92">
              <w:rPr>
                <w:rFonts w:ascii="Times New Roman" w:eastAsia="Times New Roman" w:hAnsi="Times New Roman"/>
                <w:color w:val="000000"/>
                <w:sz w:val="20"/>
                <w:szCs w:val="20"/>
                <w:lang w:eastAsia="pl-PL"/>
              </w:rPr>
              <w:t>po 12 miesiącu terapii- co 4 miesiące.</w:t>
            </w:r>
          </w:p>
          <w:p w14:paraId="37C97A5E" w14:textId="77777777" w:rsidR="006424DE" w:rsidRPr="003E7055" w:rsidRDefault="006424DE" w:rsidP="00A90B92">
            <w:pPr>
              <w:pStyle w:val="Akapitzlist"/>
              <w:autoSpaceDE w:val="0"/>
              <w:autoSpaceDN w:val="0"/>
              <w:adjustRightInd w:val="0"/>
              <w:spacing w:before="60" w:after="60"/>
              <w:ind w:left="454"/>
              <w:contextualSpacing w:val="0"/>
              <w:jc w:val="both"/>
              <w:rPr>
                <w:rFonts w:ascii="Times New Roman" w:hAnsi="Times New Roman"/>
                <w:sz w:val="20"/>
                <w:szCs w:val="20"/>
              </w:rPr>
            </w:pPr>
          </w:p>
          <w:p w14:paraId="47683267" w14:textId="2D7C59AF" w:rsidR="006424DE" w:rsidRPr="00CA6621" w:rsidRDefault="006424DE" w:rsidP="00CA6621">
            <w:pPr>
              <w:pStyle w:val="Akapitzlist"/>
              <w:numPr>
                <w:ilvl w:val="0"/>
                <w:numId w:val="16"/>
              </w:numPr>
              <w:autoSpaceDE w:val="0"/>
              <w:autoSpaceDN w:val="0"/>
              <w:adjustRightInd w:val="0"/>
              <w:spacing w:after="0"/>
              <w:ind w:left="227" w:hanging="227"/>
              <w:rPr>
                <w:rFonts w:ascii="Times New Roman" w:eastAsia="Times New Roman" w:hAnsi="Times New Roman"/>
                <w:b/>
                <w:bCs/>
                <w:sz w:val="20"/>
                <w:szCs w:val="20"/>
                <w:lang w:eastAsia="pl-PL"/>
              </w:rPr>
            </w:pPr>
            <w:r w:rsidRPr="00CA6621">
              <w:rPr>
                <w:rFonts w:ascii="Times New Roman" w:eastAsia="Times New Roman" w:hAnsi="Times New Roman"/>
                <w:b/>
                <w:bCs/>
                <w:sz w:val="20"/>
                <w:szCs w:val="20"/>
                <w:lang w:eastAsia="pl-PL"/>
              </w:rPr>
              <w:t>Monitorowanie skuteczności leczenia</w:t>
            </w:r>
          </w:p>
          <w:p w14:paraId="0362737C" w14:textId="77777777" w:rsidR="006424DE" w:rsidRPr="00CA6621" w:rsidRDefault="006424DE" w:rsidP="00CA6621">
            <w:pPr>
              <w:pStyle w:val="Akapitzlist"/>
              <w:numPr>
                <w:ilvl w:val="2"/>
                <w:numId w:val="22"/>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CA6621">
              <w:rPr>
                <w:rFonts w:ascii="Times New Roman" w:eastAsia="Times New Roman" w:hAnsi="Times New Roman"/>
                <w:color w:val="000000"/>
                <w:sz w:val="20"/>
                <w:szCs w:val="20"/>
                <w:lang w:eastAsia="pl-PL"/>
              </w:rPr>
              <w:t>tomografia komputerowa lub rezonans magnetyczny odpowiedniego obszaru ciała;</w:t>
            </w:r>
          </w:p>
          <w:p w14:paraId="72F51C42" w14:textId="77777777" w:rsidR="006424DE" w:rsidRPr="00CA6621" w:rsidRDefault="006424DE" w:rsidP="00CA6621">
            <w:pPr>
              <w:pStyle w:val="Akapitzlist"/>
              <w:numPr>
                <w:ilvl w:val="2"/>
                <w:numId w:val="22"/>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CA6621">
              <w:rPr>
                <w:rFonts w:ascii="Times New Roman" w:eastAsia="Times New Roman" w:hAnsi="Times New Roman"/>
                <w:color w:val="000000"/>
                <w:sz w:val="20"/>
                <w:szCs w:val="20"/>
                <w:lang w:eastAsia="pl-PL"/>
              </w:rPr>
              <w:t>inne badania w razie wskazań klinicznych.</w:t>
            </w:r>
          </w:p>
          <w:p w14:paraId="404A035E" w14:textId="77777777" w:rsidR="006424DE" w:rsidRPr="003E7055" w:rsidRDefault="006424DE" w:rsidP="00A90B92">
            <w:pPr>
              <w:autoSpaceDE w:val="0"/>
              <w:autoSpaceDN w:val="0"/>
              <w:adjustRightInd w:val="0"/>
              <w:spacing w:before="60" w:after="60"/>
              <w:jc w:val="both"/>
              <w:rPr>
                <w:rFonts w:ascii="Times New Roman" w:hAnsi="Times New Roman"/>
                <w:sz w:val="20"/>
                <w:szCs w:val="20"/>
              </w:rPr>
            </w:pPr>
            <w:r w:rsidRPr="003E7055">
              <w:rPr>
                <w:rFonts w:ascii="Times New Roman" w:hAnsi="Times New Roman"/>
                <w:sz w:val="20"/>
                <w:szCs w:val="20"/>
              </w:rPr>
              <w:t>Pierwsze badanie obrazowe wykonuje się po 12 tyg. leczenia, a kolejne co 6 miesięcy, o ile nie występują dodatkowe wskazania kliniczne.</w:t>
            </w:r>
          </w:p>
          <w:p w14:paraId="726FFC7F" w14:textId="7BB5C641" w:rsidR="006424DE" w:rsidRPr="003E7055" w:rsidRDefault="006424DE" w:rsidP="00A90B92">
            <w:pPr>
              <w:autoSpaceDE w:val="0"/>
              <w:autoSpaceDN w:val="0"/>
              <w:adjustRightInd w:val="0"/>
              <w:spacing w:before="60" w:after="60"/>
              <w:jc w:val="both"/>
              <w:rPr>
                <w:rFonts w:ascii="Times New Roman" w:hAnsi="Times New Roman"/>
                <w:sz w:val="20"/>
                <w:szCs w:val="20"/>
              </w:rPr>
            </w:pPr>
            <w:r w:rsidRPr="003E7055">
              <w:rPr>
                <w:rFonts w:ascii="Times New Roman" w:hAnsi="Times New Roman"/>
                <w:sz w:val="20"/>
                <w:szCs w:val="20"/>
              </w:rPr>
              <w:t>Ponadto badania należy wykonać w chwili podjęcia decyzji o wyłączeniu z programu z powodu innego niż progresja choroby.</w:t>
            </w:r>
          </w:p>
          <w:p w14:paraId="0783AF57" w14:textId="5097ED51" w:rsidR="006424DE" w:rsidRPr="003E7055" w:rsidRDefault="006424DE" w:rsidP="00CA6621">
            <w:pPr>
              <w:widowControl w:val="0"/>
              <w:autoSpaceDE w:val="0"/>
              <w:autoSpaceDN w:val="0"/>
              <w:adjustRightInd w:val="0"/>
              <w:spacing w:before="60" w:after="60"/>
              <w:jc w:val="both"/>
              <w:rPr>
                <w:rFonts w:ascii="Times New Roman" w:hAnsi="Times New Roman"/>
                <w:sz w:val="20"/>
                <w:szCs w:val="20"/>
              </w:rPr>
            </w:pPr>
            <w:r w:rsidRPr="003E7055">
              <w:rPr>
                <w:rFonts w:ascii="Times New Roman" w:hAnsi="Times New Roman"/>
                <w:sz w:val="20"/>
                <w:szCs w:val="20"/>
              </w:rPr>
              <w:t xml:space="preserve">Określenie odpowiedzi na leczenie powinno być </w:t>
            </w:r>
            <w:r w:rsidRPr="003E7055">
              <w:rPr>
                <w:rFonts w:ascii="Times New Roman" w:hAnsi="Times New Roman"/>
                <w:sz w:val="20"/>
                <w:szCs w:val="20"/>
              </w:rPr>
              <w:lastRenderedPageBreak/>
              <w:t>wykonywane z wykorzystaniem metody identycznej do wykorzystanej podczas kwalifikowania do leczenia.</w:t>
            </w:r>
          </w:p>
          <w:p w14:paraId="6F7824CC" w14:textId="10DFBED9" w:rsidR="006424DE" w:rsidRPr="003E7055" w:rsidRDefault="006424DE" w:rsidP="00A90B92">
            <w:pPr>
              <w:autoSpaceDE w:val="0"/>
              <w:autoSpaceDN w:val="0"/>
              <w:adjustRightInd w:val="0"/>
              <w:spacing w:before="60" w:after="60"/>
              <w:jc w:val="both"/>
              <w:rPr>
                <w:rFonts w:ascii="Times New Roman" w:hAnsi="Times New Roman"/>
                <w:sz w:val="20"/>
                <w:szCs w:val="20"/>
              </w:rPr>
            </w:pPr>
            <w:r w:rsidRPr="003E7055">
              <w:rPr>
                <w:rFonts w:ascii="Times New Roman" w:hAnsi="Times New Roman"/>
                <w:sz w:val="20"/>
                <w:szCs w:val="20"/>
              </w:rPr>
              <w:t xml:space="preserve">Ocena odpowiedzi na leczenie powinna być przeprowadzana zgodnie z aktualnymi kryteriami RECIST. </w:t>
            </w:r>
          </w:p>
          <w:p w14:paraId="3D6B193B" w14:textId="1F9D11ED" w:rsidR="008D27DA" w:rsidRPr="003E7055" w:rsidRDefault="008D27DA" w:rsidP="00A90B92">
            <w:pPr>
              <w:autoSpaceDE w:val="0"/>
              <w:autoSpaceDN w:val="0"/>
              <w:adjustRightInd w:val="0"/>
              <w:spacing w:before="60" w:after="60"/>
              <w:jc w:val="both"/>
              <w:rPr>
                <w:rFonts w:ascii="Times New Roman" w:eastAsia="Times New Roman" w:hAnsi="Times New Roman"/>
                <w:sz w:val="20"/>
                <w:szCs w:val="20"/>
                <w:lang w:eastAsia="pl-PL"/>
              </w:rPr>
            </w:pPr>
            <w:r w:rsidRPr="003E7055">
              <w:rPr>
                <w:rFonts w:ascii="Times New Roman" w:eastAsia="Times New Roman" w:hAnsi="Times New Roman"/>
                <w:sz w:val="20"/>
                <w:szCs w:val="20"/>
                <w:lang w:eastAsia="pl-PL"/>
              </w:rPr>
              <w:t xml:space="preserve">Na podstawie ww. badań w celu monitorowania skuteczności leczenia określa się dla indywidualnego pacjenta wskaźniki odpowiedzi na leczenie, w tym: </w:t>
            </w:r>
          </w:p>
          <w:p w14:paraId="50B3C419" w14:textId="77777777" w:rsidR="008D27DA" w:rsidRPr="003E7055" w:rsidRDefault="008D27DA" w:rsidP="00A90B92">
            <w:pPr>
              <w:numPr>
                <w:ilvl w:val="5"/>
                <w:numId w:val="13"/>
              </w:numPr>
              <w:autoSpaceDE w:val="0"/>
              <w:autoSpaceDN w:val="0"/>
              <w:adjustRightInd w:val="0"/>
              <w:spacing w:before="60" w:after="60"/>
              <w:ind w:left="353"/>
              <w:jc w:val="both"/>
              <w:rPr>
                <w:rFonts w:ascii="Times New Roman" w:eastAsia="Times New Roman" w:hAnsi="Times New Roman"/>
                <w:sz w:val="20"/>
                <w:szCs w:val="20"/>
                <w:lang w:eastAsia="pl-PL"/>
              </w:rPr>
            </w:pPr>
            <w:r w:rsidRPr="003E7055">
              <w:rPr>
                <w:rFonts w:ascii="Times New Roman" w:eastAsia="Times New Roman" w:hAnsi="Times New Roman"/>
                <w:sz w:val="20"/>
                <w:szCs w:val="20"/>
                <w:lang w:eastAsia="pl-PL"/>
              </w:rPr>
              <w:t>całkowitą (CR) lub częściową odpowiedź (PR) na leczenie,</w:t>
            </w:r>
          </w:p>
          <w:p w14:paraId="1B76E0DB" w14:textId="77777777" w:rsidR="008D27DA" w:rsidRPr="003E7055" w:rsidRDefault="008D27DA" w:rsidP="00A90B92">
            <w:pPr>
              <w:numPr>
                <w:ilvl w:val="5"/>
                <w:numId w:val="13"/>
              </w:numPr>
              <w:autoSpaceDE w:val="0"/>
              <w:autoSpaceDN w:val="0"/>
              <w:adjustRightInd w:val="0"/>
              <w:spacing w:before="60" w:after="60"/>
              <w:ind w:left="353"/>
              <w:jc w:val="both"/>
              <w:rPr>
                <w:rFonts w:ascii="Times New Roman" w:eastAsia="Times New Roman" w:hAnsi="Times New Roman"/>
                <w:sz w:val="20"/>
                <w:szCs w:val="20"/>
                <w:lang w:eastAsia="pl-PL"/>
              </w:rPr>
            </w:pPr>
            <w:r w:rsidRPr="003E7055">
              <w:rPr>
                <w:rFonts w:ascii="Times New Roman" w:eastAsia="Times New Roman" w:hAnsi="Times New Roman"/>
                <w:sz w:val="20"/>
                <w:szCs w:val="20"/>
                <w:lang w:eastAsia="pl-PL"/>
              </w:rPr>
              <w:t>stabilizację (SD) lub progresję choroby (PD),</w:t>
            </w:r>
          </w:p>
          <w:p w14:paraId="3A9CE902" w14:textId="77777777" w:rsidR="008D27DA" w:rsidRPr="003E7055" w:rsidRDefault="008D27DA" w:rsidP="00A90B92">
            <w:pPr>
              <w:numPr>
                <w:ilvl w:val="5"/>
                <w:numId w:val="13"/>
              </w:numPr>
              <w:autoSpaceDE w:val="0"/>
              <w:autoSpaceDN w:val="0"/>
              <w:adjustRightInd w:val="0"/>
              <w:spacing w:before="60" w:after="60"/>
              <w:ind w:left="353"/>
              <w:jc w:val="both"/>
              <w:rPr>
                <w:rFonts w:ascii="Times New Roman" w:eastAsia="Times New Roman" w:hAnsi="Times New Roman"/>
                <w:sz w:val="20"/>
                <w:szCs w:val="20"/>
                <w:lang w:eastAsia="pl-PL"/>
              </w:rPr>
            </w:pPr>
            <w:r w:rsidRPr="003E7055">
              <w:rPr>
                <w:rFonts w:ascii="Times New Roman" w:eastAsia="Times New Roman" w:hAnsi="Times New Roman"/>
                <w:sz w:val="20"/>
                <w:szCs w:val="20"/>
                <w:lang w:eastAsia="pl-PL"/>
              </w:rPr>
              <w:t>całkowite przeżycie (OS) i czas do progresji (PFS).</w:t>
            </w:r>
          </w:p>
          <w:p w14:paraId="72A936D0" w14:textId="4329BED3" w:rsidR="008D27DA" w:rsidRPr="006F506A" w:rsidRDefault="008D27DA" w:rsidP="00A90B92">
            <w:pPr>
              <w:autoSpaceDE w:val="0"/>
              <w:autoSpaceDN w:val="0"/>
              <w:adjustRightInd w:val="0"/>
              <w:spacing w:before="60" w:after="60"/>
              <w:jc w:val="both"/>
              <w:rPr>
                <w:rFonts w:ascii="Times New Roman" w:eastAsia="Times New Roman" w:hAnsi="Times New Roman"/>
                <w:sz w:val="20"/>
                <w:szCs w:val="20"/>
                <w:lang w:eastAsia="pl-PL"/>
              </w:rPr>
            </w:pPr>
            <w:r w:rsidRPr="003E7055">
              <w:rPr>
                <w:rFonts w:ascii="Times New Roman" w:eastAsia="Times New Roman" w:hAnsi="Times New Roman"/>
                <w:sz w:val="20"/>
                <w:szCs w:val="20"/>
                <w:lang w:eastAsia="pl-PL"/>
              </w:rPr>
              <w:t xml:space="preserve">Dane gromadzone są w elektronicznym systemie monitorowania programów lekowych. </w:t>
            </w:r>
          </w:p>
          <w:p w14:paraId="4A963C8A" w14:textId="77777777" w:rsidR="0086724E" w:rsidRPr="003E7055" w:rsidRDefault="0086724E" w:rsidP="00A90B92">
            <w:pPr>
              <w:pStyle w:val="Akapitzlist"/>
              <w:autoSpaceDE w:val="0"/>
              <w:autoSpaceDN w:val="0"/>
              <w:adjustRightInd w:val="0"/>
              <w:spacing w:before="60" w:after="60"/>
              <w:ind w:left="454"/>
              <w:contextualSpacing w:val="0"/>
              <w:jc w:val="both"/>
              <w:rPr>
                <w:rFonts w:ascii="Times New Roman" w:hAnsi="Times New Roman"/>
                <w:sz w:val="20"/>
                <w:szCs w:val="20"/>
              </w:rPr>
            </w:pPr>
          </w:p>
          <w:p w14:paraId="009D5793" w14:textId="7EF273AC" w:rsidR="0086724E" w:rsidRPr="00CA6621" w:rsidRDefault="0086724E" w:rsidP="00CA6621">
            <w:pPr>
              <w:pStyle w:val="Akapitzlist"/>
              <w:numPr>
                <w:ilvl w:val="0"/>
                <w:numId w:val="16"/>
              </w:numPr>
              <w:autoSpaceDE w:val="0"/>
              <w:autoSpaceDN w:val="0"/>
              <w:adjustRightInd w:val="0"/>
              <w:spacing w:after="0"/>
              <w:ind w:left="227" w:hanging="227"/>
              <w:rPr>
                <w:rFonts w:ascii="Times New Roman" w:eastAsia="Times New Roman" w:hAnsi="Times New Roman"/>
                <w:b/>
                <w:bCs/>
                <w:sz w:val="20"/>
                <w:szCs w:val="20"/>
                <w:lang w:eastAsia="pl-PL"/>
              </w:rPr>
            </w:pPr>
            <w:r w:rsidRPr="00CA6621">
              <w:rPr>
                <w:rFonts w:ascii="Times New Roman" w:eastAsia="Times New Roman" w:hAnsi="Times New Roman"/>
                <w:b/>
                <w:bCs/>
                <w:sz w:val="20"/>
                <w:szCs w:val="20"/>
                <w:lang w:eastAsia="pl-PL"/>
              </w:rPr>
              <w:t>Monitorowanie programu</w:t>
            </w:r>
          </w:p>
          <w:p w14:paraId="2F3542EC" w14:textId="77777777" w:rsidR="0086724E" w:rsidRPr="003E7055" w:rsidRDefault="0086724E" w:rsidP="00CA6621">
            <w:pPr>
              <w:pStyle w:val="Akapitzlist"/>
              <w:numPr>
                <w:ilvl w:val="2"/>
                <w:numId w:val="23"/>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3E7055">
              <w:rPr>
                <w:rFonts w:ascii="Times New Roman" w:eastAsia="Times New Roman" w:hAnsi="Times New Roman"/>
                <w:color w:val="000000"/>
                <w:sz w:val="20"/>
                <w:szCs w:val="20"/>
                <w:lang w:eastAsia="pl-PL"/>
              </w:rPr>
              <w:t>gromadzenie w dokumentacji medycznej pacjenta danych dotyczących monitorowania leczenia i każdorazowe ich przedstawianie na żądanie kontrolerów Narodowego Funduszu Zdrowia;</w:t>
            </w:r>
          </w:p>
          <w:p w14:paraId="29552B22" w14:textId="0DD5FDE6" w:rsidR="0086724E" w:rsidRPr="003E7055" w:rsidRDefault="0086724E" w:rsidP="00CA6621">
            <w:pPr>
              <w:pStyle w:val="Akapitzlist"/>
              <w:numPr>
                <w:ilvl w:val="2"/>
                <w:numId w:val="23"/>
              </w:numPr>
              <w:autoSpaceDE w:val="0"/>
              <w:autoSpaceDN w:val="0"/>
              <w:adjustRightInd w:val="0"/>
              <w:spacing w:before="60" w:after="60"/>
              <w:contextualSpacing w:val="0"/>
              <w:jc w:val="both"/>
              <w:rPr>
                <w:rFonts w:ascii="Times New Roman" w:eastAsia="Times New Roman" w:hAnsi="Times New Roman"/>
                <w:color w:val="000000"/>
                <w:sz w:val="20"/>
                <w:szCs w:val="20"/>
                <w:lang w:eastAsia="pl-PL"/>
              </w:rPr>
            </w:pPr>
            <w:r w:rsidRPr="003E7055">
              <w:rPr>
                <w:rFonts w:ascii="Times New Roman" w:eastAsia="Times New Roman" w:hAnsi="Times New Roman"/>
                <w:color w:val="000000"/>
                <w:sz w:val="20"/>
                <w:szCs w:val="20"/>
                <w:lang w:eastAsia="pl-PL"/>
              </w:rPr>
              <w:t>uzupełnianie danych zawartych w elektronicznym systemie monitorowania programów lekowych, w tym również parametrów dotyczących skuteczności leczenia</w:t>
            </w:r>
            <w:r w:rsidR="008D27DA" w:rsidRPr="003E7055">
              <w:rPr>
                <w:rFonts w:ascii="Times New Roman" w:eastAsia="Times New Roman" w:hAnsi="Times New Roman"/>
                <w:color w:val="000000"/>
                <w:sz w:val="20"/>
                <w:szCs w:val="20"/>
                <w:lang w:eastAsia="pl-PL"/>
              </w:rPr>
              <w:t xml:space="preserve">, </w:t>
            </w:r>
            <w:r w:rsidRPr="003E7055">
              <w:rPr>
                <w:rFonts w:ascii="Times New Roman" w:eastAsia="Times New Roman" w:hAnsi="Times New Roman"/>
                <w:color w:val="000000"/>
                <w:sz w:val="20"/>
                <w:szCs w:val="20"/>
                <w:lang w:eastAsia="pl-PL"/>
              </w:rPr>
              <w:t>dostępnym za pomocą aplikacji internetowej udostępnionej przez OW NFZ, z częstotliwością zgodną z opisem programu oraz na zakończenie leczenia;</w:t>
            </w:r>
          </w:p>
          <w:p w14:paraId="43647CB3" w14:textId="77777777" w:rsidR="0086724E" w:rsidRPr="003E7055" w:rsidRDefault="0086724E" w:rsidP="00CA6621">
            <w:pPr>
              <w:pStyle w:val="Akapitzlist"/>
              <w:numPr>
                <w:ilvl w:val="2"/>
                <w:numId w:val="23"/>
              </w:numPr>
              <w:autoSpaceDE w:val="0"/>
              <w:autoSpaceDN w:val="0"/>
              <w:adjustRightInd w:val="0"/>
              <w:spacing w:before="60" w:after="60"/>
              <w:contextualSpacing w:val="0"/>
              <w:jc w:val="both"/>
              <w:rPr>
                <w:rFonts w:ascii="Times New Roman" w:eastAsia="Times New Roman" w:hAnsi="Times New Roman"/>
                <w:sz w:val="20"/>
                <w:szCs w:val="20"/>
              </w:rPr>
            </w:pPr>
            <w:r w:rsidRPr="003E7055">
              <w:rPr>
                <w:rFonts w:ascii="Times New Roman" w:eastAsia="Times New Roman" w:hAnsi="Times New Roman"/>
                <w:color w:val="000000"/>
                <w:sz w:val="20"/>
                <w:szCs w:val="20"/>
                <w:lang w:eastAsia="pl-PL"/>
              </w:rPr>
              <w:t>przekazywanie informacji sprawozdawczo -rozliczeniowych do NFZ: informacje przekazuje się do NFZ w formie papierowej lub w formie elektronicznej, zgodnie z wymaganiami opublikowanymi przez Narodowy Fundusz Zdrowia.</w:t>
            </w:r>
          </w:p>
        </w:tc>
      </w:tr>
    </w:tbl>
    <w:p w14:paraId="45DAE2E3" w14:textId="77777777" w:rsidR="00F31A50" w:rsidRPr="00F30E39" w:rsidRDefault="006B69AD" w:rsidP="00CA6621">
      <w:pPr>
        <w:rPr>
          <w:rFonts w:ascii="Lato" w:hAnsi="Lato"/>
        </w:rPr>
      </w:pPr>
    </w:p>
    <w:sectPr w:rsidR="00F31A50" w:rsidRPr="00F30E39" w:rsidSect="00FF56E9">
      <w:pgSz w:w="16840" w:h="11907" w:orient="landscape" w:code="9"/>
      <w:pgMar w:top="1588" w:right="720" w:bottom="1418"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ato">
    <w:panose1 w:val="020F0502020204030203"/>
    <w:charset w:val="EE"/>
    <w:family w:val="swiss"/>
    <w:pitch w:val="variable"/>
    <w:sig w:usb0="800000AF" w:usb1="4000604A"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C4E33"/>
    <w:multiLevelType w:val="hybridMultilevel"/>
    <w:tmpl w:val="33268DC6"/>
    <w:lvl w:ilvl="0" w:tplc="CDA60DA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653EF5"/>
    <w:multiLevelType w:val="multilevel"/>
    <w:tmpl w:val="FCA04CDC"/>
    <w:lvl w:ilvl="0">
      <w:start w:val="1"/>
      <w:numFmt w:val="decimal"/>
      <w:suff w:val="space"/>
      <w:lvlText w:val="%1."/>
      <w:lvlJc w:val="left"/>
      <w:pPr>
        <w:ind w:left="227" w:hanging="227"/>
      </w:pPr>
      <w:rPr>
        <w:rFonts w:ascii="Times New Roman" w:eastAsia="Times New Roman" w:hAnsi="Times New Roman" w:cs="Times New Roman"/>
        <w:b/>
      </w:rPr>
    </w:lvl>
    <w:lvl w:ilvl="1">
      <w:start w:val="1"/>
      <w:numFmt w:val="decimal"/>
      <w:suff w:val="space"/>
      <w:lvlText w:val="%1.%2."/>
      <w:lvlJc w:val="left"/>
      <w:pPr>
        <w:ind w:left="227" w:hanging="227"/>
      </w:pPr>
      <w:rPr>
        <w:b/>
      </w:rPr>
    </w:lvl>
    <w:lvl w:ilvl="2">
      <w:start w:val="1"/>
      <w:numFmt w:val="decimal"/>
      <w:suff w:val="space"/>
      <w:lvlText w:val="%3)"/>
      <w:lvlJc w:val="left"/>
      <w:pPr>
        <w:ind w:left="397" w:hanging="227"/>
      </w:pPr>
    </w:lvl>
    <w:lvl w:ilvl="3">
      <w:start w:val="1"/>
      <w:numFmt w:val="decimal"/>
      <w:lvlText w:val="%4)"/>
      <w:lvlJc w:val="left"/>
      <w:pPr>
        <w:ind w:left="700" w:hanging="360"/>
      </w:pPr>
      <w:rPr>
        <w:b w:val="0"/>
        <w:bCs w:val="0"/>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lvl>
    <w:lvl w:ilvl="6">
      <w:start w:val="1"/>
      <w:numFmt w:val="decimal"/>
      <w:lvlText w:val="%1.%2.%3.%4.%5.%6.%7."/>
      <w:lvlJc w:val="left"/>
      <w:pPr>
        <w:ind w:left="3446" w:hanging="1080"/>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 w15:restartNumberingAfterBreak="0">
    <w:nsid w:val="25724C1E"/>
    <w:multiLevelType w:val="multilevel"/>
    <w:tmpl w:val="5AE44230"/>
    <w:lvl w:ilvl="0">
      <w:start w:val="1"/>
      <w:numFmt w:val="decimal"/>
      <w:suff w:val="space"/>
      <w:lvlText w:val="%1."/>
      <w:lvlJc w:val="left"/>
      <w:pPr>
        <w:ind w:left="227" w:hanging="227"/>
      </w:pPr>
      <w:rPr>
        <w:rFonts w:ascii="Times New Roman" w:eastAsia="Times New Roman" w:hAnsi="Times New Roman" w:cs="Times New Roman"/>
        <w:b/>
      </w:rPr>
    </w:lvl>
    <w:lvl w:ilvl="1">
      <w:start w:val="1"/>
      <w:numFmt w:val="decimal"/>
      <w:suff w:val="space"/>
      <w:lvlText w:val="%1.%2."/>
      <w:lvlJc w:val="left"/>
      <w:pPr>
        <w:ind w:left="227" w:hanging="227"/>
      </w:pPr>
      <w:rPr>
        <w:b/>
      </w:rPr>
    </w:lvl>
    <w:lvl w:ilvl="2">
      <w:start w:val="1"/>
      <w:numFmt w:val="lowerLetter"/>
      <w:lvlText w:val="%3)"/>
      <w:lvlJc w:val="left"/>
      <w:pPr>
        <w:ind w:left="530" w:hanging="360"/>
      </w:pPr>
      <w:rPr>
        <w:rFonts w:hint="default"/>
        <w:sz w:val="20"/>
        <w:szCs w:val="20"/>
      </w:rPr>
    </w:lvl>
    <w:lvl w:ilvl="3">
      <w:start w:val="1"/>
      <w:numFmt w:val="decimal"/>
      <w:lvlText w:val="%4)"/>
      <w:lvlJc w:val="left"/>
      <w:pPr>
        <w:ind w:left="700" w:hanging="360"/>
      </w:pPr>
      <w:rPr>
        <w:b w:val="0"/>
        <w:bCs w:val="0"/>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lvl>
    <w:lvl w:ilvl="6">
      <w:start w:val="1"/>
      <w:numFmt w:val="decimal"/>
      <w:lvlText w:val="%1.%2.%3.%4.%5.%6.%7."/>
      <w:lvlJc w:val="left"/>
      <w:pPr>
        <w:ind w:left="3446" w:hanging="1080"/>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3" w15:restartNumberingAfterBreak="0">
    <w:nsid w:val="28A210F8"/>
    <w:multiLevelType w:val="hybridMultilevel"/>
    <w:tmpl w:val="30941F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BA511E3"/>
    <w:multiLevelType w:val="hybridMultilevel"/>
    <w:tmpl w:val="28EC3050"/>
    <w:lvl w:ilvl="0" w:tplc="E85255B0">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141575B"/>
    <w:multiLevelType w:val="multilevel"/>
    <w:tmpl w:val="6216716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ascii="Times New Roman" w:hAnsi="Times New Roman" w:cs="Times New Roman"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32C60E47"/>
    <w:multiLevelType w:val="multilevel"/>
    <w:tmpl w:val="0642735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7" w15:restartNumberingAfterBreak="0">
    <w:nsid w:val="391B0D1C"/>
    <w:multiLevelType w:val="multilevel"/>
    <w:tmpl w:val="5AE44230"/>
    <w:lvl w:ilvl="0">
      <w:start w:val="1"/>
      <w:numFmt w:val="decimal"/>
      <w:suff w:val="space"/>
      <w:lvlText w:val="%1."/>
      <w:lvlJc w:val="left"/>
      <w:pPr>
        <w:ind w:left="227" w:hanging="227"/>
      </w:pPr>
      <w:rPr>
        <w:rFonts w:ascii="Times New Roman" w:eastAsia="Times New Roman" w:hAnsi="Times New Roman" w:cs="Times New Roman"/>
        <w:b/>
      </w:rPr>
    </w:lvl>
    <w:lvl w:ilvl="1">
      <w:start w:val="1"/>
      <w:numFmt w:val="decimal"/>
      <w:suff w:val="space"/>
      <w:lvlText w:val="%1.%2."/>
      <w:lvlJc w:val="left"/>
      <w:pPr>
        <w:ind w:left="227" w:hanging="227"/>
      </w:pPr>
      <w:rPr>
        <w:b/>
      </w:rPr>
    </w:lvl>
    <w:lvl w:ilvl="2">
      <w:start w:val="1"/>
      <w:numFmt w:val="lowerLetter"/>
      <w:lvlText w:val="%3)"/>
      <w:lvlJc w:val="left"/>
      <w:pPr>
        <w:ind w:left="530" w:hanging="360"/>
      </w:pPr>
      <w:rPr>
        <w:rFonts w:hint="default"/>
        <w:sz w:val="20"/>
        <w:szCs w:val="20"/>
      </w:rPr>
    </w:lvl>
    <w:lvl w:ilvl="3">
      <w:start w:val="1"/>
      <w:numFmt w:val="decimal"/>
      <w:lvlText w:val="%4)"/>
      <w:lvlJc w:val="left"/>
      <w:pPr>
        <w:ind w:left="700" w:hanging="360"/>
      </w:pPr>
      <w:rPr>
        <w:b w:val="0"/>
        <w:bCs w:val="0"/>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lvl>
    <w:lvl w:ilvl="6">
      <w:start w:val="1"/>
      <w:numFmt w:val="decimal"/>
      <w:lvlText w:val="%1.%2.%3.%4.%5.%6.%7."/>
      <w:lvlJc w:val="left"/>
      <w:pPr>
        <w:ind w:left="3446" w:hanging="1080"/>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8" w15:restartNumberingAfterBreak="0">
    <w:nsid w:val="3D8F50F5"/>
    <w:multiLevelType w:val="multilevel"/>
    <w:tmpl w:val="FCA04CDC"/>
    <w:lvl w:ilvl="0">
      <w:start w:val="1"/>
      <w:numFmt w:val="decimal"/>
      <w:suff w:val="space"/>
      <w:lvlText w:val="%1."/>
      <w:lvlJc w:val="left"/>
      <w:pPr>
        <w:ind w:left="227" w:hanging="227"/>
      </w:pPr>
      <w:rPr>
        <w:rFonts w:ascii="Times New Roman" w:eastAsia="Times New Roman" w:hAnsi="Times New Roman" w:cs="Times New Roman"/>
        <w:b/>
      </w:rPr>
    </w:lvl>
    <w:lvl w:ilvl="1">
      <w:start w:val="1"/>
      <w:numFmt w:val="decimal"/>
      <w:suff w:val="space"/>
      <w:lvlText w:val="%1.%2."/>
      <w:lvlJc w:val="left"/>
      <w:pPr>
        <w:ind w:left="227" w:hanging="227"/>
      </w:pPr>
      <w:rPr>
        <w:b/>
      </w:rPr>
    </w:lvl>
    <w:lvl w:ilvl="2">
      <w:start w:val="1"/>
      <w:numFmt w:val="decimal"/>
      <w:suff w:val="space"/>
      <w:lvlText w:val="%3)"/>
      <w:lvlJc w:val="left"/>
      <w:pPr>
        <w:ind w:left="397" w:hanging="227"/>
      </w:pPr>
    </w:lvl>
    <w:lvl w:ilvl="3">
      <w:start w:val="1"/>
      <w:numFmt w:val="decimal"/>
      <w:lvlText w:val="%4)"/>
      <w:lvlJc w:val="left"/>
      <w:pPr>
        <w:ind w:left="700" w:hanging="360"/>
      </w:pPr>
      <w:rPr>
        <w:b w:val="0"/>
        <w:bCs w:val="0"/>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lvl>
    <w:lvl w:ilvl="6">
      <w:start w:val="1"/>
      <w:numFmt w:val="decimal"/>
      <w:lvlText w:val="%1.%2.%3.%4.%5.%6.%7."/>
      <w:lvlJc w:val="left"/>
      <w:pPr>
        <w:ind w:left="3446" w:hanging="1080"/>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9" w15:restartNumberingAfterBreak="0">
    <w:nsid w:val="41580870"/>
    <w:multiLevelType w:val="hybridMultilevel"/>
    <w:tmpl w:val="5D2CD1A8"/>
    <w:lvl w:ilvl="0" w:tplc="B516A732">
      <w:start w:val="1"/>
      <w:numFmt w:val="decimal"/>
      <w:lvlText w:val="%1)"/>
      <w:lvlJc w:val="left"/>
      <w:pPr>
        <w:ind w:left="-708" w:hanging="360"/>
      </w:pPr>
      <w:rPr>
        <w:b w:val="0"/>
        <w:bCs w:val="0"/>
      </w:rPr>
    </w:lvl>
    <w:lvl w:ilvl="1" w:tplc="04150019">
      <w:start w:val="1"/>
      <w:numFmt w:val="lowerLetter"/>
      <w:lvlText w:val="%2."/>
      <w:lvlJc w:val="left"/>
      <w:pPr>
        <w:ind w:left="12" w:hanging="360"/>
      </w:pPr>
    </w:lvl>
    <w:lvl w:ilvl="2" w:tplc="0415001B">
      <w:start w:val="1"/>
      <w:numFmt w:val="lowerRoman"/>
      <w:lvlText w:val="%3."/>
      <w:lvlJc w:val="right"/>
      <w:pPr>
        <w:ind w:left="732" w:hanging="180"/>
      </w:pPr>
    </w:lvl>
    <w:lvl w:ilvl="3" w:tplc="0415000F">
      <w:start w:val="1"/>
      <w:numFmt w:val="decimal"/>
      <w:lvlText w:val="%4."/>
      <w:lvlJc w:val="left"/>
      <w:pPr>
        <w:ind w:left="1452" w:hanging="360"/>
      </w:pPr>
    </w:lvl>
    <w:lvl w:ilvl="4" w:tplc="04150019" w:tentative="1">
      <w:start w:val="1"/>
      <w:numFmt w:val="lowerLetter"/>
      <w:lvlText w:val="%5."/>
      <w:lvlJc w:val="left"/>
      <w:pPr>
        <w:ind w:left="2172" w:hanging="360"/>
      </w:pPr>
    </w:lvl>
    <w:lvl w:ilvl="5" w:tplc="0415001B" w:tentative="1">
      <w:start w:val="1"/>
      <w:numFmt w:val="lowerRoman"/>
      <w:lvlText w:val="%6."/>
      <w:lvlJc w:val="right"/>
      <w:pPr>
        <w:ind w:left="2892" w:hanging="180"/>
      </w:pPr>
    </w:lvl>
    <w:lvl w:ilvl="6" w:tplc="0415000F" w:tentative="1">
      <w:start w:val="1"/>
      <w:numFmt w:val="decimal"/>
      <w:lvlText w:val="%7."/>
      <w:lvlJc w:val="left"/>
      <w:pPr>
        <w:ind w:left="3612" w:hanging="360"/>
      </w:pPr>
    </w:lvl>
    <w:lvl w:ilvl="7" w:tplc="04150019" w:tentative="1">
      <w:start w:val="1"/>
      <w:numFmt w:val="lowerLetter"/>
      <w:lvlText w:val="%8."/>
      <w:lvlJc w:val="left"/>
      <w:pPr>
        <w:ind w:left="4332" w:hanging="360"/>
      </w:pPr>
    </w:lvl>
    <w:lvl w:ilvl="8" w:tplc="0415001B" w:tentative="1">
      <w:start w:val="1"/>
      <w:numFmt w:val="lowerRoman"/>
      <w:lvlText w:val="%9."/>
      <w:lvlJc w:val="right"/>
      <w:pPr>
        <w:ind w:left="5052" w:hanging="180"/>
      </w:pPr>
    </w:lvl>
  </w:abstractNum>
  <w:abstractNum w:abstractNumId="10" w15:restartNumberingAfterBreak="0">
    <w:nsid w:val="467671BA"/>
    <w:multiLevelType w:val="multilevel"/>
    <w:tmpl w:val="0642735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1" w15:restartNumberingAfterBreak="0">
    <w:nsid w:val="47221EFA"/>
    <w:multiLevelType w:val="multilevel"/>
    <w:tmpl w:val="0642735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2" w15:restartNumberingAfterBreak="0">
    <w:nsid w:val="48646A38"/>
    <w:multiLevelType w:val="multilevel"/>
    <w:tmpl w:val="9A5894D0"/>
    <w:lvl w:ilvl="0">
      <w:start w:val="3"/>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3" w15:restartNumberingAfterBreak="0">
    <w:nsid w:val="52607F0F"/>
    <w:multiLevelType w:val="hybridMultilevel"/>
    <w:tmpl w:val="DDD017A0"/>
    <w:lvl w:ilvl="0" w:tplc="07C0B9E4">
      <w:start w:val="1"/>
      <w:numFmt w:val="bullet"/>
      <w:lvlText w:val=""/>
      <w:lvlJc w:val="left"/>
      <w:pPr>
        <w:ind w:left="947" w:hanging="360"/>
      </w:pPr>
      <w:rPr>
        <w:rFonts w:ascii="Symbol" w:hAnsi="Symbol" w:hint="default"/>
      </w:rPr>
    </w:lvl>
    <w:lvl w:ilvl="1" w:tplc="04150003" w:tentative="1">
      <w:start w:val="1"/>
      <w:numFmt w:val="bullet"/>
      <w:lvlText w:val="o"/>
      <w:lvlJc w:val="left"/>
      <w:pPr>
        <w:ind w:left="1667" w:hanging="360"/>
      </w:pPr>
      <w:rPr>
        <w:rFonts w:ascii="Courier New" w:hAnsi="Courier New" w:cs="Courier New" w:hint="default"/>
      </w:rPr>
    </w:lvl>
    <w:lvl w:ilvl="2" w:tplc="04150005" w:tentative="1">
      <w:start w:val="1"/>
      <w:numFmt w:val="bullet"/>
      <w:lvlText w:val=""/>
      <w:lvlJc w:val="left"/>
      <w:pPr>
        <w:ind w:left="2387" w:hanging="360"/>
      </w:pPr>
      <w:rPr>
        <w:rFonts w:ascii="Wingdings" w:hAnsi="Wingdings" w:hint="default"/>
      </w:rPr>
    </w:lvl>
    <w:lvl w:ilvl="3" w:tplc="04150001" w:tentative="1">
      <w:start w:val="1"/>
      <w:numFmt w:val="bullet"/>
      <w:lvlText w:val=""/>
      <w:lvlJc w:val="left"/>
      <w:pPr>
        <w:ind w:left="3107" w:hanging="360"/>
      </w:pPr>
      <w:rPr>
        <w:rFonts w:ascii="Symbol" w:hAnsi="Symbol" w:hint="default"/>
      </w:rPr>
    </w:lvl>
    <w:lvl w:ilvl="4" w:tplc="04150003" w:tentative="1">
      <w:start w:val="1"/>
      <w:numFmt w:val="bullet"/>
      <w:lvlText w:val="o"/>
      <w:lvlJc w:val="left"/>
      <w:pPr>
        <w:ind w:left="3827" w:hanging="360"/>
      </w:pPr>
      <w:rPr>
        <w:rFonts w:ascii="Courier New" w:hAnsi="Courier New" w:cs="Courier New" w:hint="default"/>
      </w:rPr>
    </w:lvl>
    <w:lvl w:ilvl="5" w:tplc="04150005" w:tentative="1">
      <w:start w:val="1"/>
      <w:numFmt w:val="bullet"/>
      <w:lvlText w:val=""/>
      <w:lvlJc w:val="left"/>
      <w:pPr>
        <w:ind w:left="4547" w:hanging="360"/>
      </w:pPr>
      <w:rPr>
        <w:rFonts w:ascii="Wingdings" w:hAnsi="Wingdings" w:hint="default"/>
      </w:rPr>
    </w:lvl>
    <w:lvl w:ilvl="6" w:tplc="04150001" w:tentative="1">
      <w:start w:val="1"/>
      <w:numFmt w:val="bullet"/>
      <w:lvlText w:val=""/>
      <w:lvlJc w:val="left"/>
      <w:pPr>
        <w:ind w:left="5267" w:hanging="360"/>
      </w:pPr>
      <w:rPr>
        <w:rFonts w:ascii="Symbol" w:hAnsi="Symbol" w:hint="default"/>
      </w:rPr>
    </w:lvl>
    <w:lvl w:ilvl="7" w:tplc="04150003" w:tentative="1">
      <w:start w:val="1"/>
      <w:numFmt w:val="bullet"/>
      <w:lvlText w:val="o"/>
      <w:lvlJc w:val="left"/>
      <w:pPr>
        <w:ind w:left="5987" w:hanging="360"/>
      </w:pPr>
      <w:rPr>
        <w:rFonts w:ascii="Courier New" w:hAnsi="Courier New" w:cs="Courier New" w:hint="default"/>
      </w:rPr>
    </w:lvl>
    <w:lvl w:ilvl="8" w:tplc="04150005" w:tentative="1">
      <w:start w:val="1"/>
      <w:numFmt w:val="bullet"/>
      <w:lvlText w:val=""/>
      <w:lvlJc w:val="left"/>
      <w:pPr>
        <w:ind w:left="6707" w:hanging="360"/>
      </w:pPr>
      <w:rPr>
        <w:rFonts w:ascii="Wingdings" w:hAnsi="Wingdings" w:hint="default"/>
      </w:rPr>
    </w:lvl>
  </w:abstractNum>
  <w:abstractNum w:abstractNumId="14" w15:restartNumberingAfterBreak="0">
    <w:nsid w:val="541C7047"/>
    <w:multiLevelType w:val="multilevel"/>
    <w:tmpl w:val="A37E85A0"/>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5" w15:restartNumberingAfterBreak="0">
    <w:nsid w:val="54307841"/>
    <w:multiLevelType w:val="hybridMultilevel"/>
    <w:tmpl w:val="3D124C0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5F4E0952"/>
    <w:multiLevelType w:val="multilevel"/>
    <w:tmpl w:val="FCA04CDC"/>
    <w:lvl w:ilvl="0">
      <w:start w:val="1"/>
      <w:numFmt w:val="decimal"/>
      <w:suff w:val="space"/>
      <w:lvlText w:val="%1."/>
      <w:lvlJc w:val="left"/>
      <w:pPr>
        <w:ind w:left="227" w:hanging="227"/>
      </w:pPr>
      <w:rPr>
        <w:rFonts w:ascii="Times New Roman" w:eastAsia="Times New Roman" w:hAnsi="Times New Roman" w:cs="Times New Roman"/>
        <w:b/>
      </w:rPr>
    </w:lvl>
    <w:lvl w:ilvl="1">
      <w:start w:val="1"/>
      <w:numFmt w:val="decimal"/>
      <w:suff w:val="space"/>
      <w:lvlText w:val="%1.%2."/>
      <w:lvlJc w:val="left"/>
      <w:pPr>
        <w:ind w:left="227" w:hanging="227"/>
      </w:pPr>
      <w:rPr>
        <w:b/>
      </w:rPr>
    </w:lvl>
    <w:lvl w:ilvl="2">
      <w:start w:val="1"/>
      <w:numFmt w:val="decimal"/>
      <w:suff w:val="space"/>
      <w:lvlText w:val="%3)"/>
      <w:lvlJc w:val="left"/>
      <w:pPr>
        <w:ind w:left="397" w:hanging="227"/>
      </w:pPr>
    </w:lvl>
    <w:lvl w:ilvl="3">
      <w:start w:val="1"/>
      <w:numFmt w:val="decimal"/>
      <w:lvlText w:val="%4)"/>
      <w:lvlJc w:val="left"/>
      <w:pPr>
        <w:ind w:left="700" w:hanging="360"/>
      </w:pPr>
      <w:rPr>
        <w:b w:val="0"/>
        <w:bCs w:val="0"/>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lvl>
    <w:lvl w:ilvl="6">
      <w:start w:val="1"/>
      <w:numFmt w:val="decimal"/>
      <w:lvlText w:val="%1.%2.%3.%4.%5.%6.%7."/>
      <w:lvlJc w:val="left"/>
      <w:pPr>
        <w:ind w:left="3446" w:hanging="1080"/>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7" w15:restartNumberingAfterBreak="0">
    <w:nsid w:val="62C9101F"/>
    <w:multiLevelType w:val="multilevel"/>
    <w:tmpl w:val="FCA04CDC"/>
    <w:lvl w:ilvl="0">
      <w:start w:val="1"/>
      <w:numFmt w:val="decimal"/>
      <w:suff w:val="space"/>
      <w:lvlText w:val="%1."/>
      <w:lvlJc w:val="left"/>
      <w:pPr>
        <w:ind w:left="227" w:hanging="227"/>
      </w:pPr>
      <w:rPr>
        <w:rFonts w:ascii="Times New Roman" w:eastAsia="Times New Roman" w:hAnsi="Times New Roman" w:cs="Times New Roman"/>
        <w:b/>
      </w:rPr>
    </w:lvl>
    <w:lvl w:ilvl="1">
      <w:start w:val="1"/>
      <w:numFmt w:val="decimal"/>
      <w:suff w:val="space"/>
      <w:lvlText w:val="%1.%2."/>
      <w:lvlJc w:val="left"/>
      <w:pPr>
        <w:ind w:left="227" w:hanging="227"/>
      </w:pPr>
      <w:rPr>
        <w:b/>
      </w:rPr>
    </w:lvl>
    <w:lvl w:ilvl="2">
      <w:start w:val="1"/>
      <w:numFmt w:val="decimal"/>
      <w:suff w:val="space"/>
      <w:lvlText w:val="%3)"/>
      <w:lvlJc w:val="left"/>
      <w:pPr>
        <w:ind w:left="397" w:hanging="227"/>
      </w:pPr>
    </w:lvl>
    <w:lvl w:ilvl="3">
      <w:start w:val="1"/>
      <w:numFmt w:val="decimal"/>
      <w:lvlText w:val="%4)"/>
      <w:lvlJc w:val="left"/>
      <w:pPr>
        <w:ind w:left="700" w:hanging="360"/>
      </w:pPr>
      <w:rPr>
        <w:b w:val="0"/>
        <w:bCs w:val="0"/>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lvl>
    <w:lvl w:ilvl="6">
      <w:start w:val="1"/>
      <w:numFmt w:val="decimal"/>
      <w:lvlText w:val="%1.%2.%3.%4.%5.%6.%7."/>
      <w:lvlJc w:val="left"/>
      <w:pPr>
        <w:ind w:left="3446" w:hanging="1080"/>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8" w15:restartNumberingAfterBreak="0">
    <w:nsid w:val="63200D59"/>
    <w:multiLevelType w:val="multilevel"/>
    <w:tmpl w:val="FCA04CDC"/>
    <w:lvl w:ilvl="0">
      <w:start w:val="1"/>
      <w:numFmt w:val="decimal"/>
      <w:suff w:val="space"/>
      <w:lvlText w:val="%1."/>
      <w:lvlJc w:val="left"/>
      <w:pPr>
        <w:ind w:left="227" w:hanging="227"/>
      </w:pPr>
      <w:rPr>
        <w:rFonts w:ascii="Times New Roman" w:eastAsia="Times New Roman" w:hAnsi="Times New Roman" w:cs="Times New Roman"/>
        <w:b/>
      </w:rPr>
    </w:lvl>
    <w:lvl w:ilvl="1">
      <w:start w:val="1"/>
      <w:numFmt w:val="decimal"/>
      <w:suff w:val="space"/>
      <w:lvlText w:val="%1.%2."/>
      <w:lvlJc w:val="left"/>
      <w:pPr>
        <w:ind w:left="227" w:hanging="227"/>
      </w:pPr>
      <w:rPr>
        <w:b/>
      </w:rPr>
    </w:lvl>
    <w:lvl w:ilvl="2">
      <w:start w:val="1"/>
      <w:numFmt w:val="decimal"/>
      <w:suff w:val="space"/>
      <w:lvlText w:val="%3)"/>
      <w:lvlJc w:val="left"/>
      <w:pPr>
        <w:ind w:left="397" w:hanging="227"/>
      </w:pPr>
    </w:lvl>
    <w:lvl w:ilvl="3">
      <w:start w:val="1"/>
      <w:numFmt w:val="decimal"/>
      <w:lvlText w:val="%4)"/>
      <w:lvlJc w:val="left"/>
      <w:pPr>
        <w:ind w:left="700" w:hanging="360"/>
      </w:pPr>
      <w:rPr>
        <w:b w:val="0"/>
        <w:bCs w:val="0"/>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lvl>
    <w:lvl w:ilvl="6">
      <w:start w:val="1"/>
      <w:numFmt w:val="decimal"/>
      <w:lvlText w:val="%1.%2.%3.%4.%5.%6.%7."/>
      <w:lvlJc w:val="left"/>
      <w:pPr>
        <w:ind w:left="3446" w:hanging="1080"/>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9" w15:restartNumberingAfterBreak="0">
    <w:nsid w:val="63712BEE"/>
    <w:multiLevelType w:val="multilevel"/>
    <w:tmpl w:val="EE64FAA8"/>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lvl>
    <w:lvl w:ilvl="4">
      <w:start w:val="1"/>
      <w:numFmt w:val="lowerLetter"/>
      <w:suff w:val="space"/>
      <w:lvlText w:val="%5)"/>
      <w:lvlJc w:val="left"/>
      <w:pPr>
        <w:ind w:left="680" w:hanging="226"/>
      </w:p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0" w15:restartNumberingAfterBreak="0">
    <w:nsid w:val="6AA517AD"/>
    <w:multiLevelType w:val="multilevel"/>
    <w:tmpl w:val="FCA04CDC"/>
    <w:lvl w:ilvl="0">
      <w:start w:val="1"/>
      <w:numFmt w:val="decimal"/>
      <w:suff w:val="space"/>
      <w:lvlText w:val="%1."/>
      <w:lvlJc w:val="left"/>
      <w:pPr>
        <w:ind w:left="227" w:hanging="227"/>
      </w:pPr>
      <w:rPr>
        <w:rFonts w:ascii="Times New Roman" w:eastAsia="Times New Roman" w:hAnsi="Times New Roman" w:cs="Times New Roman"/>
        <w:b/>
      </w:rPr>
    </w:lvl>
    <w:lvl w:ilvl="1">
      <w:start w:val="1"/>
      <w:numFmt w:val="decimal"/>
      <w:suff w:val="space"/>
      <w:lvlText w:val="%1.%2."/>
      <w:lvlJc w:val="left"/>
      <w:pPr>
        <w:ind w:left="227" w:hanging="227"/>
      </w:pPr>
      <w:rPr>
        <w:b/>
      </w:rPr>
    </w:lvl>
    <w:lvl w:ilvl="2">
      <w:start w:val="1"/>
      <w:numFmt w:val="decimal"/>
      <w:suff w:val="space"/>
      <w:lvlText w:val="%3)"/>
      <w:lvlJc w:val="left"/>
      <w:pPr>
        <w:ind w:left="397" w:hanging="227"/>
      </w:pPr>
    </w:lvl>
    <w:lvl w:ilvl="3">
      <w:start w:val="1"/>
      <w:numFmt w:val="decimal"/>
      <w:lvlText w:val="%4)"/>
      <w:lvlJc w:val="left"/>
      <w:pPr>
        <w:ind w:left="700" w:hanging="360"/>
      </w:pPr>
      <w:rPr>
        <w:b w:val="0"/>
        <w:bCs w:val="0"/>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lvl>
    <w:lvl w:ilvl="6">
      <w:start w:val="1"/>
      <w:numFmt w:val="decimal"/>
      <w:lvlText w:val="%1.%2.%3.%4.%5.%6.%7."/>
      <w:lvlJc w:val="left"/>
      <w:pPr>
        <w:ind w:left="3446" w:hanging="1080"/>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1" w15:restartNumberingAfterBreak="0">
    <w:nsid w:val="760D2A53"/>
    <w:multiLevelType w:val="multilevel"/>
    <w:tmpl w:val="0642735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2" w15:restartNumberingAfterBreak="0">
    <w:nsid w:val="76253087"/>
    <w:multiLevelType w:val="multilevel"/>
    <w:tmpl w:val="FCA04CDC"/>
    <w:lvl w:ilvl="0">
      <w:start w:val="1"/>
      <w:numFmt w:val="decimal"/>
      <w:suff w:val="space"/>
      <w:lvlText w:val="%1."/>
      <w:lvlJc w:val="left"/>
      <w:pPr>
        <w:ind w:left="227" w:hanging="227"/>
      </w:pPr>
      <w:rPr>
        <w:rFonts w:ascii="Times New Roman" w:eastAsia="Times New Roman" w:hAnsi="Times New Roman" w:cs="Times New Roman"/>
        <w:b/>
      </w:rPr>
    </w:lvl>
    <w:lvl w:ilvl="1">
      <w:start w:val="1"/>
      <w:numFmt w:val="decimal"/>
      <w:suff w:val="space"/>
      <w:lvlText w:val="%1.%2."/>
      <w:lvlJc w:val="left"/>
      <w:pPr>
        <w:ind w:left="227" w:hanging="227"/>
      </w:pPr>
      <w:rPr>
        <w:b/>
      </w:rPr>
    </w:lvl>
    <w:lvl w:ilvl="2">
      <w:start w:val="1"/>
      <w:numFmt w:val="decimal"/>
      <w:suff w:val="space"/>
      <w:lvlText w:val="%3)"/>
      <w:lvlJc w:val="left"/>
      <w:pPr>
        <w:ind w:left="397" w:hanging="227"/>
      </w:pPr>
    </w:lvl>
    <w:lvl w:ilvl="3">
      <w:start w:val="1"/>
      <w:numFmt w:val="decimal"/>
      <w:lvlText w:val="%4)"/>
      <w:lvlJc w:val="left"/>
      <w:pPr>
        <w:ind w:left="700" w:hanging="360"/>
      </w:pPr>
      <w:rPr>
        <w:b w:val="0"/>
        <w:bCs w:val="0"/>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lvl>
    <w:lvl w:ilvl="6">
      <w:start w:val="1"/>
      <w:numFmt w:val="decimal"/>
      <w:lvlText w:val="%1.%2.%3.%4.%5.%6.%7."/>
      <w:lvlJc w:val="left"/>
      <w:pPr>
        <w:ind w:left="3446" w:hanging="1080"/>
      </w:pPr>
    </w:lvl>
    <w:lvl w:ilvl="7">
      <w:start w:val="1"/>
      <w:numFmt w:val="decimal"/>
      <w:lvlText w:val="%1.%2.%3.%4.%5.%6.%7.%8."/>
      <w:lvlJc w:val="left"/>
      <w:pPr>
        <w:ind w:left="3950" w:hanging="1224"/>
      </w:pPr>
    </w:lvl>
    <w:lvl w:ilvl="8">
      <w:start w:val="1"/>
      <w:numFmt w:val="decimal"/>
      <w:lvlText w:val="%1.%2.%3.%4.%5.%6.%7.%8.%9."/>
      <w:lvlJc w:val="left"/>
      <w:pPr>
        <w:ind w:left="4526" w:hanging="1440"/>
      </w:pPr>
    </w:lvl>
  </w:abstractNum>
  <w:num w:numId="1" w16cid:durableId="2001693166">
    <w:abstractNumId w:val="10"/>
  </w:num>
  <w:num w:numId="2" w16cid:durableId="348530311">
    <w:abstractNumId w:val="14"/>
  </w:num>
  <w:num w:numId="3" w16cid:durableId="978849190">
    <w:abstractNumId w:val="21"/>
  </w:num>
  <w:num w:numId="4" w16cid:durableId="1300300648">
    <w:abstractNumId w:val="20"/>
  </w:num>
  <w:num w:numId="5" w16cid:durableId="1663971965">
    <w:abstractNumId w:val="13"/>
  </w:num>
  <w:num w:numId="6" w16cid:durableId="800879358">
    <w:abstractNumId w:val="12"/>
  </w:num>
  <w:num w:numId="7" w16cid:durableId="1167751670">
    <w:abstractNumId w:val="6"/>
  </w:num>
  <w:num w:numId="8" w16cid:durableId="21408755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 w16cid:durableId="800465837">
    <w:abstractNumId w:val="9"/>
  </w:num>
  <w:num w:numId="10" w16cid:durableId="1492868912">
    <w:abstractNumId w:val="4"/>
  </w:num>
  <w:num w:numId="11" w16cid:durableId="1502037794">
    <w:abstractNumId w:val="3"/>
  </w:num>
  <w:num w:numId="12" w16cid:durableId="1791168526">
    <w:abstractNumId w:val="11"/>
  </w:num>
  <w:num w:numId="13" w16cid:durableId="422992858">
    <w:abstractNumId w:val="5"/>
  </w:num>
  <w:num w:numId="14" w16cid:durableId="999043517">
    <w:abstractNumId w:val="18"/>
  </w:num>
  <w:num w:numId="15" w16cid:durableId="133453682">
    <w:abstractNumId w:val="0"/>
  </w:num>
  <w:num w:numId="16" w16cid:durableId="859047017">
    <w:abstractNumId w:val="15"/>
  </w:num>
  <w:num w:numId="17" w16cid:durableId="867370611">
    <w:abstractNumId w:val="16"/>
  </w:num>
  <w:num w:numId="18" w16cid:durableId="667906486">
    <w:abstractNumId w:val="7"/>
  </w:num>
  <w:num w:numId="19" w16cid:durableId="1459255657">
    <w:abstractNumId w:val="22"/>
  </w:num>
  <w:num w:numId="20" w16cid:durableId="1398481992">
    <w:abstractNumId w:val="2"/>
  </w:num>
  <w:num w:numId="21" w16cid:durableId="525827615">
    <w:abstractNumId w:val="17"/>
  </w:num>
  <w:num w:numId="22" w16cid:durableId="1822309105">
    <w:abstractNumId w:val="1"/>
  </w:num>
  <w:num w:numId="23" w16cid:durableId="20745028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24E"/>
    <w:rsid w:val="0008159E"/>
    <w:rsid w:val="000F6E3E"/>
    <w:rsid w:val="00192702"/>
    <w:rsid w:val="00233E9B"/>
    <w:rsid w:val="003E7055"/>
    <w:rsid w:val="004A2DD1"/>
    <w:rsid w:val="004D291F"/>
    <w:rsid w:val="006424DE"/>
    <w:rsid w:val="006B69AD"/>
    <w:rsid w:val="006F506A"/>
    <w:rsid w:val="00735201"/>
    <w:rsid w:val="00777359"/>
    <w:rsid w:val="00787C93"/>
    <w:rsid w:val="00826C22"/>
    <w:rsid w:val="0086724E"/>
    <w:rsid w:val="008D27DA"/>
    <w:rsid w:val="009E5E7E"/>
    <w:rsid w:val="00A90B92"/>
    <w:rsid w:val="00AA5E03"/>
    <w:rsid w:val="00AE3758"/>
    <w:rsid w:val="00CA6621"/>
    <w:rsid w:val="00DF6862"/>
    <w:rsid w:val="00EB4123"/>
    <w:rsid w:val="00EB5A7D"/>
    <w:rsid w:val="00F15032"/>
    <w:rsid w:val="00F30E39"/>
    <w:rsid w:val="00F935B8"/>
    <w:rsid w:val="00FF56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31654"/>
  <w15:chartTrackingRefBased/>
  <w15:docId w15:val="{9D081487-386C-4677-9C54-7081BF1FD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724E"/>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tyl moj,Akapit z listą11,List Paragraph,podpunkt ankietyy,Bullet List,Table Legend"/>
    <w:basedOn w:val="Normalny"/>
    <w:link w:val="AkapitzlistZnak"/>
    <w:uiPriority w:val="34"/>
    <w:qFormat/>
    <w:rsid w:val="0086724E"/>
    <w:pPr>
      <w:ind w:left="720"/>
      <w:contextualSpacing/>
    </w:pPr>
  </w:style>
  <w:style w:type="character" w:customStyle="1" w:styleId="AkapitzlistZnak">
    <w:name w:val="Akapit z listą Znak"/>
    <w:aliases w:val="Styl moj Znak,Akapit z listą11 Znak,List Paragraph Znak,podpunkt ankietyy Znak,Bullet List Znak,Table Legend Znak"/>
    <w:basedOn w:val="Domylnaczcionkaakapitu"/>
    <w:link w:val="Akapitzlist"/>
    <w:uiPriority w:val="34"/>
    <w:locked/>
    <w:rsid w:val="0086724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62BA5-2956-4BB8-A583-80F61FC95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872</Words>
  <Characters>5236</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Klimkowska Katarzyna</dc:creator>
  <cp:keywords/>
  <dc:description/>
  <cp:lastModifiedBy>Wilk Justyna</cp:lastModifiedBy>
  <cp:revision>5</cp:revision>
  <dcterms:created xsi:type="dcterms:W3CDTF">2023-06-02T09:22:00Z</dcterms:created>
  <dcterms:modified xsi:type="dcterms:W3CDTF">2023-06-07T16:59:00Z</dcterms:modified>
</cp:coreProperties>
</file>