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i1jasna"/>
        <w:tblW w:w="9540" w:type="dxa"/>
        <w:tblLayout w:type="fixed"/>
        <w:tblLook w:val="04A0" w:firstRow="1" w:lastRow="0" w:firstColumn="1" w:lastColumn="0" w:noHBand="0" w:noVBand="1"/>
      </w:tblPr>
      <w:tblGrid>
        <w:gridCol w:w="5400"/>
        <w:gridCol w:w="4140"/>
      </w:tblGrid>
      <w:tr w:rsidR="002421EF" w:rsidRPr="007652E3" w14:paraId="317551D5" w14:textId="77777777" w:rsidTr="00CB0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bookmarkStart w:id="0" w:name="_GoBack"/>
          <w:bookmarkEnd w:id="0"/>
          <w:p w14:paraId="4ACB1BED" w14:textId="721551D4" w:rsidR="002421EF" w:rsidRPr="007652E3" w:rsidRDefault="00CB0854" w:rsidP="00CB0854">
            <w:pPr>
              <w:rPr>
                <w:rFonts w:asciiTheme="minorHAnsi" w:hAnsiTheme="minorHAnsi" w:cstheme="minorHAnsi"/>
                <w:b w:val="0"/>
                <w:bCs w:val="0"/>
              </w:rPr>
            </w:pPr>
            <w:r w:rsidRPr="007652E3">
              <w:rPr>
                <w:rFonts w:asciiTheme="minorHAnsi" w:hAnsiTheme="minorHAnsi" w:cstheme="minorHAnsi"/>
                <w:b w:val="0"/>
                <w:bCs w:val="0"/>
              </w:rPr>
              <w:object w:dxaOrig="641" w:dyaOrig="721" w14:anchorId="25EA6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dło Rzeczypospolitej Polskiej, wizerunek orła" style="width:38.8pt;height:40.05pt" o:ole="" fillcolor="window">
                  <v:imagedata r:id="rId8" o:title=""/>
                </v:shape>
                <o:OLEObject Type="Embed" ProgID="Word.Picture.8" ShapeID="_x0000_i1025" DrawAspect="Content" ObjectID="_1750830024" r:id="rId9"/>
              </w:object>
            </w:r>
          </w:p>
          <w:p w14:paraId="6CFB2F68" w14:textId="77777777" w:rsidR="002421EF" w:rsidRPr="007652E3" w:rsidRDefault="002421EF" w:rsidP="00CB0854">
            <w:pPr>
              <w:rPr>
                <w:rFonts w:asciiTheme="minorHAnsi" w:hAnsiTheme="minorHAnsi" w:cstheme="minorHAnsi"/>
                <w:b w:val="0"/>
                <w:bCs w:val="0"/>
              </w:rPr>
            </w:pPr>
          </w:p>
          <w:p w14:paraId="7B56A097" w14:textId="77777777" w:rsidR="00437BEF" w:rsidRPr="007652E3" w:rsidRDefault="009F3560" w:rsidP="00CB0854">
            <w:pPr>
              <w:spacing w:line="216" w:lineRule="auto"/>
              <w:rPr>
                <w:rFonts w:asciiTheme="minorHAnsi" w:hAnsiTheme="minorHAnsi" w:cstheme="minorHAnsi"/>
                <w:b w:val="0"/>
                <w:bCs w:val="0"/>
                <w:smallCaps/>
              </w:rPr>
            </w:pPr>
            <w:r w:rsidRPr="007652E3">
              <w:rPr>
                <w:rFonts w:asciiTheme="minorHAnsi" w:hAnsiTheme="minorHAnsi" w:cstheme="minorHAnsi"/>
                <w:b w:val="0"/>
                <w:bCs w:val="0"/>
                <w:smallCaps/>
              </w:rPr>
              <w:t>Generalny Dyrektor</w:t>
            </w:r>
            <w:r w:rsidR="002421EF" w:rsidRPr="007652E3">
              <w:rPr>
                <w:rFonts w:asciiTheme="minorHAnsi" w:hAnsiTheme="minorHAnsi" w:cstheme="minorHAnsi"/>
                <w:b w:val="0"/>
                <w:bCs w:val="0"/>
                <w:smallCaps/>
              </w:rPr>
              <w:t xml:space="preserve"> </w:t>
            </w:r>
          </w:p>
          <w:p w14:paraId="455BABC7" w14:textId="77777777" w:rsidR="009F3560" w:rsidRPr="007652E3" w:rsidRDefault="002421EF" w:rsidP="00CB0854">
            <w:pPr>
              <w:spacing w:line="216" w:lineRule="auto"/>
              <w:rPr>
                <w:rFonts w:asciiTheme="minorHAnsi" w:hAnsiTheme="minorHAnsi" w:cstheme="minorHAnsi"/>
                <w:b w:val="0"/>
                <w:bCs w:val="0"/>
                <w:smallCaps/>
              </w:rPr>
            </w:pPr>
            <w:r w:rsidRPr="007652E3">
              <w:rPr>
                <w:rFonts w:asciiTheme="minorHAnsi" w:hAnsiTheme="minorHAnsi" w:cstheme="minorHAnsi"/>
                <w:b w:val="0"/>
                <w:bCs w:val="0"/>
                <w:smallCaps/>
              </w:rPr>
              <w:t>Ochrony Środowiska</w:t>
            </w:r>
          </w:p>
          <w:p w14:paraId="68D9D2EC" w14:textId="77777777" w:rsidR="00EA12EE" w:rsidRPr="007652E3" w:rsidRDefault="00EA12EE" w:rsidP="00CB0854">
            <w:pPr>
              <w:rPr>
                <w:rFonts w:asciiTheme="minorHAnsi" w:hAnsiTheme="minorHAnsi" w:cstheme="minorHAnsi"/>
                <w:b w:val="0"/>
                <w:bCs w:val="0"/>
                <w:smallCaps/>
              </w:rPr>
            </w:pPr>
          </w:p>
        </w:tc>
        <w:tc>
          <w:tcPr>
            <w:tcW w:w="4140" w:type="dxa"/>
          </w:tcPr>
          <w:p w14:paraId="077D9B94" w14:textId="77777777" w:rsidR="00686FC2" w:rsidRPr="007652E3" w:rsidRDefault="00686FC2" w:rsidP="00CB0854">
            <w:pPr>
              <w:pStyle w:val="Tekstpodstawowy"/>
              <w:tabs>
                <w:tab w:val="left" w:pos="567"/>
              </w:tabs>
              <w:spacing w:line="312" w:lineRule="auto"/>
              <w:ind w:firstLine="56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p>
          <w:p w14:paraId="6527585A" w14:textId="421089D0" w:rsidR="002421EF" w:rsidRPr="007652E3" w:rsidRDefault="002421EF" w:rsidP="00CB0854">
            <w:pPr>
              <w:pStyle w:val="Tekstpodstawowy"/>
              <w:tabs>
                <w:tab w:val="left" w:pos="567"/>
                <w:tab w:val="left" w:pos="3855"/>
              </w:tabs>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p>
        </w:tc>
      </w:tr>
    </w:tbl>
    <w:p w14:paraId="7F3B8EA0" w14:textId="15DEE60E" w:rsidR="00F43436" w:rsidRPr="007652E3" w:rsidRDefault="00C25EE8" w:rsidP="00CB0854">
      <w:pPr>
        <w:spacing w:line="312" w:lineRule="auto"/>
        <w:rPr>
          <w:rFonts w:asciiTheme="minorHAnsi" w:hAnsiTheme="minorHAnsi" w:cstheme="minorHAnsi"/>
        </w:rPr>
      </w:pPr>
      <w:r w:rsidRPr="007652E3">
        <w:rPr>
          <w:rFonts w:asciiTheme="minorHAnsi" w:hAnsiTheme="minorHAnsi" w:cstheme="minorHAnsi"/>
        </w:rPr>
        <w:t>Warszawa, dnia</w:t>
      </w:r>
      <w:r w:rsidRPr="007652E3">
        <w:rPr>
          <w:rFonts w:asciiTheme="minorHAnsi" w:hAnsiTheme="minorHAnsi" w:cstheme="minorHAnsi"/>
        </w:rPr>
        <w:t xml:space="preserve"> 12 </w:t>
      </w:r>
      <w:r w:rsidRPr="007652E3">
        <w:rPr>
          <w:rFonts w:asciiTheme="minorHAnsi" w:hAnsiTheme="minorHAnsi" w:cstheme="minorHAnsi"/>
        </w:rPr>
        <w:t>grudnia 2022 r.</w:t>
      </w:r>
      <w:r w:rsidRPr="007652E3">
        <w:rPr>
          <w:rFonts w:asciiTheme="minorHAnsi" w:hAnsiTheme="minorHAnsi" w:cstheme="minorHAnsi"/>
        </w:rPr>
        <w:br/>
      </w:r>
      <w:r w:rsidR="00492D24" w:rsidRPr="007652E3">
        <w:rPr>
          <w:rFonts w:asciiTheme="minorHAnsi" w:hAnsiTheme="minorHAnsi" w:cstheme="minorHAnsi"/>
        </w:rPr>
        <w:t>DOOŚ-WDŚ</w:t>
      </w:r>
      <w:r w:rsidR="000F0333" w:rsidRPr="007652E3">
        <w:rPr>
          <w:rFonts w:asciiTheme="minorHAnsi" w:hAnsiTheme="minorHAnsi" w:cstheme="minorHAnsi"/>
        </w:rPr>
        <w:t>/</w:t>
      </w:r>
      <w:r w:rsidR="00492D24" w:rsidRPr="007652E3">
        <w:rPr>
          <w:rFonts w:asciiTheme="minorHAnsi" w:hAnsiTheme="minorHAnsi" w:cstheme="minorHAnsi"/>
        </w:rPr>
        <w:t>ZOO.420.</w:t>
      </w:r>
      <w:r w:rsidR="000F0333" w:rsidRPr="007652E3">
        <w:rPr>
          <w:rFonts w:asciiTheme="minorHAnsi" w:hAnsiTheme="minorHAnsi" w:cstheme="minorHAnsi"/>
        </w:rPr>
        <w:t>117.2018.MW.US</w:t>
      </w:r>
      <w:r w:rsidR="009C4924" w:rsidRPr="007652E3">
        <w:rPr>
          <w:rFonts w:asciiTheme="minorHAnsi" w:hAnsiTheme="minorHAnsi" w:cstheme="minorHAnsi"/>
        </w:rPr>
        <w:t>.</w:t>
      </w:r>
      <w:r w:rsidR="008E3AA0" w:rsidRPr="007652E3">
        <w:rPr>
          <w:rFonts w:asciiTheme="minorHAnsi" w:hAnsiTheme="minorHAnsi" w:cstheme="minorHAnsi"/>
        </w:rPr>
        <w:t>20</w:t>
      </w:r>
    </w:p>
    <w:p w14:paraId="44FA6FBA" w14:textId="4A0DD9E7" w:rsidR="00DE76C9" w:rsidRPr="007652E3" w:rsidRDefault="00DE76C9" w:rsidP="006514D7">
      <w:pPr>
        <w:pStyle w:val="Bezodstpw"/>
        <w:rPr>
          <w:rFonts w:cstheme="minorHAnsi"/>
          <w:sz w:val="24"/>
          <w:szCs w:val="24"/>
        </w:rPr>
      </w:pPr>
      <w:r w:rsidRPr="007652E3">
        <w:rPr>
          <w:rFonts w:cstheme="minorHAnsi"/>
          <w:sz w:val="24"/>
          <w:szCs w:val="24"/>
        </w:rPr>
        <w:t>DECYZJA</w:t>
      </w:r>
    </w:p>
    <w:p w14:paraId="7D3A1188" w14:textId="1EAF807B" w:rsidR="000F0333" w:rsidRPr="007652E3" w:rsidRDefault="000F0333" w:rsidP="00CB0854">
      <w:pPr>
        <w:pStyle w:val="Tekstpodstawowy"/>
        <w:spacing w:after="120" w:line="312" w:lineRule="auto"/>
        <w:rPr>
          <w:rFonts w:asciiTheme="minorHAnsi" w:hAnsiTheme="minorHAnsi" w:cstheme="minorHAnsi"/>
          <w:szCs w:val="24"/>
        </w:rPr>
      </w:pPr>
      <w:r w:rsidRPr="007652E3">
        <w:rPr>
          <w:rFonts w:asciiTheme="minorHAnsi" w:hAnsiTheme="minorHAnsi" w:cstheme="minorHAnsi"/>
          <w:szCs w:val="24"/>
        </w:rPr>
        <w:t xml:space="preserve">Na podstawie art. 138 § </w:t>
      </w:r>
      <w:r w:rsidR="00A67B85" w:rsidRPr="007652E3">
        <w:rPr>
          <w:rFonts w:asciiTheme="minorHAnsi" w:hAnsiTheme="minorHAnsi" w:cstheme="minorHAnsi"/>
          <w:szCs w:val="24"/>
        </w:rPr>
        <w:t>2</w:t>
      </w:r>
      <w:r w:rsidRPr="007652E3">
        <w:rPr>
          <w:rFonts w:asciiTheme="minorHAnsi" w:hAnsiTheme="minorHAnsi" w:cstheme="minorHAnsi"/>
          <w:szCs w:val="24"/>
        </w:rPr>
        <w:t xml:space="preserve"> ustawy z dnia 14 czerwca 1960 r. </w:t>
      </w:r>
      <w:r w:rsidRPr="007652E3">
        <w:rPr>
          <w:rFonts w:asciiTheme="minorHAnsi" w:hAnsiTheme="minorHAnsi" w:cstheme="minorHAnsi"/>
          <w:iCs/>
          <w:szCs w:val="24"/>
        </w:rPr>
        <w:t>− Kodeks postępowania administracyjnego</w:t>
      </w:r>
      <w:r w:rsidRPr="007652E3">
        <w:rPr>
          <w:rFonts w:asciiTheme="minorHAnsi" w:hAnsiTheme="minorHAnsi" w:cstheme="minorHAnsi"/>
          <w:szCs w:val="24"/>
        </w:rPr>
        <w:t xml:space="preserve"> (Dz. U. z 2022 r. poz. 2000</w:t>
      </w:r>
      <w:r w:rsidR="00194C32" w:rsidRPr="007652E3">
        <w:rPr>
          <w:rFonts w:asciiTheme="minorHAnsi" w:hAnsiTheme="minorHAnsi" w:cstheme="minorHAnsi"/>
          <w:szCs w:val="24"/>
        </w:rPr>
        <w:t>, ze zm.</w:t>
      </w:r>
      <w:r w:rsidRPr="007652E3">
        <w:rPr>
          <w:rFonts w:asciiTheme="minorHAnsi" w:hAnsiTheme="minorHAnsi" w:cstheme="minorHAnsi"/>
          <w:szCs w:val="24"/>
        </w:rPr>
        <w:t xml:space="preserve">), dalej </w:t>
      </w:r>
      <w:r w:rsidRPr="007652E3">
        <w:rPr>
          <w:rFonts w:asciiTheme="minorHAnsi" w:hAnsiTheme="minorHAnsi" w:cstheme="minorHAnsi"/>
          <w:iCs/>
          <w:szCs w:val="24"/>
        </w:rPr>
        <w:t>kpa</w:t>
      </w:r>
      <w:r w:rsidRPr="007652E3">
        <w:rPr>
          <w:rFonts w:asciiTheme="minorHAnsi" w:hAnsiTheme="minorHAnsi" w:cstheme="minorHAnsi"/>
          <w:szCs w:val="24"/>
        </w:rPr>
        <w:t>,</w:t>
      </w:r>
      <w:r w:rsidR="00A87830" w:rsidRPr="007652E3">
        <w:rPr>
          <w:rFonts w:asciiTheme="minorHAnsi" w:hAnsiTheme="minorHAnsi" w:cstheme="minorHAnsi"/>
          <w:szCs w:val="24"/>
        </w:rPr>
        <w:t xml:space="preserve"> </w:t>
      </w:r>
      <w:r w:rsidRPr="007652E3">
        <w:rPr>
          <w:rFonts w:asciiTheme="minorHAnsi" w:hAnsiTheme="minorHAnsi" w:cstheme="minorHAnsi"/>
          <w:szCs w:val="24"/>
        </w:rPr>
        <w:t xml:space="preserve">po rozpatrzeniu odwołania Towarzystwa </w:t>
      </w:r>
      <w:r w:rsidR="00C75B25" w:rsidRPr="007652E3">
        <w:rPr>
          <w:rFonts w:asciiTheme="minorHAnsi" w:hAnsiTheme="minorHAnsi" w:cstheme="minorHAnsi"/>
          <w:szCs w:val="24"/>
        </w:rPr>
        <w:t>n</w:t>
      </w:r>
      <w:r w:rsidRPr="007652E3">
        <w:rPr>
          <w:rFonts w:asciiTheme="minorHAnsi" w:hAnsiTheme="minorHAnsi" w:cstheme="minorHAnsi"/>
          <w:szCs w:val="24"/>
        </w:rPr>
        <w:t xml:space="preserve">a </w:t>
      </w:r>
      <w:r w:rsidR="00C75B25" w:rsidRPr="007652E3">
        <w:rPr>
          <w:rFonts w:asciiTheme="minorHAnsi" w:hAnsiTheme="minorHAnsi" w:cstheme="minorHAnsi"/>
          <w:szCs w:val="24"/>
        </w:rPr>
        <w:t>r</w:t>
      </w:r>
      <w:r w:rsidRPr="007652E3">
        <w:rPr>
          <w:rFonts w:asciiTheme="minorHAnsi" w:hAnsiTheme="minorHAnsi" w:cstheme="minorHAnsi"/>
          <w:szCs w:val="24"/>
        </w:rPr>
        <w:t xml:space="preserve">zecz Ziemi z dnia 3 lipca 2018 r. od decyzji Regionalnego Dyrektora Ochrony Środowiska w </w:t>
      </w:r>
      <w:bookmarkStart w:id="1" w:name="_Hlk118380679"/>
      <w:r w:rsidRPr="007652E3">
        <w:rPr>
          <w:rFonts w:asciiTheme="minorHAnsi" w:hAnsiTheme="minorHAnsi" w:cstheme="minorHAnsi"/>
          <w:szCs w:val="24"/>
        </w:rPr>
        <w:t xml:space="preserve">Krakowie z dnia 13 czerwca 2018 r., znak: ST-I.4207.17.2017.JT, o </w:t>
      </w:r>
      <w:r w:rsidRPr="007652E3">
        <w:rPr>
          <w:rFonts w:asciiTheme="minorHAnsi" w:hAnsiTheme="minorHAnsi" w:cstheme="minorHAnsi"/>
          <w:iCs/>
          <w:szCs w:val="24"/>
        </w:rPr>
        <w:t>środowiskow</w:t>
      </w:r>
      <w:r w:rsidR="00A87830" w:rsidRPr="007652E3">
        <w:rPr>
          <w:rFonts w:asciiTheme="minorHAnsi" w:hAnsiTheme="minorHAnsi" w:cstheme="minorHAnsi"/>
          <w:iCs/>
          <w:szCs w:val="24"/>
        </w:rPr>
        <w:t>ych</w:t>
      </w:r>
      <w:r w:rsidRPr="007652E3">
        <w:rPr>
          <w:rFonts w:asciiTheme="minorHAnsi" w:hAnsiTheme="minorHAnsi" w:cstheme="minorHAnsi"/>
          <w:iCs/>
          <w:szCs w:val="24"/>
        </w:rPr>
        <w:t xml:space="preserve"> uwarunkowania</w:t>
      </w:r>
      <w:r w:rsidR="00A87830" w:rsidRPr="007652E3">
        <w:rPr>
          <w:rFonts w:asciiTheme="minorHAnsi" w:hAnsiTheme="minorHAnsi" w:cstheme="minorHAnsi"/>
          <w:iCs/>
          <w:szCs w:val="24"/>
        </w:rPr>
        <w:t>ch</w:t>
      </w:r>
      <w:r w:rsidRPr="007652E3">
        <w:rPr>
          <w:rFonts w:asciiTheme="minorHAnsi" w:hAnsiTheme="minorHAnsi" w:cstheme="minorHAnsi"/>
          <w:iCs/>
          <w:szCs w:val="24"/>
        </w:rPr>
        <w:t xml:space="preserve"> </w:t>
      </w:r>
      <w:r w:rsidR="00A87830" w:rsidRPr="007652E3">
        <w:rPr>
          <w:rFonts w:asciiTheme="minorHAnsi" w:hAnsiTheme="minorHAnsi" w:cstheme="minorHAnsi"/>
          <w:iCs/>
          <w:szCs w:val="24"/>
        </w:rPr>
        <w:t xml:space="preserve">dla </w:t>
      </w:r>
      <w:r w:rsidRPr="007652E3">
        <w:rPr>
          <w:rFonts w:asciiTheme="minorHAnsi" w:hAnsiTheme="minorHAnsi" w:cstheme="minorHAnsi"/>
          <w:iCs/>
          <w:szCs w:val="24"/>
        </w:rPr>
        <w:t xml:space="preserve">przedsięwzięcia </w:t>
      </w:r>
      <w:r w:rsidRPr="007652E3">
        <w:rPr>
          <w:rFonts w:asciiTheme="minorHAnsi" w:hAnsiTheme="minorHAnsi" w:cstheme="minorHAnsi"/>
          <w:szCs w:val="24"/>
        </w:rPr>
        <w:t>p</w:t>
      </w:r>
      <w:r w:rsidR="00A87830" w:rsidRPr="007652E3">
        <w:rPr>
          <w:rFonts w:asciiTheme="minorHAnsi" w:hAnsiTheme="minorHAnsi" w:cstheme="minorHAnsi"/>
          <w:szCs w:val="24"/>
        </w:rPr>
        <w:t xml:space="preserve">od </w:t>
      </w:r>
      <w:r w:rsidRPr="007652E3">
        <w:rPr>
          <w:rFonts w:asciiTheme="minorHAnsi" w:hAnsiTheme="minorHAnsi" w:cstheme="minorHAnsi"/>
          <w:szCs w:val="24"/>
        </w:rPr>
        <w:t>n</w:t>
      </w:r>
      <w:r w:rsidR="00A87830" w:rsidRPr="007652E3">
        <w:rPr>
          <w:rFonts w:asciiTheme="minorHAnsi" w:hAnsiTheme="minorHAnsi" w:cstheme="minorHAnsi"/>
          <w:szCs w:val="24"/>
        </w:rPr>
        <w:t>azwą</w:t>
      </w:r>
      <w:r w:rsidRPr="007652E3">
        <w:rPr>
          <w:rFonts w:asciiTheme="minorHAnsi" w:hAnsiTheme="minorHAnsi" w:cstheme="minorHAnsi"/>
          <w:szCs w:val="24"/>
        </w:rPr>
        <w:t xml:space="preserve">: </w:t>
      </w:r>
      <w:bookmarkStart w:id="2" w:name="_Hlk118375352"/>
      <w:bookmarkStart w:id="3" w:name="_Hlk118288959"/>
      <w:r w:rsidRPr="007652E3">
        <w:rPr>
          <w:rFonts w:asciiTheme="minorHAnsi" w:hAnsiTheme="minorHAnsi" w:cstheme="minorHAnsi"/>
          <w:szCs w:val="24"/>
        </w:rPr>
        <w:t xml:space="preserve">Budowa instalacji kogeneracji do produkcji energii z przetwarzanych odpadów komunalnych z wykorzystaniem ciepła do miejskiej sieci ciepłowniczej w Tarnowie, </w:t>
      </w:r>
      <w:bookmarkEnd w:id="1"/>
      <w:bookmarkEnd w:id="2"/>
      <w:bookmarkEnd w:id="3"/>
    </w:p>
    <w:p w14:paraId="1ACB4A2F" w14:textId="4ED64C1D" w:rsidR="000E1364" w:rsidRPr="007652E3" w:rsidRDefault="000E1364" w:rsidP="007652E3">
      <w:pPr>
        <w:pStyle w:val="Normalny1"/>
        <w:pBdr>
          <w:top w:val="nil"/>
          <w:left w:val="nil"/>
          <w:bottom w:val="nil"/>
          <w:right w:val="nil"/>
          <w:between w:val="nil"/>
        </w:pBdr>
        <w:spacing w:after="120"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 xml:space="preserve">uchylam </w:t>
      </w:r>
      <w:r w:rsidR="00194C32" w:rsidRPr="007652E3">
        <w:rPr>
          <w:rFonts w:asciiTheme="minorHAnsi" w:hAnsiTheme="minorHAnsi" w:cstheme="minorHAnsi"/>
          <w:color w:val="auto"/>
          <w:sz w:val="24"/>
          <w:szCs w:val="24"/>
        </w:rPr>
        <w:t xml:space="preserve">zaskarżoną </w:t>
      </w:r>
      <w:r w:rsidRPr="007652E3">
        <w:rPr>
          <w:rFonts w:asciiTheme="minorHAnsi" w:hAnsiTheme="minorHAnsi" w:cstheme="minorHAnsi"/>
          <w:color w:val="auto"/>
          <w:sz w:val="24"/>
          <w:szCs w:val="24"/>
        </w:rPr>
        <w:t>decyzję w całości i przekazuję sprawę do ponownego rozpatrzenia organowi pierwszej instancji.</w:t>
      </w:r>
    </w:p>
    <w:p w14:paraId="03E9ABA5" w14:textId="77777777" w:rsidR="000E1364" w:rsidRPr="007652E3" w:rsidRDefault="000E1364" w:rsidP="00CB0854">
      <w:pPr>
        <w:pStyle w:val="Normalny1"/>
        <w:pBdr>
          <w:top w:val="nil"/>
          <w:left w:val="nil"/>
          <w:bottom w:val="nil"/>
          <w:right w:val="nil"/>
          <w:between w:val="nil"/>
        </w:pBdr>
        <w:spacing w:after="120"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Uzasadnienie</w:t>
      </w:r>
    </w:p>
    <w:p w14:paraId="0B5524C3" w14:textId="5A107152" w:rsidR="00AE000E" w:rsidRPr="007652E3" w:rsidRDefault="00647C36" w:rsidP="007652E3">
      <w:pPr>
        <w:pStyle w:val="Normalny1"/>
        <w:pBdr>
          <w:top w:val="nil"/>
          <w:left w:val="nil"/>
          <w:bottom w:val="nil"/>
          <w:right w:val="nil"/>
          <w:between w:val="nil"/>
        </w:pBdr>
        <w:spacing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Cytowaną w sentencji d</w:t>
      </w:r>
      <w:r w:rsidR="00B57D44" w:rsidRPr="007652E3">
        <w:rPr>
          <w:rFonts w:asciiTheme="minorHAnsi" w:hAnsiTheme="minorHAnsi" w:cstheme="minorHAnsi"/>
          <w:color w:val="auto"/>
          <w:sz w:val="24"/>
          <w:szCs w:val="24"/>
        </w:rPr>
        <w:t xml:space="preserve">ecyzją z dnia </w:t>
      </w:r>
      <w:r w:rsidR="00F73079" w:rsidRPr="007652E3">
        <w:rPr>
          <w:rFonts w:asciiTheme="minorHAnsi" w:hAnsiTheme="minorHAnsi" w:cstheme="minorHAnsi"/>
          <w:color w:val="auto"/>
          <w:sz w:val="24"/>
          <w:szCs w:val="24"/>
        </w:rPr>
        <w:t>13 czerwca 2018 r.</w:t>
      </w:r>
      <w:r w:rsidR="00B57D44" w:rsidRPr="007652E3">
        <w:rPr>
          <w:rFonts w:asciiTheme="minorHAnsi" w:hAnsiTheme="minorHAnsi" w:cstheme="minorHAnsi"/>
          <w:color w:val="auto"/>
          <w:sz w:val="24"/>
          <w:szCs w:val="24"/>
        </w:rPr>
        <w:t xml:space="preserve"> RDOŚ w </w:t>
      </w:r>
      <w:r w:rsidR="00F73079" w:rsidRPr="007652E3">
        <w:rPr>
          <w:rFonts w:asciiTheme="minorHAnsi" w:hAnsiTheme="minorHAnsi" w:cstheme="minorHAnsi"/>
          <w:color w:val="auto"/>
          <w:sz w:val="24"/>
          <w:szCs w:val="24"/>
        </w:rPr>
        <w:t>Krakowie</w:t>
      </w:r>
      <w:r w:rsidR="00B3686F" w:rsidRPr="007652E3">
        <w:rPr>
          <w:rFonts w:asciiTheme="minorHAnsi" w:hAnsiTheme="minorHAnsi" w:cstheme="minorHAnsi"/>
          <w:color w:val="auto"/>
          <w:sz w:val="24"/>
          <w:szCs w:val="24"/>
        </w:rPr>
        <w:t xml:space="preserve">, </w:t>
      </w:r>
      <w:r w:rsidR="005C361B" w:rsidRPr="007652E3">
        <w:rPr>
          <w:rFonts w:asciiTheme="minorHAnsi" w:hAnsiTheme="minorHAnsi" w:cstheme="minorHAnsi"/>
          <w:color w:val="auto"/>
          <w:sz w:val="24"/>
          <w:szCs w:val="24"/>
        </w:rPr>
        <w:t>działając na wniosek</w:t>
      </w:r>
      <w:r w:rsidR="00E116BC" w:rsidRPr="007652E3">
        <w:rPr>
          <w:rFonts w:asciiTheme="minorHAnsi" w:hAnsiTheme="minorHAnsi" w:cstheme="minorHAnsi"/>
          <w:color w:val="auto"/>
          <w:sz w:val="24"/>
          <w:szCs w:val="24"/>
        </w:rPr>
        <w:t xml:space="preserve"> </w:t>
      </w:r>
      <w:r w:rsidR="00F73079" w:rsidRPr="007652E3">
        <w:rPr>
          <w:rFonts w:asciiTheme="minorHAnsi" w:hAnsiTheme="minorHAnsi" w:cstheme="minorHAnsi"/>
          <w:color w:val="auto"/>
          <w:sz w:val="24"/>
          <w:szCs w:val="24"/>
        </w:rPr>
        <w:t>Miejskiego Przedsiębiorstwa Energetyki Cieplnej S.A. w Tarnowie</w:t>
      </w:r>
      <w:r w:rsidR="00E34B82" w:rsidRPr="007652E3">
        <w:rPr>
          <w:rFonts w:asciiTheme="minorHAnsi" w:hAnsiTheme="minorHAnsi" w:cstheme="minorHAnsi"/>
          <w:color w:val="auto"/>
          <w:sz w:val="24"/>
          <w:szCs w:val="24"/>
        </w:rPr>
        <w:t xml:space="preserve"> (brak daty, data wpływu </w:t>
      </w:r>
      <w:r w:rsidR="00CC6D71" w:rsidRPr="007652E3">
        <w:rPr>
          <w:rFonts w:asciiTheme="minorHAnsi" w:hAnsiTheme="minorHAnsi" w:cstheme="minorHAnsi"/>
          <w:color w:val="auto"/>
          <w:sz w:val="24"/>
          <w:szCs w:val="24"/>
        </w:rPr>
        <w:t>do organu -</w:t>
      </w:r>
      <w:r w:rsidR="00043E66" w:rsidRPr="007652E3">
        <w:rPr>
          <w:rFonts w:asciiTheme="minorHAnsi" w:hAnsiTheme="minorHAnsi" w:cstheme="minorHAnsi"/>
          <w:color w:val="auto"/>
          <w:sz w:val="24"/>
          <w:szCs w:val="24"/>
        </w:rPr>
        <w:t xml:space="preserve"> 26 stycznia 2017</w:t>
      </w:r>
      <w:r w:rsidR="00194C32" w:rsidRPr="007652E3">
        <w:rPr>
          <w:rFonts w:asciiTheme="minorHAnsi" w:hAnsiTheme="minorHAnsi" w:cstheme="minorHAnsi"/>
          <w:color w:val="auto"/>
          <w:sz w:val="24"/>
          <w:szCs w:val="24"/>
        </w:rPr>
        <w:t> </w:t>
      </w:r>
      <w:r w:rsidR="00043E66" w:rsidRPr="007652E3">
        <w:rPr>
          <w:rFonts w:asciiTheme="minorHAnsi" w:hAnsiTheme="minorHAnsi" w:cstheme="minorHAnsi"/>
          <w:color w:val="auto"/>
          <w:sz w:val="24"/>
          <w:szCs w:val="24"/>
        </w:rPr>
        <w:t>r.</w:t>
      </w:r>
      <w:r w:rsidR="00CC6D71" w:rsidRPr="007652E3">
        <w:rPr>
          <w:rFonts w:asciiTheme="minorHAnsi" w:hAnsiTheme="minorHAnsi" w:cstheme="minorHAnsi"/>
          <w:color w:val="auto"/>
          <w:sz w:val="24"/>
          <w:szCs w:val="24"/>
        </w:rPr>
        <w:t>)</w:t>
      </w:r>
      <w:r w:rsidR="000523F2" w:rsidRPr="007652E3">
        <w:rPr>
          <w:rFonts w:asciiTheme="minorHAnsi" w:hAnsiTheme="minorHAnsi" w:cstheme="minorHAnsi"/>
          <w:color w:val="auto"/>
          <w:sz w:val="24"/>
          <w:szCs w:val="24"/>
        </w:rPr>
        <w:t>,</w:t>
      </w:r>
      <w:r w:rsidR="00E8620F" w:rsidRPr="007652E3">
        <w:rPr>
          <w:rFonts w:asciiTheme="minorHAnsi" w:hAnsiTheme="minorHAnsi" w:cstheme="minorHAnsi"/>
          <w:color w:val="auto"/>
          <w:sz w:val="24"/>
          <w:szCs w:val="24"/>
        </w:rPr>
        <w:t xml:space="preserve"> </w:t>
      </w:r>
      <w:r w:rsidR="00AA79BF" w:rsidRPr="007652E3">
        <w:rPr>
          <w:rFonts w:asciiTheme="minorHAnsi" w:hAnsiTheme="minorHAnsi" w:cstheme="minorHAnsi"/>
          <w:color w:val="auto"/>
          <w:sz w:val="24"/>
          <w:szCs w:val="24"/>
        </w:rPr>
        <w:t xml:space="preserve">na podstawie art. 71 ust. 2 pkt </w:t>
      </w:r>
      <w:r w:rsidR="00F73079" w:rsidRPr="007652E3">
        <w:rPr>
          <w:rFonts w:asciiTheme="minorHAnsi" w:hAnsiTheme="minorHAnsi" w:cstheme="minorHAnsi"/>
          <w:color w:val="auto"/>
          <w:sz w:val="24"/>
          <w:szCs w:val="24"/>
        </w:rPr>
        <w:t>1</w:t>
      </w:r>
      <w:r w:rsidR="00AA79BF" w:rsidRPr="007652E3">
        <w:rPr>
          <w:rFonts w:asciiTheme="minorHAnsi" w:hAnsiTheme="minorHAnsi" w:cstheme="minorHAnsi"/>
          <w:color w:val="auto"/>
          <w:sz w:val="24"/>
          <w:szCs w:val="24"/>
        </w:rPr>
        <w:t xml:space="preserve"> i art. </w:t>
      </w:r>
      <w:r w:rsidR="00F503EB" w:rsidRPr="007652E3">
        <w:rPr>
          <w:rFonts w:asciiTheme="minorHAnsi" w:hAnsiTheme="minorHAnsi" w:cstheme="minorHAnsi"/>
          <w:color w:val="auto"/>
          <w:sz w:val="24"/>
          <w:szCs w:val="24"/>
        </w:rPr>
        <w:t>82</w:t>
      </w:r>
      <w:r w:rsidR="00AA79BF" w:rsidRPr="007652E3">
        <w:rPr>
          <w:rFonts w:asciiTheme="minorHAnsi" w:hAnsiTheme="minorHAnsi" w:cstheme="minorHAnsi"/>
          <w:color w:val="auto"/>
          <w:sz w:val="24"/>
          <w:szCs w:val="24"/>
        </w:rPr>
        <w:t xml:space="preserve"> ustawy z dnia 3 października 2008 r. o udostępnianiu informacji o środowisku i jego ochronie, udziale społeczeństwa w ochronie środowiska oraz o ocenach oddziaływania na środowisko (</w:t>
      </w:r>
      <w:r w:rsidR="00F503EB" w:rsidRPr="007652E3">
        <w:rPr>
          <w:rFonts w:asciiTheme="minorHAnsi" w:hAnsiTheme="minorHAnsi" w:cstheme="minorHAnsi"/>
          <w:color w:val="auto"/>
          <w:sz w:val="24"/>
          <w:szCs w:val="24"/>
        </w:rPr>
        <w:t xml:space="preserve">w brzmieniu obowiązującym w dacie wydania </w:t>
      </w:r>
      <w:r w:rsidR="00E9075C" w:rsidRPr="007652E3">
        <w:rPr>
          <w:rFonts w:asciiTheme="minorHAnsi" w:hAnsiTheme="minorHAnsi" w:cstheme="minorHAnsi"/>
          <w:color w:val="auto"/>
          <w:sz w:val="24"/>
          <w:szCs w:val="24"/>
        </w:rPr>
        <w:t xml:space="preserve">powyższej </w:t>
      </w:r>
      <w:r w:rsidR="00F503EB" w:rsidRPr="007652E3">
        <w:rPr>
          <w:rFonts w:asciiTheme="minorHAnsi" w:hAnsiTheme="minorHAnsi" w:cstheme="minorHAnsi"/>
          <w:color w:val="auto"/>
          <w:sz w:val="24"/>
          <w:szCs w:val="24"/>
        </w:rPr>
        <w:t xml:space="preserve">decyzji, </w:t>
      </w:r>
      <w:r w:rsidR="00F503EB" w:rsidRPr="007652E3">
        <w:rPr>
          <w:rFonts w:asciiTheme="minorHAnsi" w:hAnsiTheme="minorHAnsi" w:cstheme="minorHAnsi"/>
          <w:color w:val="auto"/>
          <w:sz w:val="24"/>
          <w:szCs w:val="24"/>
        </w:rPr>
        <w:lastRenderedPageBreak/>
        <w:t xml:space="preserve">tj. </w:t>
      </w:r>
      <w:r w:rsidR="00AA79BF" w:rsidRPr="007652E3">
        <w:rPr>
          <w:rFonts w:asciiTheme="minorHAnsi" w:hAnsiTheme="minorHAnsi" w:cstheme="minorHAnsi"/>
          <w:color w:val="auto"/>
          <w:sz w:val="24"/>
          <w:szCs w:val="24"/>
        </w:rPr>
        <w:t>Dz.</w:t>
      </w:r>
      <w:r w:rsidR="00F503EB" w:rsidRPr="007652E3">
        <w:rPr>
          <w:rFonts w:asciiTheme="minorHAnsi" w:hAnsiTheme="minorHAnsi" w:cstheme="minorHAnsi"/>
          <w:color w:val="auto"/>
          <w:sz w:val="24"/>
          <w:szCs w:val="24"/>
        </w:rPr>
        <w:t xml:space="preserve"> </w:t>
      </w:r>
      <w:r w:rsidR="00AA79BF" w:rsidRPr="007652E3">
        <w:rPr>
          <w:rFonts w:asciiTheme="minorHAnsi" w:hAnsiTheme="minorHAnsi" w:cstheme="minorHAnsi"/>
          <w:color w:val="auto"/>
          <w:sz w:val="24"/>
          <w:szCs w:val="24"/>
        </w:rPr>
        <w:t>U. z 20</w:t>
      </w:r>
      <w:r w:rsidR="00043E66" w:rsidRPr="007652E3">
        <w:rPr>
          <w:rFonts w:asciiTheme="minorHAnsi" w:hAnsiTheme="minorHAnsi" w:cstheme="minorHAnsi"/>
          <w:color w:val="auto"/>
          <w:sz w:val="24"/>
          <w:szCs w:val="24"/>
        </w:rPr>
        <w:t>17</w:t>
      </w:r>
      <w:r w:rsidR="00AA79BF" w:rsidRPr="007652E3">
        <w:rPr>
          <w:rFonts w:asciiTheme="minorHAnsi" w:hAnsiTheme="minorHAnsi" w:cstheme="minorHAnsi"/>
          <w:color w:val="auto"/>
          <w:sz w:val="24"/>
          <w:szCs w:val="24"/>
        </w:rPr>
        <w:t xml:space="preserve"> r. poz. </w:t>
      </w:r>
      <w:r w:rsidR="00043E66" w:rsidRPr="007652E3">
        <w:rPr>
          <w:rFonts w:asciiTheme="minorHAnsi" w:hAnsiTheme="minorHAnsi" w:cstheme="minorHAnsi"/>
          <w:color w:val="auto"/>
          <w:sz w:val="24"/>
          <w:szCs w:val="24"/>
        </w:rPr>
        <w:t>1405</w:t>
      </w:r>
      <w:r w:rsidR="00F503EB" w:rsidRPr="007652E3">
        <w:rPr>
          <w:rFonts w:asciiTheme="minorHAnsi" w:hAnsiTheme="minorHAnsi" w:cstheme="minorHAnsi"/>
          <w:color w:val="auto"/>
          <w:sz w:val="24"/>
          <w:szCs w:val="24"/>
        </w:rPr>
        <w:t>,</w:t>
      </w:r>
      <w:r w:rsidR="00AA79BF" w:rsidRPr="007652E3">
        <w:rPr>
          <w:rFonts w:asciiTheme="minorHAnsi" w:hAnsiTheme="minorHAnsi" w:cstheme="minorHAnsi"/>
          <w:color w:val="auto"/>
          <w:sz w:val="24"/>
          <w:szCs w:val="24"/>
        </w:rPr>
        <w:t xml:space="preserve"> ze zm.),</w:t>
      </w:r>
      <w:r w:rsidR="005C361B" w:rsidRPr="007652E3">
        <w:rPr>
          <w:rFonts w:asciiTheme="minorHAnsi" w:hAnsiTheme="minorHAnsi" w:cstheme="minorHAnsi"/>
          <w:color w:val="auto"/>
          <w:sz w:val="24"/>
          <w:szCs w:val="24"/>
        </w:rPr>
        <w:t xml:space="preserve"> dalej </w:t>
      </w:r>
      <w:r w:rsidR="0071021A" w:rsidRPr="007652E3">
        <w:rPr>
          <w:rFonts w:asciiTheme="minorHAnsi" w:hAnsiTheme="minorHAnsi" w:cstheme="minorHAnsi"/>
          <w:color w:val="auto"/>
          <w:sz w:val="24"/>
          <w:szCs w:val="24"/>
        </w:rPr>
        <w:t xml:space="preserve">ustawa </w:t>
      </w:r>
      <w:r w:rsidR="005C361B" w:rsidRPr="007652E3">
        <w:rPr>
          <w:rFonts w:asciiTheme="minorHAnsi" w:hAnsiTheme="minorHAnsi" w:cstheme="minorHAnsi"/>
          <w:color w:val="auto"/>
          <w:sz w:val="24"/>
          <w:szCs w:val="24"/>
        </w:rPr>
        <w:t>ooś,</w:t>
      </w:r>
      <w:r w:rsidR="00AA79BF" w:rsidRPr="007652E3">
        <w:rPr>
          <w:rFonts w:asciiTheme="minorHAnsi" w:hAnsiTheme="minorHAnsi" w:cstheme="minorHAnsi"/>
          <w:color w:val="auto"/>
          <w:sz w:val="24"/>
          <w:szCs w:val="24"/>
        </w:rPr>
        <w:t xml:space="preserve"> </w:t>
      </w:r>
      <w:r w:rsidR="00AE000E" w:rsidRPr="007652E3">
        <w:rPr>
          <w:rFonts w:asciiTheme="minorHAnsi" w:hAnsiTheme="minorHAnsi" w:cstheme="minorHAnsi"/>
          <w:color w:val="auto"/>
          <w:sz w:val="24"/>
          <w:szCs w:val="24"/>
        </w:rPr>
        <w:t xml:space="preserve">określił </w:t>
      </w:r>
      <w:r w:rsidR="00B3686F" w:rsidRPr="007652E3">
        <w:rPr>
          <w:rFonts w:asciiTheme="minorHAnsi" w:hAnsiTheme="minorHAnsi" w:cstheme="minorHAnsi"/>
          <w:color w:val="auto"/>
          <w:sz w:val="24"/>
          <w:szCs w:val="24"/>
        </w:rPr>
        <w:t xml:space="preserve">środowiskowe uwarunkowania </w:t>
      </w:r>
      <w:r w:rsidR="00AE000E" w:rsidRPr="007652E3">
        <w:rPr>
          <w:rFonts w:asciiTheme="minorHAnsi" w:hAnsiTheme="minorHAnsi" w:cstheme="minorHAnsi"/>
          <w:color w:val="auto"/>
          <w:sz w:val="24"/>
          <w:szCs w:val="24"/>
        </w:rPr>
        <w:t xml:space="preserve">realizacji </w:t>
      </w:r>
      <w:r w:rsidR="00B3686F" w:rsidRPr="007652E3">
        <w:rPr>
          <w:rFonts w:asciiTheme="minorHAnsi" w:hAnsiTheme="minorHAnsi" w:cstheme="minorHAnsi"/>
          <w:color w:val="auto"/>
          <w:sz w:val="24"/>
          <w:szCs w:val="24"/>
        </w:rPr>
        <w:t>przedmiotowego przedsięwzięcia.</w:t>
      </w:r>
    </w:p>
    <w:p w14:paraId="19B75D3B" w14:textId="1B650124" w:rsidR="00BA479B" w:rsidRPr="007652E3" w:rsidRDefault="00D029D5" w:rsidP="007652E3">
      <w:pPr>
        <w:pStyle w:val="Normalny1"/>
        <w:pBdr>
          <w:top w:val="nil"/>
          <w:left w:val="nil"/>
          <w:bottom w:val="nil"/>
          <w:right w:val="nil"/>
          <w:between w:val="nil"/>
        </w:pBdr>
        <w:spacing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 xml:space="preserve">Pismem z dnia 3 lipca 2018 r. </w:t>
      </w:r>
      <w:r w:rsidR="00BD5EFD" w:rsidRPr="007652E3">
        <w:rPr>
          <w:rFonts w:asciiTheme="minorHAnsi" w:hAnsiTheme="minorHAnsi" w:cstheme="minorHAnsi"/>
          <w:color w:val="auto"/>
          <w:sz w:val="24"/>
          <w:szCs w:val="24"/>
        </w:rPr>
        <w:t>Towarzystwo na rzecz Ziemi</w:t>
      </w:r>
      <w:r w:rsidR="00BD5EFD" w:rsidRPr="007652E3">
        <w:rPr>
          <w:rFonts w:asciiTheme="minorHAnsi" w:hAnsiTheme="minorHAnsi" w:cstheme="minorHAnsi"/>
          <w:sz w:val="24"/>
          <w:szCs w:val="24"/>
        </w:rPr>
        <w:t xml:space="preserve"> </w:t>
      </w:r>
      <w:r w:rsidR="00BD5EFD" w:rsidRPr="007652E3">
        <w:rPr>
          <w:rFonts w:asciiTheme="minorHAnsi" w:hAnsiTheme="minorHAnsi" w:cstheme="minorHAnsi"/>
          <w:color w:val="auto"/>
          <w:sz w:val="24"/>
          <w:szCs w:val="24"/>
        </w:rPr>
        <w:t>wniosło</w:t>
      </w:r>
      <w:r w:rsidR="00552DC0" w:rsidRPr="007652E3">
        <w:rPr>
          <w:rFonts w:asciiTheme="minorHAnsi" w:hAnsiTheme="minorHAnsi" w:cstheme="minorHAnsi"/>
          <w:color w:val="auto"/>
          <w:sz w:val="24"/>
          <w:szCs w:val="24"/>
        </w:rPr>
        <w:t xml:space="preserve"> </w:t>
      </w:r>
      <w:r w:rsidR="00BD5EFD" w:rsidRPr="007652E3">
        <w:rPr>
          <w:rFonts w:asciiTheme="minorHAnsi" w:hAnsiTheme="minorHAnsi" w:cstheme="minorHAnsi"/>
          <w:color w:val="auto"/>
          <w:sz w:val="24"/>
          <w:szCs w:val="24"/>
        </w:rPr>
        <w:t>odwołanie od powyższej decyzji.</w:t>
      </w:r>
      <w:r w:rsidR="00BA479B" w:rsidRPr="007652E3">
        <w:rPr>
          <w:rFonts w:asciiTheme="minorHAnsi" w:hAnsiTheme="minorHAnsi" w:cstheme="minorHAnsi"/>
          <w:color w:val="auto"/>
          <w:sz w:val="24"/>
          <w:szCs w:val="24"/>
        </w:rPr>
        <w:t xml:space="preserve"> </w:t>
      </w:r>
    </w:p>
    <w:p w14:paraId="4340E782" w14:textId="31B26DA0" w:rsidR="005B57B9" w:rsidRPr="007652E3" w:rsidRDefault="005B57B9" w:rsidP="007652E3">
      <w:pPr>
        <w:spacing w:line="312" w:lineRule="auto"/>
        <w:rPr>
          <w:rFonts w:asciiTheme="minorHAnsi" w:hAnsiTheme="minorHAnsi" w:cstheme="minorHAnsi"/>
        </w:rPr>
      </w:pPr>
      <w:r w:rsidRPr="007652E3">
        <w:rPr>
          <w:rFonts w:asciiTheme="minorHAnsi" w:hAnsiTheme="minorHAnsi" w:cstheme="minorHAnsi"/>
        </w:rPr>
        <w:t xml:space="preserve">Po rozpatrzeniu odwołania, </w:t>
      </w:r>
      <w:r w:rsidR="00806C34" w:rsidRPr="007652E3">
        <w:rPr>
          <w:rFonts w:asciiTheme="minorHAnsi" w:hAnsiTheme="minorHAnsi" w:cstheme="minorHAnsi"/>
        </w:rPr>
        <w:t>GDOŚ</w:t>
      </w:r>
      <w:r w:rsidRPr="007652E3">
        <w:rPr>
          <w:rFonts w:asciiTheme="minorHAnsi" w:hAnsiTheme="minorHAnsi" w:cstheme="minorHAnsi"/>
        </w:rPr>
        <w:t xml:space="preserve"> decyzją z dnia 19 marca 2019 r., znak: DOOŚ-WDŚ/ZOO.420.117.2018.MW.6, uchylił decyzje RDOŚ w Krakowie z dnia 13 czerwca 2018 r. w części i w tym zakresie orzekł co do istoty sprawy lub umorzył postępowanie pierwszej instancji, a w pozostałej części utrzymał decyzję w mocy.</w:t>
      </w:r>
    </w:p>
    <w:p w14:paraId="61B395B1" w14:textId="0A1DF6BE" w:rsidR="00F05F6B" w:rsidRPr="007652E3" w:rsidRDefault="00806C34" w:rsidP="007652E3">
      <w:pPr>
        <w:pStyle w:val="Normalny1"/>
        <w:pBdr>
          <w:top w:val="nil"/>
          <w:left w:val="nil"/>
          <w:bottom w:val="nil"/>
          <w:right w:val="nil"/>
          <w:between w:val="nil"/>
        </w:pBdr>
        <w:spacing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Wyrokiem z dnia 3 października 2019 r., sygn. akt: IV SA/Wa 1482/19, WSA</w:t>
      </w:r>
      <w:r w:rsidR="00EF4BAA" w:rsidRPr="007652E3">
        <w:rPr>
          <w:rFonts w:asciiTheme="minorHAnsi" w:hAnsiTheme="minorHAnsi" w:cstheme="minorHAnsi"/>
          <w:color w:val="auto"/>
          <w:sz w:val="24"/>
          <w:szCs w:val="24"/>
        </w:rPr>
        <w:t xml:space="preserve"> w Warszawie</w:t>
      </w:r>
      <w:r w:rsidR="00C03D96" w:rsidRPr="007652E3">
        <w:rPr>
          <w:rFonts w:asciiTheme="minorHAnsi" w:hAnsiTheme="minorHAnsi" w:cstheme="minorHAnsi"/>
          <w:color w:val="auto"/>
          <w:sz w:val="24"/>
          <w:szCs w:val="24"/>
        </w:rPr>
        <w:t xml:space="preserve"> </w:t>
      </w:r>
      <w:r w:rsidR="00BE7FD4" w:rsidRPr="007652E3">
        <w:rPr>
          <w:rFonts w:asciiTheme="minorHAnsi" w:hAnsiTheme="minorHAnsi" w:cstheme="minorHAnsi"/>
          <w:color w:val="auto"/>
          <w:sz w:val="24"/>
          <w:szCs w:val="24"/>
        </w:rPr>
        <w:t>po rozpozna</w:t>
      </w:r>
      <w:r w:rsidR="0094515C" w:rsidRPr="007652E3">
        <w:rPr>
          <w:rFonts w:asciiTheme="minorHAnsi" w:hAnsiTheme="minorHAnsi" w:cstheme="minorHAnsi"/>
          <w:color w:val="auto"/>
          <w:sz w:val="24"/>
          <w:szCs w:val="24"/>
        </w:rPr>
        <w:t>n</w:t>
      </w:r>
      <w:r w:rsidR="00BE7FD4" w:rsidRPr="007652E3">
        <w:rPr>
          <w:rFonts w:asciiTheme="minorHAnsi" w:hAnsiTheme="minorHAnsi" w:cstheme="minorHAnsi"/>
          <w:color w:val="auto"/>
          <w:sz w:val="24"/>
          <w:szCs w:val="24"/>
        </w:rPr>
        <w:t xml:space="preserve">iu sprawy ze skargi Towarzystwa na rzecz Ziemi </w:t>
      </w:r>
      <w:r w:rsidR="008D30DE" w:rsidRPr="007652E3">
        <w:rPr>
          <w:rFonts w:asciiTheme="minorHAnsi" w:hAnsiTheme="minorHAnsi" w:cstheme="minorHAnsi"/>
          <w:color w:val="auto"/>
          <w:sz w:val="24"/>
          <w:szCs w:val="24"/>
        </w:rPr>
        <w:t xml:space="preserve">uchylił </w:t>
      </w:r>
      <w:r w:rsidR="00BE7FD4" w:rsidRPr="007652E3">
        <w:rPr>
          <w:rFonts w:asciiTheme="minorHAnsi" w:hAnsiTheme="minorHAnsi" w:cstheme="minorHAnsi"/>
          <w:color w:val="auto"/>
          <w:sz w:val="24"/>
          <w:szCs w:val="24"/>
        </w:rPr>
        <w:t xml:space="preserve">decyzję </w:t>
      </w:r>
      <w:r w:rsidRPr="007652E3">
        <w:rPr>
          <w:rFonts w:asciiTheme="minorHAnsi" w:hAnsiTheme="minorHAnsi" w:cstheme="minorHAnsi"/>
          <w:color w:val="auto"/>
          <w:sz w:val="24"/>
          <w:szCs w:val="24"/>
        </w:rPr>
        <w:t>GDOŚ</w:t>
      </w:r>
      <w:r w:rsidR="00BE7FD4" w:rsidRPr="007652E3">
        <w:rPr>
          <w:rFonts w:asciiTheme="minorHAnsi" w:hAnsiTheme="minorHAnsi" w:cstheme="minorHAnsi"/>
          <w:color w:val="auto"/>
          <w:sz w:val="24"/>
          <w:szCs w:val="24"/>
        </w:rPr>
        <w:t xml:space="preserve"> z dnia 19 marca 2019 r. </w:t>
      </w:r>
    </w:p>
    <w:p w14:paraId="7998F5CE" w14:textId="27BC6B23" w:rsidR="005B57B9" w:rsidRPr="007652E3" w:rsidRDefault="00BE7FD4" w:rsidP="007652E3">
      <w:pPr>
        <w:pStyle w:val="Normalny1"/>
        <w:pBdr>
          <w:top w:val="nil"/>
          <w:left w:val="nil"/>
          <w:bottom w:val="nil"/>
          <w:right w:val="nil"/>
          <w:between w:val="nil"/>
        </w:pBdr>
        <w:spacing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Naczelny Sąd Administracyjny wyrokiem z dnia 1 czerwca 2021 r., sygn. akt: III OSK 2478/21</w:t>
      </w:r>
      <w:r w:rsidR="0071021A" w:rsidRPr="007652E3">
        <w:rPr>
          <w:rFonts w:asciiTheme="minorHAnsi" w:hAnsiTheme="minorHAnsi" w:cstheme="minorHAnsi"/>
          <w:color w:val="auto"/>
          <w:sz w:val="24"/>
          <w:szCs w:val="24"/>
        </w:rPr>
        <w:t>,</w:t>
      </w:r>
      <w:r w:rsidRPr="007652E3">
        <w:rPr>
          <w:rFonts w:asciiTheme="minorHAnsi" w:hAnsiTheme="minorHAnsi" w:cstheme="minorHAnsi"/>
          <w:color w:val="auto"/>
          <w:sz w:val="24"/>
          <w:szCs w:val="24"/>
        </w:rPr>
        <w:t xml:space="preserve"> oddalił skargę kasacyjn</w:t>
      </w:r>
      <w:r w:rsidR="0071021A" w:rsidRPr="007652E3">
        <w:rPr>
          <w:rFonts w:asciiTheme="minorHAnsi" w:hAnsiTheme="minorHAnsi" w:cstheme="minorHAnsi"/>
          <w:color w:val="auto"/>
          <w:sz w:val="24"/>
          <w:szCs w:val="24"/>
        </w:rPr>
        <w:t>ą</w:t>
      </w:r>
      <w:r w:rsidRPr="007652E3">
        <w:rPr>
          <w:rFonts w:asciiTheme="minorHAnsi" w:hAnsiTheme="minorHAnsi" w:cstheme="minorHAnsi"/>
          <w:color w:val="auto"/>
          <w:sz w:val="24"/>
          <w:szCs w:val="24"/>
        </w:rPr>
        <w:t xml:space="preserve"> Miejskiego Przedsiębiorstwa Energetyki Cieplnej S.A. z siedzibą w Tarnowie od wyroku WSA w Warszawie z dnia 3 października 2019 r. </w:t>
      </w:r>
    </w:p>
    <w:p w14:paraId="3E20AC72" w14:textId="2E8252E7" w:rsidR="00CE5441" w:rsidRPr="007652E3" w:rsidRDefault="00CE5441" w:rsidP="007652E3">
      <w:pPr>
        <w:pStyle w:val="Normalny1"/>
        <w:spacing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W złożonym odwołaniu z dnia</w:t>
      </w:r>
      <w:r w:rsidR="002005CC" w:rsidRPr="007652E3">
        <w:rPr>
          <w:rFonts w:asciiTheme="minorHAnsi" w:hAnsiTheme="minorHAnsi" w:cstheme="minorHAnsi"/>
          <w:color w:val="auto"/>
          <w:sz w:val="24"/>
          <w:szCs w:val="24"/>
        </w:rPr>
        <w:t xml:space="preserve"> 3 lipca 2018 r. </w:t>
      </w:r>
      <w:r w:rsidRPr="007652E3">
        <w:rPr>
          <w:rFonts w:asciiTheme="minorHAnsi" w:hAnsiTheme="minorHAnsi" w:cstheme="minorHAnsi"/>
          <w:color w:val="auto"/>
          <w:sz w:val="24"/>
          <w:szCs w:val="24"/>
        </w:rPr>
        <w:t>Towarzystwo na rzecz Ziemi zarzuciło RDOŚ w Krakowie:</w:t>
      </w:r>
    </w:p>
    <w:p w14:paraId="06846364" w14:textId="1640E9DD" w:rsidR="00CE5441" w:rsidRPr="007652E3" w:rsidRDefault="00CE5441" w:rsidP="00CB0854">
      <w:pPr>
        <w:pStyle w:val="Akapitzlist"/>
        <w:numPr>
          <w:ilvl w:val="0"/>
          <w:numId w:val="53"/>
        </w:numPr>
        <w:spacing w:after="200" w:line="312" w:lineRule="auto"/>
        <w:ind w:left="567"/>
        <w:rPr>
          <w:rFonts w:asciiTheme="minorHAnsi" w:hAnsiTheme="minorHAnsi" w:cstheme="minorHAnsi"/>
          <w:iCs/>
          <w:color w:val="000000" w:themeColor="text1"/>
        </w:rPr>
      </w:pPr>
      <w:r w:rsidRPr="007652E3">
        <w:rPr>
          <w:rFonts w:asciiTheme="minorHAnsi" w:hAnsiTheme="minorHAnsi" w:cstheme="minorHAnsi"/>
          <w:color w:val="000000" w:themeColor="text1"/>
        </w:rPr>
        <w:t xml:space="preserve">brak zgodności zaskarżonej decyzji z powszechnie obowiązującymi przepisami prawa miejscowego, tj. Planem Gospodarki Odpadami Województwa Małopolskiego, dalej jako </w:t>
      </w:r>
      <w:r w:rsidRPr="007652E3">
        <w:rPr>
          <w:rFonts w:asciiTheme="minorHAnsi" w:hAnsiTheme="minorHAnsi" w:cstheme="minorHAnsi"/>
          <w:iCs/>
          <w:color w:val="000000" w:themeColor="text1"/>
        </w:rPr>
        <w:t>WPGO</w:t>
      </w:r>
      <w:r w:rsidRPr="007652E3">
        <w:rPr>
          <w:rFonts w:asciiTheme="minorHAnsi" w:hAnsiTheme="minorHAnsi" w:cstheme="minorHAnsi"/>
          <w:color w:val="000000" w:themeColor="text1"/>
        </w:rPr>
        <w:t xml:space="preserve">, stanowiącym załącznik uchwały nr XXXIV/509/17 Sejmiku Województwa Małopolskiego z dnia 27 marca 2017 r. </w:t>
      </w:r>
      <w:r w:rsidRPr="007652E3">
        <w:rPr>
          <w:rFonts w:asciiTheme="minorHAnsi" w:hAnsiTheme="minorHAnsi" w:cstheme="minorHAnsi"/>
          <w:iCs/>
          <w:color w:val="000000" w:themeColor="text1"/>
        </w:rPr>
        <w:t>w sprawie zmiany Uchwały Nr XI/125/03 Sejmiku Województwa Małopolskiego z dnia 25 sierpnia 2003 roku w sprawie uchwalenia Planu Gospodarki Odpadami Województwa Małopolskiego na lata 2016-2022</w:t>
      </w:r>
      <w:r w:rsidRPr="007652E3">
        <w:rPr>
          <w:rFonts w:asciiTheme="minorHAnsi" w:hAnsiTheme="minorHAnsi" w:cstheme="minorHAnsi"/>
          <w:color w:val="000000" w:themeColor="text1"/>
        </w:rPr>
        <w:t xml:space="preserve">. </w:t>
      </w:r>
      <w:r w:rsidR="0071021A" w:rsidRPr="007652E3">
        <w:rPr>
          <w:rFonts w:asciiTheme="minorHAnsi" w:hAnsiTheme="minorHAnsi" w:cstheme="minorHAnsi"/>
          <w:color w:val="000000" w:themeColor="text1"/>
        </w:rPr>
        <w:t>Przedsięwzięcie nie zostało</w:t>
      </w:r>
      <w:r w:rsidRPr="007652E3">
        <w:rPr>
          <w:rFonts w:asciiTheme="minorHAnsi" w:hAnsiTheme="minorHAnsi" w:cstheme="minorHAnsi"/>
          <w:color w:val="000000" w:themeColor="text1"/>
        </w:rPr>
        <w:t xml:space="preserve"> bowiem ujęte w planie inwestycyjnym </w:t>
      </w:r>
      <w:r w:rsidRPr="007652E3">
        <w:rPr>
          <w:rFonts w:asciiTheme="minorHAnsi" w:hAnsiTheme="minorHAnsi" w:cstheme="minorHAnsi"/>
          <w:iCs/>
          <w:color w:val="000000" w:themeColor="text1"/>
        </w:rPr>
        <w:lastRenderedPageBreak/>
        <w:t>WPGO</w:t>
      </w:r>
      <w:r w:rsidRPr="007652E3">
        <w:rPr>
          <w:rFonts w:asciiTheme="minorHAnsi" w:hAnsiTheme="minorHAnsi" w:cstheme="minorHAnsi"/>
          <w:color w:val="000000" w:themeColor="text1"/>
        </w:rPr>
        <w:t xml:space="preserve">, co może prowadzić do niespełnienia założeń w zakresie ilości spalanych odpadów, określonych w Krajowym Planie Gospodarki Odpadami, dalej jako </w:t>
      </w:r>
      <w:r w:rsidRPr="007652E3">
        <w:rPr>
          <w:rFonts w:asciiTheme="minorHAnsi" w:hAnsiTheme="minorHAnsi" w:cstheme="minorHAnsi"/>
          <w:iCs/>
          <w:color w:val="000000" w:themeColor="text1"/>
        </w:rPr>
        <w:t>KPGO</w:t>
      </w:r>
      <w:r w:rsidRPr="007652E3">
        <w:rPr>
          <w:rFonts w:asciiTheme="minorHAnsi" w:hAnsiTheme="minorHAnsi" w:cstheme="minorHAnsi"/>
          <w:color w:val="000000" w:themeColor="text1"/>
        </w:rPr>
        <w:t xml:space="preserve">, stanowiącym załącznik do uchwały nr 88 Rady Ministrów z dnia 1 lipca 2016 r. </w:t>
      </w:r>
      <w:r w:rsidRPr="007652E3">
        <w:rPr>
          <w:rFonts w:asciiTheme="minorHAnsi" w:hAnsiTheme="minorHAnsi" w:cstheme="minorHAnsi"/>
          <w:iCs/>
          <w:color w:val="000000" w:themeColor="text1"/>
        </w:rPr>
        <w:t>w sprawie Krajowego Planu Gospodarki Odpadami 2022 (M. P. z 2016</w:t>
      </w:r>
      <w:r w:rsidR="0071021A" w:rsidRPr="007652E3">
        <w:rPr>
          <w:rFonts w:asciiTheme="minorHAnsi" w:hAnsiTheme="minorHAnsi" w:cstheme="minorHAnsi"/>
          <w:iCs/>
          <w:color w:val="000000" w:themeColor="text1"/>
        </w:rPr>
        <w:t> </w:t>
      </w:r>
      <w:r w:rsidRPr="007652E3">
        <w:rPr>
          <w:rFonts w:asciiTheme="minorHAnsi" w:hAnsiTheme="minorHAnsi" w:cstheme="minorHAnsi"/>
          <w:iCs/>
          <w:color w:val="000000" w:themeColor="text1"/>
        </w:rPr>
        <w:t>r. poz. 784) i WPGO;</w:t>
      </w:r>
    </w:p>
    <w:p w14:paraId="1FE59BDE" w14:textId="04F955DE" w:rsidR="00CE5441" w:rsidRPr="007652E3" w:rsidRDefault="00CE5441" w:rsidP="00CB0854">
      <w:pPr>
        <w:pStyle w:val="Akapitzlist"/>
        <w:numPr>
          <w:ilvl w:val="0"/>
          <w:numId w:val="53"/>
        </w:numPr>
        <w:spacing w:after="200" w:line="312" w:lineRule="auto"/>
        <w:ind w:left="567"/>
        <w:rPr>
          <w:rFonts w:asciiTheme="minorHAnsi" w:hAnsiTheme="minorHAnsi" w:cstheme="minorHAnsi"/>
          <w:iCs/>
          <w:color w:val="000000" w:themeColor="text1"/>
        </w:rPr>
      </w:pPr>
      <w:r w:rsidRPr="007652E3">
        <w:rPr>
          <w:rFonts w:asciiTheme="minorHAnsi" w:hAnsiTheme="minorHAnsi" w:cstheme="minorHAnsi"/>
          <w:iCs/>
          <w:color w:val="000000" w:themeColor="text1"/>
        </w:rPr>
        <w:t xml:space="preserve">naruszenie art. 66 ust. 1 pkt 3b, 5, 6a, 7, 9, 11a ustawy ooś, poprzez </w:t>
      </w:r>
      <w:r w:rsidRPr="007652E3">
        <w:rPr>
          <w:rFonts w:asciiTheme="minorHAnsi" w:hAnsiTheme="minorHAnsi" w:cstheme="minorHAnsi"/>
          <w:color w:val="000000" w:themeColor="text1"/>
        </w:rPr>
        <w:t>wydanie decyzji na podstawie nierzetelnego raportu o oddziaływaniu przedsięwzięcia na środowisko, zawierającego dane spreparowane dla potrzeb uzyskania decyzji</w:t>
      </w:r>
      <w:r w:rsidRPr="007652E3">
        <w:rPr>
          <w:rFonts w:asciiTheme="minorHAnsi" w:hAnsiTheme="minorHAnsi" w:cstheme="minorHAnsi"/>
          <w:iCs/>
          <w:color w:val="000000" w:themeColor="text1"/>
        </w:rPr>
        <w:t>;</w:t>
      </w:r>
    </w:p>
    <w:p w14:paraId="46995164" w14:textId="49C36021" w:rsidR="00CE5441" w:rsidRPr="007652E3" w:rsidRDefault="00CE5441" w:rsidP="00CB0854">
      <w:pPr>
        <w:pStyle w:val="Akapitzlist"/>
        <w:numPr>
          <w:ilvl w:val="0"/>
          <w:numId w:val="53"/>
        </w:numPr>
        <w:spacing w:after="200" w:line="312" w:lineRule="auto"/>
        <w:ind w:left="567"/>
        <w:rPr>
          <w:rFonts w:asciiTheme="minorHAnsi" w:hAnsiTheme="minorHAnsi" w:cstheme="minorHAnsi"/>
          <w:iCs/>
          <w:color w:val="000000" w:themeColor="text1"/>
        </w:rPr>
      </w:pPr>
      <w:r w:rsidRPr="007652E3">
        <w:rPr>
          <w:rFonts w:asciiTheme="minorHAnsi" w:hAnsiTheme="minorHAnsi" w:cstheme="minorHAnsi"/>
          <w:iCs/>
          <w:color w:val="000000" w:themeColor="text1"/>
        </w:rPr>
        <w:t xml:space="preserve">naruszenie art. 80 ust. 2 ustawy ooś w związku z art. 72 ust. 1 pkt 3 ustawy z dnia 27 kwietnia 2001 r. – Prawo ochrony środowiska (Dz. U. z 2018 r. poz. 799), dalej </w:t>
      </w:r>
      <w:r w:rsidR="0096068D" w:rsidRPr="007652E3">
        <w:rPr>
          <w:rFonts w:asciiTheme="minorHAnsi" w:hAnsiTheme="minorHAnsi" w:cstheme="minorHAnsi"/>
          <w:iCs/>
          <w:color w:val="000000" w:themeColor="text1"/>
        </w:rPr>
        <w:t>ustawa poś</w:t>
      </w:r>
      <w:r w:rsidRPr="007652E3">
        <w:rPr>
          <w:rFonts w:asciiTheme="minorHAnsi" w:hAnsiTheme="minorHAnsi" w:cstheme="minorHAnsi"/>
          <w:iCs/>
          <w:color w:val="000000" w:themeColor="text1"/>
        </w:rPr>
        <w:t>, poprzez</w:t>
      </w:r>
      <w:r w:rsidRPr="007652E3">
        <w:rPr>
          <w:rFonts w:asciiTheme="minorHAnsi" w:hAnsiTheme="minorHAnsi" w:cstheme="minorHAnsi"/>
          <w:color w:val="000000" w:themeColor="text1"/>
        </w:rPr>
        <w:t xml:space="preserve"> </w:t>
      </w:r>
      <w:r w:rsidR="0001285E" w:rsidRPr="007652E3">
        <w:rPr>
          <w:rFonts w:asciiTheme="minorHAnsi" w:hAnsiTheme="minorHAnsi" w:cstheme="minorHAnsi"/>
          <w:color w:val="000000" w:themeColor="text1"/>
        </w:rPr>
        <w:t xml:space="preserve">określenie </w:t>
      </w:r>
      <w:r w:rsidRPr="007652E3">
        <w:rPr>
          <w:rFonts w:asciiTheme="minorHAnsi" w:hAnsiTheme="minorHAnsi" w:cstheme="minorHAnsi"/>
          <w:color w:val="000000" w:themeColor="text1"/>
        </w:rPr>
        <w:t xml:space="preserve">środowiskowych uwarunkowań </w:t>
      </w:r>
      <w:r w:rsidR="0001285E" w:rsidRPr="007652E3">
        <w:rPr>
          <w:rFonts w:asciiTheme="minorHAnsi" w:hAnsiTheme="minorHAnsi" w:cstheme="minorHAnsi"/>
          <w:color w:val="000000" w:themeColor="text1"/>
        </w:rPr>
        <w:t xml:space="preserve">realizacji przedsięwzięcia </w:t>
      </w:r>
      <w:r w:rsidRPr="007652E3">
        <w:rPr>
          <w:rFonts w:asciiTheme="minorHAnsi" w:hAnsiTheme="minorHAnsi" w:cstheme="minorHAnsi"/>
          <w:color w:val="000000" w:themeColor="text1"/>
        </w:rPr>
        <w:t xml:space="preserve">sprzecznie z treścią studium uwarunkowań i kierunków zagospodarowania przestrzennego gminy miasta Tarnowa, dalej jako studium, </w:t>
      </w:r>
      <w:r w:rsidR="0001285E" w:rsidRPr="007652E3">
        <w:rPr>
          <w:rFonts w:asciiTheme="minorHAnsi" w:hAnsiTheme="minorHAnsi" w:cstheme="minorHAnsi"/>
          <w:color w:val="000000" w:themeColor="text1"/>
        </w:rPr>
        <w:t xml:space="preserve">stanowiącej </w:t>
      </w:r>
      <w:r w:rsidRPr="007652E3">
        <w:rPr>
          <w:rFonts w:asciiTheme="minorHAnsi" w:hAnsiTheme="minorHAnsi" w:cstheme="minorHAnsi"/>
          <w:color w:val="000000" w:themeColor="text1"/>
        </w:rPr>
        <w:t xml:space="preserve">załącznik nr 1 do uchwały Rady Miejskiej w Tarnowie Nr LVII/705/2014 z dnia 25 września 2014 r. </w:t>
      </w:r>
      <w:r w:rsidRPr="007652E3">
        <w:rPr>
          <w:rFonts w:asciiTheme="minorHAnsi" w:hAnsiTheme="minorHAnsi" w:cstheme="minorHAnsi"/>
          <w:iCs/>
          <w:color w:val="000000" w:themeColor="text1"/>
        </w:rPr>
        <w:t>w sprawie zmiany „Studium uwarunkowań i kierunków zagospodarowania przestrzennego Gminy Miasta Tarnowa</w:t>
      </w:r>
      <w:r w:rsidR="0001285E" w:rsidRPr="007652E3">
        <w:rPr>
          <w:rFonts w:asciiTheme="minorHAnsi" w:hAnsiTheme="minorHAnsi" w:cstheme="minorHAnsi"/>
          <w:iCs/>
          <w:color w:val="000000" w:themeColor="text1"/>
        </w:rPr>
        <w:t>”</w:t>
      </w:r>
      <w:r w:rsidRPr="007652E3">
        <w:rPr>
          <w:rFonts w:asciiTheme="minorHAnsi" w:hAnsiTheme="minorHAnsi" w:cstheme="minorHAnsi"/>
          <w:iCs/>
          <w:color w:val="000000" w:themeColor="text1"/>
        </w:rPr>
        <w:t>, dalej jako uchwała RMT;</w:t>
      </w:r>
    </w:p>
    <w:p w14:paraId="02D43695" w14:textId="0FE2F594" w:rsidR="00CE5441" w:rsidRPr="007652E3" w:rsidRDefault="00CE5441" w:rsidP="00CB0854">
      <w:pPr>
        <w:pStyle w:val="Akapitzlist"/>
        <w:numPr>
          <w:ilvl w:val="0"/>
          <w:numId w:val="53"/>
        </w:numPr>
        <w:spacing w:after="200" w:line="312" w:lineRule="auto"/>
        <w:ind w:left="567"/>
        <w:rPr>
          <w:rFonts w:asciiTheme="minorHAnsi" w:hAnsiTheme="minorHAnsi" w:cstheme="minorHAnsi"/>
        </w:rPr>
      </w:pPr>
      <w:r w:rsidRPr="007652E3">
        <w:rPr>
          <w:rFonts w:asciiTheme="minorHAnsi" w:hAnsiTheme="minorHAnsi" w:cstheme="minorHAnsi"/>
          <w:color w:val="000000" w:themeColor="text1"/>
        </w:rPr>
        <w:t>naruszenie art. 204 ust. 1</w:t>
      </w:r>
      <w:r w:rsidR="0096068D" w:rsidRPr="007652E3">
        <w:rPr>
          <w:rFonts w:asciiTheme="minorHAnsi" w:hAnsiTheme="minorHAnsi" w:cstheme="minorHAnsi"/>
          <w:color w:val="000000" w:themeColor="text1"/>
        </w:rPr>
        <w:t xml:space="preserve"> ustawy poś</w:t>
      </w:r>
      <w:r w:rsidRPr="007652E3">
        <w:rPr>
          <w:rFonts w:asciiTheme="minorHAnsi" w:hAnsiTheme="minorHAnsi" w:cstheme="minorHAnsi"/>
          <w:color w:val="000000" w:themeColor="text1"/>
        </w:rPr>
        <w:t>, poprzez wydanie decyzji o środowiskowych uwarunkowaniach dla instalacji termicznego przekształcania odpadów, która nie spełnia najlepszych dostępnych technik spalania odpadów, dalej jako BAT;</w:t>
      </w:r>
    </w:p>
    <w:p w14:paraId="223EB006" w14:textId="18BD76CD" w:rsidR="00CE5441" w:rsidRPr="007652E3" w:rsidRDefault="00CE5441" w:rsidP="00CB0854">
      <w:pPr>
        <w:pStyle w:val="Akapitzlist"/>
        <w:numPr>
          <w:ilvl w:val="0"/>
          <w:numId w:val="53"/>
        </w:numPr>
        <w:spacing w:line="312" w:lineRule="auto"/>
        <w:ind w:left="567" w:hanging="357"/>
        <w:contextualSpacing w:val="0"/>
        <w:rPr>
          <w:rFonts w:asciiTheme="minorHAnsi" w:hAnsiTheme="minorHAnsi" w:cstheme="minorHAnsi"/>
        </w:rPr>
      </w:pPr>
      <w:r w:rsidRPr="007652E3">
        <w:rPr>
          <w:rFonts w:asciiTheme="minorHAnsi" w:hAnsiTheme="minorHAnsi" w:cstheme="minorHAnsi"/>
          <w:color w:val="000000" w:themeColor="text1"/>
        </w:rPr>
        <w:t xml:space="preserve">naruszenie art. 74a ust.1 </w:t>
      </w:r>
      <w:r w:rsidRPr="007652E3">
        <w:rPr>
          <w:rFonts w:asciiTheme="minorHAnsi" w:hAnsiTheme="minorHAnsi" w:cstheme="minorHAnsi"/>
          <w:iCs/>
          <w:color w:val="000000" w:themeColor="text1"/>
        </w:rPr>
        <w:t xml:space="preserve">ustawy ooś, poprzez </w:t>
      </w:r>
      <w:r w:rsidRPr="007652E3">
        <w:rPr>
          <w:rFonts w:asciiTheme="minorHAnsi" w:hAnsiTheme="minorHAnsi" w:cstheme="minorHAnsi"/>
          <w:color w:val="000000" w:themeColor="text1"/>
        </w:rPr>
        <w:t xml:space="preserve">uzupełnienie raportu przez osoby </w:t>
      </w:r>
      <w:r w:rsidRPr="007652E3">
        <w:rPr>
          <w:rFonts w:asciiTheme="minorHAnsi" w:hAnsiTheme="minorHAnsi" w:cstheme="minorHAnsi"/>
        </w:rPr>
        <w:t>nieposiadające kwalifikacji do sporządzenia tego dokumentu - reprezentantów inwestora</w:t>
      </w:r>
    </w:p>
    <w:p w14:paraId="5A98BA14" w14:textId="5A59C27E" w:rsidR="0001285E" w:rsidRPr="007652E3" w:rsidRDefault="0001285E" w:rsidP="00CB0854">
      <w:pPr>
        <w:spacing w:after="120" w:line="312" w:lineRule="auto"/>
        <w:rPr>
          <w:rFonts w:asciiTheme="minorHAnsi" w:hAnsiTheme="minorHAnsi" w:cstheme="minorHAnsi"/>
        </w:rPr>
      </w:pPr>
      <w:r w:rsidRPr="007652E3">
        <w:rPr>
          <w:rFonts w:asciiTheme="minorHAnsi" w:hAnsiTheme="minorHAnsi" w:cstheme="minorHAnsi"/>
        </w:rPr>
        <w:lastRenderedPageBreak/>
        <w:t>oraz wniosło o uchylenie zaskarżonej decyzji i wydanie decyzji odmawiającej określenia środowiskowych uwarunkowań realizacji przedsięwzięcia.</w:t>
      </w:r>
    </w:p>
    <w:p w14:paraId="2E7E56D1" w14:textId="458C0C9B" w:rsidR="00961032" w:rsidRPr="007652E3" w:rsidRDefault="00961032" w:rsidP="007652E3">
      <w:pPr>
        <w:pStyle w:val="Normalny1"/>
        <w:pBdr>
          <w:top w:val="nil"/>
          <w:left w:val="nil"/>
          <w:bottom w:val="nil"/>
          <w:right w:val="nil"/>
          <w:between w:val="nil"/>
        </w:pBdr>
        <w:spacing w:before="120" w:after="120" w:line="312" w:lineRule="auto"/>
        <w:rPr>
          <w:rFonts w:asciiTheme="minorHAnsi" w:hAnsiTheme="minorHAnsi" w:cstheme="minorHAnsi"/>
          <w:sz w:val="24"/>
          <w:szCs w:val="24"/>
        </w:rPr>
      </w:pPr>
      <w:r w:rsidRPr="007652E3">
        <w:rPr>
          <w:rFonts w:asciiTheme="minorHAnsi" w:hAnsiTheme="minorHAnsi" w:cstheme="minorHAnsi"/>
          <w:sz w:val="24"/>
          <w:szCs w:val="24"/>
        </w:rPr>
        <w:t>Generalny Dyrektor Ochrony Środowiska ustalił i zważył, co następuje.</w:t>
      </w:r>
    </w:p>
    <w:p w14:paraId="5EE1F1BB" w14:textId="01AE5D1F" w:rsidR="0001285E" w:rsidRPr="007652E3" w:rsidRDefault="00745296" w:rsidP="007652E3">
      <w:pPr>
        <w:spacing w:line="312" w:lineRule="auto"/>
        <w:rPr>
          <w:rFonts w:asciiTheme="minorHAnsi" w:hAnsiTheme="minorHAnsi" w:cstheme="minorHAnsi"/>
        </w:rPr>
      </w:pPr>
      <w:r w:rsidRPr="007652E3">
        <w:rPr>
          <w:rFonts w:asciiTheme="minorHAnsi" w:hAnsiTheme="minorHAnsi" w:cstheme="minorHAnsi"/>
        </w:rPr>
        <w:t>Zgodnie</w:t>
      </w:r>
      <w:r w:rsidR="0001285E" w:rsidRPr="007652E3">
        <w:rPr>
          <w:rFonts w:asciiTheme="minorHAnsi" w:hAnsiTheme="minorHAnsi" w:cstheme="minorHAnsi"/>
        </w:rPr>
        <w:t xml:space="preserve"> z art. 127 § 2 kpa w związku z art. 127 ust. 3 ustawy ooś organem właściwym do rozpatrzenia odwołania od decyzji regionalnego dyrektora ochrony środowiska jest GDOŚ.</w:t>
      </w:r>
    </w:p>
    <w:p w14:paraId="6B67995E" w14:textId="1DA973DA" w:rsidR="0001285E" w:rsidRPr="007652E3" w:rsidRDefault="0001285E" w:rsidP="007652E3">
      <w:pPr>
        <w:pStyle w:val="Normalny1"/>
        <w:pBdr>
          <w:top w:val="nil"/>
          <w:left w:val="nil"/>
          <w:bottom w:val="nil"/>
          <w:right w:val="nil"/>
          <w:between w:val="nil"/>
        </w:pBdr>
        <w:spacing w:line="312" w:lineRule="auto"/>
        <w:rPr>
          <w:rFonts w:asciiTheme="minorHAnsi" w:hAnsiTheme="minorHAnsi" w:cstheme="minorHAnsi"/>
          <w:color w:val="auto"/>
          <w:sz w:val="24"/>
          <w:szCs w:val="24"/>
        </w:rPr>
      </w:pPr>
      <w:r w:rsidRPr="007652E3">
        <w:rPr>
          <w:rFonts w:asciiTheme="minorHAnsi" w:hAnsiTheme="minorHAnsi" w:cstheme="minorHAnsi"/>
          <w:color w:val="auto"/>
          <w:sz w:val="24"/>
          <w:szCs w:val="24"/>
        </w:rPr>
        <w:t>Towarzystwo na rzecz Ziemi,</w:t>
      </w:r>
      <w:r w:rsidRPr="007652E3">
        <w:rPr>
          <w:rFonts w:asciiTheme="minorHAnsi" w:hAnsiTheme="minorHAnsi" w:cstheme="minorHAnsi"/>
          <w:sz w:val="24"/>
          <w:szCs w:val="24"/>
        </w:rPr>
        <w:t xml:space="preserve"> </w:t>
      </w:r>
      <w:r w:rsidRPr="007652E3">
        <w:rPr>
          <w:rFonts w:asciiTheme="minorHAnsi" w:hAnsiTheme="minorHAnsi" w:cstheme="minorHAnsi"/>
          <w:color w:val="auto"/>
          <w:sz w:val="24"/>
          <w:szCs w:val="24"/>
        </w:rPr>
        <w:t>biorące udział w postępowaniu na prawach strony,</w:t>
      </w:r>
      <w:r w:rsidRPr="007652E3">
        <w:rPr>
          <w:rFonts w:asciiTheme="minorHAnsi" w:hAnsiTheme="minorHAnsi" w:cstheme="minorHAnsi"/>
          <w:sz w:val="24"/>
          <w:szCs w:val="24"/>
        </w:rPr>
        <w:t xml:space="preserve"> zgodnie z art. 44 § 1 </w:t>
      </w:r>
      <w:r w:rsidRPr="007652E3">
        <w:rPr>
          <w:rFonts w:asciiTheme="minorHAnsi" w:hAnsiTheme="minorHAnsi" w:cstheme="minorHAnsi"/>
          <w:iCs/>
          <w:sz w:val="24"/>
          <w:szCs w:val="24"/>
        </w:rPr>
        <w:t>ustawy ooś,</w:t>
      </w:r>
      <w:r w:rsidRPr="007652E3">
        <w:rPr>
          <w:rFonts w:asciiTheme="minorHAnsi" w:hAnsiTheme="minorHAnsi" w:cstheme="minorHAnsi"/>
          <w:color w:val="auto"/>
          <w:sz w:val="24"/>
          <w:szCs w:val="24"/>
        </w:rPr>
        <w:t xml:space="preserve"> wniosło </w:t>
      </w:r>
      <w:r w:rsidR="00745296" w:rsidRPr="007652E3">
        <w:rPr>
          <w:rFonts w:asciiTheme="minorHAnsi" w:hAnsiTheme="minorHAnsi" w:cstheme="minorHAnsi"/>
          <w:color w:val="auto"/>
          <w:sz w:val="24"/>
          <w:szCs w:val="24"/>
        </w:rPr>
        <w:t xml:space="preserve">odwołanie </w:t>
      </w:r>
      <w:r w:rsidRPr="007652E3">
        <w:rPr>
          <w:rFonts w:asciiTheme="minorHAnsi" w:hAnsiTheme="minorHAnsi" w:cstheme="minorHAnsi"/>
          <w:color w:val="auto"/>
          <w:sz w:val="24"/>
          <w:szCs w:val="24"/>
        </w:rPr>
        <w:t>w dniu 3 lipca 2018 r. Odwołanie zostało wniesione z zachowaniem terminu przewidzianego w art. 129 § 2 kpa</w:t>
      </w:r>
      <w:r w:rsidR="00745296" w:rsidRPr="007652E3">
        <w:rPr>
          <w:rFonts w:asciiTheme="minorHAnsi" w:hAnsiTheme="minorHAnsi" w:cstheme="minorHAnsi"/>
          <w:color w:val="auto"/>
          <w:sz w:val="24"/>
          <w:szCs w:val="24"/>
        </w:rPr>
        <w:t>, bowiem</w:t>
      </w:r>
      <w:r w:rsidRPr="007652E3">
        <w:rPr>
          <w:rFonts w:asciiTheme="minorHAnsi" w:hAnsiTheme="minorHAnsi" w:cstheme="minorHAnsi"/>
          <w:color w:val="auto"/>
          <w:sz w:val="24"/>
          <w:szCs w:val="24"/>
        </w:rPr>
        <w:t xml:space="preserve"> </w:t>
      </w:r>
      <w:r w:rsidR="00745296" w:rsidRPr="007652E3">
        <w:rPr>
          <w:rFonts w:asciiTheme="minorHAnsi" w:hAnsiTheme="minorHAnsi" w:cstheme="minorHAnsi"/>
          <w:color w:val="auto"/>
          <w:sz w:val="24"/>
          <w:szCs w:val="24"/>
        </w:rPr>
        <w:t>d</w:t>
      </w:r>
      <w:r w:rsidRPr="007652E3">
        <w:rPr>
          <w:rFonts w:asciiTheme="minorHAnsi" w:hAnsiTheme="minorHAnsi" w:cstheme="minorHAnsi"/>
          <w:color w:val="auto"/>
          <w:sz w:val="24"/>
          <w:szCs w:val="24"/>
        </w:rPr>
        <w:t xml:space="preserve">ecyzja RDOŚ w Krakowie z dnia 13 czerwca 2018 r. została doręczona skarżącemu w dniu 20 czerwca 2018 r. </w:t>
      </w:r>
    </w:p>
    <w:p w14:paraId="613CCE7B" w14:textId="4454BF14" w:rsidR="00961032" w:rsidRPr="007652E3" w:rsidRDefault="00961032" w:rsidP="007652E3">
      <w:pPr>
        <w:spacing w:line="312" w:lineRule="auto"/>
        <w:rPr>
          <w:rFonts w:asciiTheme="minorHAnsi" w:hAnsiTheme="minorHAnsi" w:cstheme="minorHAnsi"/>
        </w:rPr>
      </w:pPr>
      <w:r w:rsidRPr="007652E3">
        <w:rPr>
          <w:rFonts w:asciiTheme="minorHAnsi" w:hAnsiTheme="minorHAnsi" w:cstheme="minorHAnsi"/>
        </w:rPr>
        <w:t>Przedmiotowe przedsięwzięcie polega na budowie instalacji do termicznego przekształcenia - spalania wstępnie przerobionych odpadów, charakteryzujących się wartością opałową dającą możliwość odzysku energii z odpadów (min. 12 MJ/kg), takich jak: preRDF (19 12 12)</w:t>
      </w:r>
      <w:r w:rsidR="0001285E" w:rsidRPr="007652E3">
        <w:rPr>
          <w:rFonts w:asciiTheme="minorHAnsi" w:hAnsiTheme="minorHAnsi" w:cstheme="minorHAnsi"/>
        </w:rPr>
        <w:t xml:space="preserve"> i</w:t>
      </w:r>
      <w:r w:rsidRPr="007652E3">
        <w:rPr>
          <w:rFonts w:asciiTheme="minorHAnsi" w:hAnsiTheme="minorHAnsi" w:cstheme="minorHAnsi"/>
        </w:rPr>
        <w:t xml:space="preserve"> RDF (19 12 10). Budowa powyższej instalacji planowana jest obok istniejącego zakładu energetycznego Miejskiego Przedsiębiorstwa Energetyki Cieplnej w Tarnowie przy ul. Spokojnej 67. Zakłada się spalanie 40 000 Mg/rok paliwa z odpadów.</w:t>
      </w:r>
    </w:p>
    <w:p w14:paraId="2CC41F86" w14:textId="352EDF7F" w:rsidR="00961032" w:rsidRPr="007652E3" w:rsidRDefault="00961032" w:rsidP="007652E3">
      <w:pPr>
        <w:spacing w:line="312" w:lineRule="auto"/>
        <w:rPr>
          <w:rFonts w:asciiTheme="minorHAnsi" w:hAnsiTheme="minorHAnsi" w:cstheme="minorHAnsi"/>
        </w:rPr>
      </w:pPr>
      <w:r w:rsidRPr="007652E3">
        <w:rPr>
          <w:rFonts w:asciiTheme="minorHAnsi" w:hAnsiTheme="minorHAnsi" w:cstheme="minorHAnsi"/>
        </w:rPr>
        <w:t xml:space="preserve">Inwestycja należy do przedsięwzięć mogących zawsze znacząco oddziaływać </w:t>
      </w:r>
      <w:r w:rsidRPr="007652E3">
        <w:rPr>
          <w:rFonts w:asciiTheme="minorHAnsi" w:hAnsiTheme="minorHAnsi" w:cstheme="minorHAnsi"/>
        </w:rPr>
        <w:br/>
        <w:t>na środowisko, o których mowa w § 2 ust. 1 pkt 46 rozporządzenia Rady Ministrów z dnia 9 listopada 2010 r. w sprawie przedsięwzięć mogących znacząco oddziaływać na środowisko (Dz.U. z 2016 r. poz. 71), tj. instalacje do odzysku lub unieszkodliwiania od</w:t>
      </w:r>
      <w:r w:rsidRPr="007652E3">
        <w:rPr>
          <w:rFonts w:asciiTheme="minorHAnsi" w:hAnsiTheme="minorHAnsi" w:cstheme="minorHAnsi"/>
        </w:rPr>
        <w:lastRenderedPageBreak/>
        <w:t>padów innych niż niebezpieczne przy zastosowaniu procesów termicznego przekształcania odpadów, krakingu odpadów, fizykochemicznej obróbki odpadów (proces D9 unieszkodliwiania odpadów w rozumieniu ustawy z dnia 14 grudnia 2012 r. o odpadach (Dz. U. z 2013 r. poz. 21, z późn. zm.) o wydajności nie mniejszej niż 100 ton dziennie, z wyłączeniem instalacji spalających odpady będące biomasą w rozumieniu przepisów o standardach emisyjnych z instalacji. Rozporządzenie powyższe zostało zstąpione rozporządzeniem Rady Ministrów z dnia 10 września 2019 r. w sprawie przedsięwzięć mogących znacząco oddziaływać na środowisko (Dz. U. poz. 1839</w:t>
      </w:r>
      <w:r w:rsidR="00F66707" w:rsidRPr="007652E3">
        <w:rPr>
          <w:rFonts w:asciiTheme="minorHAnsi" w:hAnsiTheme="minorHAnsi" w:cstheme="minorHAnsi"/>
        </w:rPr>
        <w:t>, ze zm.</w:t>
      </w:r>
      <w:r w:rsidRPr="007652E3">
        <w:rPr>
          <w:rFonts w:asciiTheme="minorHAnsi" w:hAnsiTheme="minorHAnsi" w:cstheme="minorHAnsi"/>
        </w:rPr>
        <w:t xml:space="preserve">), jednakże w myśl § 4 tego rozporządzenia do przedsięwzięć, w przypadku których przed dniem wejścia w życie rozporządzenia wszczęto i nie zakończono przynajmniej jednego z postępowań w sprawie decyzji, zgłoszeń lub uchwał, o których mowa w </w:t>
      </w:r>
      <w:hyperlink r:id="rId10" w:anchor="/document/17497783?unitId=art(71)ust(1)&amp;cm=DOCUMENT" w:history="1">
        <w:r w:rsidRPr="007652E3">
          <w:rPr>
            <w:rFonts w:asciiTheme="minorHAnsi" w:hAnsiTheme="minorHAnsi" w:cstheme="minorHAnsi"/>
          </w:rPr>
          <w:t>art. 71 ust. 1</w:t>
        </w:r>
      </w:hyperlink>
      <w:r w:rsidRPr="007652E3">
        <w:rPr>
          <w:rFonts w:asciiTheme="minorHAnsi" w:hAnsiTheme="minorHAnsi" w:cstheme="minorHAnsi"/>
        </w:rPr>
        <w:t xml:space="preserve"> oraz </w:t>
      </w:r>
      <w:hyperlink r:id="rId11" w:anchor="/document/17497783?unitId=art(72)ust(1)&amp;cm=DOCUMENT" w:history="1">
        <w:r w:rsidRPr="007652E3">
          <w:rPr>
            <w:rFonts w:asciiTheme="minorHAnsi" w:hAnsiTheme="minorHAnsi" w:cstheme="minorHAnsi"/>
          </w:rPr>
          <w:t>art. 72 ust. 1-1b</w:t>
        </w:r>
      </w:hyperlink>
      <w:r w:rsidRPr="007652E3">
        <w:rPr>
          <w:rFonts w:asciiTheme="minorHAnsi" w:hAnsiTheme="minorHAnsi" w:cstheme="minorHAnsi"/>
        </w:rPr>
        <w:t xml:space="preserve"> ustawy ooś, stosuje się przepisy dotychczasowe. </w:t>
      </w:r>
    </w:p>
    <w:p w14:paraId="7AFA241A" w14:textId="41A46451" w:rsidR="00961032" w:rsidRPr="007652E3" w:rsidRDefault="00961032" w:rsidP="007652E3">
      <w:pPr>
        <w:spacing w:line="312" w:lineRule="auto"/>
        <w:rPr>
          <w:rFonts w:asciiTheme="minorHAnsi" w:hAnsiTheme="minorHAnsi" w:cstheme="minorHAnsi"/>
        </w:rPr>
      </w:pPr>
      <w:r w:rsidRPr="007652E3">
        <w:rPr>
          <w:rFonts w:asciiTheme="minorHAnsi" w:hAnsiTheme="minorHAnsi" w:cstheme="minorHAnsi"/>
        </w:rPr>
        <w:t xml:space="preserve">Na mocy art. 71 ust. 2 pkt 1 ustawy ooś przedmiotowe przedsięwzięcie wymaga uzyskania decyzji o środowiskowych uwarunkowaniach. </w:t>
      </w:r>
    </w:p>
    <w:p w14:paraId="587E93CC" w14:textId="7728188D" w:rsidR="00CE5441" w:rsidRPr="007652E3" w:rsidRDefault="00CE5441" w:rsidP="007652E3">
      <w:pPr>
        <w:spacing w:line="312" w:lineRule="auto"/>
        <w:rPr>
          <w:rFonts w:asciiTheme="minorHAnsi" w:hAnsiTheme="minorHAnsi" w:cstheme="minorHAnsi"/>
        </w:rPr>
      </w:pPr>
      <w:r w:rsidRPr="007652E3">
        <w:rPr>
          <w:rFonts w:asciiTheme="minorHAnsi" w:hAnsiTheme="minorHAnsi" w:cstheme="minorHAnsi"/>
        </w:rPr>
        <w:t>Wniosek Miejskiego Przedsiębiorstwa Energetyki Cieplnej S.A. w Tarnowie o wydanie decyzji o środowiskowych uwarunkowaniach złożony został do Prezydenta Miasta Tarnowa, który w związku z posiadaniem 56,11% udziałów w Spółce, przekazał sprawę zgodnie z właściwością do RDOŚ w Krakowie. Właściwość RDOŚ w Krakowie do załatwienia przedmiotowej sprawy wynika z art. 75 ust. 1 pkt 1 lit. l ustawy ooś w związku z art. 4 ust. 1 ustawy z dnia 19 lipca 2019 r. o zmianie ustawy o udostępnianiu informacji o środowisku i jego ochronie, udziale społeczeństwa w ochronie środowiska oraz o ocenach oddziaływania na środowisko oraz niektórych innych ustaw (Dz. U. z 2019 r. poz. 1712), dalej ustawa z dnia 19 lipca 2019 r. o zmianie ustawy ooś.</w:t>
      </w:r>
    </w:p>
    <w:p w14:paraId="1D09B25F" w14:textId="3A63A0CE" w:rsidR="00CE5441" w:rsidRPr="007652E3" w:rsidRDefault="00CE5441" w:rsidP="007652E3">
      <w:pPr>
        <w:spacing w:line="312" w:lineRule="auto"/>
        <w:rPr>
          <w:rFonts w:asciiTheme="minorHAnsi" w:hAnsiTheme="minorHAnsi" w:cstheme="minorHAnsi"/>
        </w:rPr>
      </w:pPr>
      <w:r w:rsidRPr="007652E3">
        <w:rPr>
          <w:rFonts w:asciiTheme="minorHAnsi" w:hAnsiTheme="minorHAnsi" w:cstheme="minorHAnsi"/>
        </w:rPr>
        <w:lastRenderedPageBreak/>
        <w:t xml:space="preserve">W uzasadnieniu wyroku </w:t>
      </w:r>
      <w:r w:rsidR="00B9513D" w:rsidRPr="007652E3">
        <w:rPr>
          <w:rFonts w:asciiTheme="minorHAnsi" w:hAnsiTheme="minorHAnsi" w:cstheme="minorHAnsi"/>
        </w:rPr>
        <w:t>z dnia 3 października 2019 r. WSA w Warszawie</w:t>
      </w:r>
      <w:r w:rsidRPr="007652E3">
        <w:rPr>
          <w:rFonts w:asciiTheme="minorHAnsi" w:hAnsiTheme="minorHAnsi" w:cstheme="minorHAnsi"/>
        </w:rPr>
        <w:t xml:space="preserve"> wskazał, że GDOŚ naruszył art. 66 ust. 1 pkt 2a i 19a w zw. z art. 74a ust. 2 ustawy ooś poprzez zaakceptowanie wadliwego uzupełnienia raportu i brak podpisania uzupełnienia raportu przez osobę uprawnion</w:t>
      </w:r>
      <w:r w:rsidR="00752201" w:rsidRPr="007652E3">
        <w:rPr>
          <w:rFonts w:asciiTheme="minorHAnsi" w:hAnsiTheme="minorHAnsi" w:cstheme="minorHAnsi"/>
        </w:rPr>
        <w:t>ą</w:t>
      </w:r>
      <w:r w:rsidRPr="007652E3">
        <w:rPr>
          <w:rFonts w:asciiTheme="minorHAnsi" w:hAnsiTheme="minorHAnsi" w:cstheme="minorHAnsi"/>
        </w:rPr>
        <w:t>, jak i załączenia do uzupełnienia raportu oświadczenia autora o spełnieniu wymagań w zakresie wykształcenia i kwalifikacji oraz oświadczenia dotyczącego świadomości odpowiedzialności karnej. W ocenie Sądu organ odwoławczy naruszył również art. 66 ust. 1 pkt 5 i pkt 6 ustawy ooś, poprzez jego niezastosowanie i nieodniesienie się do opisu wariantów przewidzianych dla planowanej inwestycji. Zgodnie z tymi unormowaniami raport o oddziaływaniu przedsięwzięcia na środowisko powinien zawierać informacje umożliwiające analizę kryteriów wymienionych w art. 62 ust. 1 oraz zawierać: opis wariantów uwzględniający szczególne cechy przedsięwzięcia lub jego oddziaływania, w tym: a) wariantu proponowanego przez wnioskodawcę oraz racjonalnego wariantu alternatywnego, b) racjonalnego wariantu najkorzystniejszego dla środowiska</w:t>
      </w:r>
      <w:r w:rsidR="00752201" w:rsidRPr="007652E3">
        <w:rPr>
          <w:rFonts w:asciiTheme="minorHAnsi" w:hAnsiTheme="minorHAnsi" w:cstheme="minorHAnsi"/>
        </w:rPr>
        <w:t xml:space="preserve"> –</w:t>
      </w:r>
      <w:r w:rsidRPr="007652E3">
        <w:rPr>
          <w:rFonts w:asciiTheme="minorHAnsi" w:hAnsiTheme="minorHAnsi" w:cstheme="minorHAnsi"/>
        </w:rPr>
        <w:t xml:space="preserve"> wraz z uzasadnieniem ich wyboru; określenie przewidywanego oddziaływania analizowanych wariantów na środowisko. Jak wskazał Sąd, proponowane przez inwestora warianty muszą zawierać kompleksowy opis każdego z nich oraz uzasadnienie dokonanego wyboru wariantu. Warianty realizacji przedsięwzięcia stanowią jeden z instrumentów stosowania zasady prewencji prawa ochrony środowiska uregulowanej w art. 6 ust. 1 i 2 ustawy </w:t>
      </w:r>
      <w:r w:rsidR="00752201" w:rsidRPr="007652E3">
        <w:rPr>
          <w:rFonts w:asciiTheme="minorHAnsi" w:hAnsiTheme="minorHAnsi" w:cstheme="minorHAnsi"/>
        </w:rPr>
        <w:t>poś</w:t>
      </w:r>
      <w:r w:rsidRPr="007652E3">
        <w:rPr>
          <w:rFonts w:asciiTheme="minorHAnsi" w:hAnsiTheme="minorHAnsi" w:cstheme="minorHAnsi"/>
        </w:rPr>
        <w:t xml:space="preserve">, które wprowadzają obowiązek przestrzegania zasady przezorności i zapobiegania przy podejmowaniu działalności mogącej negatywnie oddziaływać na środowisko. Zdaniem Sądu wnioskowana inwestycja w zakresie wariantowości technologicznej nie została należycie rozważona, a raport zawierał braki formalne wymagające uzupełnienia, tym samym raport nie spełniał ustawowych wymagań koniecznych do wydania decyzji </w:t>
      </w:r>
      <w:r w:rsidR="00752201" w:rsidRPr="007652E3">
        <w:rPr>
          <w:rFonts w:asciiTheme="minorHAnsi" w:hAnsiTheme="minorHAnsi" w:cstheme="minorHAnsi"/>
        </w:rPr>
        <w:t xml:space="preserve">określającej </w:t>
      </w:r>
      <w:r w:rsidRPr="007652E3">
        <w:rPr>
          <w:rFonts w:asciiTheme="minorHAnsi" w:hAnsiTheme="minorHAnsi" w:cstheme="minorHAnsi"/>
        </w:rPr>
        <w:t>środowiskowe uwarunkowania realizacji przedsięwzięcia.</w:t>
      </w:r>
    </w:p>
    <w:p w14:paraId="180CBACF" w14:textId="1FD62629" w:rsidR="00CE5441" w:rsidRPr="007652E3" w:rsidRDefault="00CE5441" w:rsidP="007652E3">
      <w:pPr>
        <w:pStyle w:val="Normalny1"/>
        <w:pBdr>
          <w:top w:val="nil"/>
          <w:left w:val="nil"/>
          <w:bottom w:val="nil"/>
          <w:right w:val="nil"/>
          <w:between w:val="nil"/>
        </w:pBdr>
        <w:spacing w:line="312" w:lineRule="auto"/>
        <w:rPr>
          <w:rFonts w:asciiTheme="minorHAnsi" w:hAnsiTheme="minorHAnsi" w:cstheme="minorHAnsi"/>
          <w:iCs/>
          <w:sz w:val="24"/>
          <w:szCs w:val="24"/>
        </w:rPr>
      </w:pPr>
      <w:r w:rsidRPr="007652E3">
        <w:rPr>
          <w:rFonts w:asciiTheme="minorHAnsi" w:hAnsiTheme="minorHAnsi" w:cstheme="minorHAnsi"/>
          <w:color w:val="auto"/>
          <w:sz w:val="24"/>
          <w:szCs w:val="24"/>
        </w:rPr>
        <w:t xml:space="preserve">WSA w Warszawie </w:t>
      </w:r>
      <w:r w:rsidRPr="007652E3">
        <w:rPr>
          <w:rFonts w:asciiTheme="minorHAnsi" w:hAnsiTheme="minorHAnsi" w:cstheme="minorHAnsi"/>
          <w:sz w:val="24"/>
          <w:szCs w:val="24"/>
        </w:rPr>
        <w:t xml:space="preserve">wskazał, że GDOŚ </w:t>
      </w:r>
      <w:r w:rsidRPr="007652E3">
        <w:rPr>
          <w:rFonts w:asciiTheme="minorHAnsi" w:hAnsiTheme="minorHAnsi" w:cstheme="minorHAnsi"/>
          <w:iCs/>
          <w:sz w:val="24"/>
          <w:szCs w:val="24"/>
        </w:rPr>
        <w:t>ponownie rozpoznając sprawę powinien wziąć pod uwagę prawidłowe uzupełnienie raportu i przeanalizować przedstawione opisy wariantów pod kątem zgodności z art. 66 ust. 1 pkt 5 w zw. z art. 66 ust. 1 pkt 18 ustawy ooś.</w:t>
      </w:r>
    </w:p>
    <w:p w14:paraId="13E2AD79" w14:textId="39BBB89B" w:rsidR="00035417" w:rsidRPr="007652E3" w:rsidRDefault="00035417" w:rsidP="007652E3">
      <w:pPr>
        <w:spacing w:line="312" w:lineRule="auto"/>
        <w:rPr>
          <w:rFonts w:asciiTheme="minorHAnsi" w:hAnsiTheme="minorHAnsi" w:cstheme="minorHAnsi"/>
        </w:rPr>
      </w:pPr>
      <w:r w:rsidRPr="007652E3">
        <w:rPr>
          <w:rFonts w:asciiTheme="minorHAnsi" w:hAnsiTheme="minorHAnsi" w:cstheme="minorHAnsi"/>
        </w:rPr>
        <w:t xml:space="preserve">W raporcie z 2017 r. jako warianty przedsięwzięcia zostały wskazane trzy technologie spalania: piec obrotowy, piec z paleniskiem pochyłym i piec z paleniskiem rusztowym. Przeprowadzona analiza wielokryterialna, stanowiąca załącznik nr 1 do raportu z 2017 r., wykazała, że najbardziej pożądanym rozwiązaniem dla realizacji budowy instalacji kogeneracji do produkcji energii z przetworzonych odpadów było zastosowanie technologii pieca obrotowego. Skala punktowa uzyskana w ramach wykonanych obliczeń dopuszczała także zastosowanie technologii pieca z paleniskiem pochyłym lub paleniskiem rusztowym jako technologii równie adekwatnej. Co więcej, z opisu analizowanych wariantów przedstawionego w raporcie z 2017 r. wynikało, że piece do spalania przetworzonych odpadów: obrotowy, rusztowy i pochyły mają zbliżoną charakterystykę pracy. W raporcie nie zostało jednak wskazane, który z wariantów jest wariantem proponowanym przez wnioskodawcę; w raporcie znajduje się wyłącznie zapis, że: </w:t>
      </w:r>
      <w:r w:rsidRPr="007652E3">
        <w:rPr>
          <w:rFonts w:asciiTheme="minorHAnsi" w:hAnsiTheme="minorHAnsi" w:cstheme="minorHAnsi"/>
          <w:iCs/>
        </w:rPr>
        <w:t>Budowa instalacji do produkcji energii z przetworzonych odpadów z wykorzystaniem ciepła do miejskiej sieci ciepłowniczej z wykorzystaniem: pieca obrotowego lub pieca z paleniskiem pochyłym lub pieca z paleniskiem rusztowym</w:t>
      </w:r>
      <w:r w:rsidRPr="007652E3">
        <w:rPr>
          <w:rFonts w:asciiTheme="minorHAnsi" w:hAnsiTheme="minorHAnsi" w:cstheme="minorHAnsi"/>
        </w:rPr>
        <w:t xml:space="preserve"> (str. </w:t>
      </w:r>
      <w:r w:rsidR="00A20A69" w:rsidRPr="007652E3">
        <w:rPr>
          <w:rFonts w:asciiTheme="minorHAnsi" w:hAnsiTheme="minorHAnsi" w:cstheme="minorHAnsi"/>
        </w:rPr>
        <w:t xml:space="preserve">190 </w:t>
      </w:r>
      <w:r w:rsidRPr="007652E3">
        <w:rPr>
          <w:rFonts w:asciiTheme="minorHAnsi" w:hAnsiTheme="minorHAnsi" w:cstheme="minorHAnsi"/>
        </w:rPr>
        <w:t xml:space="preserve">raportu). </w:t>
      </w:r>
    </w:p>
    <w:p w14:paraId="1D539E25" w14:textId="094BDA52" w:rsidR="00E62A88" w:rsidRPr="007652E3" w:rsidRDefault="000F37A5" w:rsidP="007652E3">
      <w:pPr>
        <w:pStyle w:val="Normalny1"/>
        <w:pBdr>
          <w:top w:val="nil"/>
          <w:left w:val="nil"/>
          <w:bottom w:val="nil"/>
          <w:right w:val="nil"/>
          <w:between w:val="nil"/>
        </w:pBdr>
        <w:spacing w:line="312" w:lineRule="auto"/>
        <w:rPr>
          <w:rFonts w:asciiTheme="minorHAnsi" w:hAnsiTheme="minorHAnsi" w:cstheme="minorHAnsi"/>
          <w:sz w:val="24"/>
          <w:szCs w:val="24"/>
        </w:rPr>
      </w:pPr>
      <w:r w:rsidRPr="007652E3">
        <w:rPr>
          <w:rFonts w:asciiTheme="minorHAnsi" w:hAnsiTheme="minorHAnsi" w:cstheme="minorHAnsi"/>
          <w:color w:val="auto"/>
          <w:sz w:val="24"/>
          <w:szCs w:val="24"/>
        </w:rPr>
        <w:lastRenderedPageBreak/>
        <w:t xml:space="preserve">Stosując się do oceny prawnej zawartej w </w:t>
      </w:r>
      <w:r w:rsidR="00432E9A" w:rsidRPr="007652E3">
        <w:rPr>
          <w:rFonts w:asciiTheme="minorHAnsi" w:hAnsiTheme="minorHAnsi" w:cstheme="minorHAnsi"/>
          <w:color w:val="auto"/>
          <w:sz w:val="24"/>
          <w:szCs w:val="24"/>
        </w:rPr>
        <w:t>wyroku WSA w Warszawie</w:t>
      </w:r>
      <w:r w:rsidRPr="007652E3">
        <w:rPr>
          <w:rFonts w:asciiTheme="minorHAnsi" w:hAnsiTheme="minorHAnsi" w:cstheme="minorHAnsi"/>
          <w:color w:val="auto"/>
          <w:sz w:val="24"/>
          <w:szCs w:val="24"/>
        </w:rPr>
        <w:t xml:space="preserve"> </w:t>
      </w:r>
      <w:r w:rsidR="00A53532" w:rsidRPr="007652E3">
        <w:rPr>
          <w:rFonts w:asciiTheme="minorHAnsi" w:hAnsiTheme="minorHAnsi" w:cstheme="minorHAnsi"/>
          <w:color w:val="auto"/>
          <w:sz w:val="24"/>
          <w:szCs w:val="24"/>
        </w:rPr>
        <w:t xml:space="preserve">z dnia 3 października 2019 r., </w:t>
      </w:r>
      <w:r w:rsidR="00FE33D8" w:rsidRPr="007652E3">
        <w:rPr>
          <w:rFonts w:asciiTheme="minorHAnsi" w:hAnsiTheme="minorHAnsi" w:cstheme="minorHAnsi"/>
          <w:color w:val="auto"/>
          <w:sz w:val="24"/>
          <w:szCs w:val="24"/>
        </w:rPr>
        <w:t xml:space="preserve">GDOŚ </w:t>
      </w:r>
      <w:r w:rsidR="00862232" w:rsidRPr="007652E3">
        <w:rPr>
          <w:rFonts w:asciiTheme="minorHAnsi" w:hAnsiTheme="minorHAnsi" w:cstheme="minorHAnsi"/>
          <w:color w:val="auto"/>
          <w:sz w:val="24"/>
          <w:szCs w:val="24"/>
        </w:rPr>
        <w:t xml:space="preserve">w pierwszej kolejności </w:t>
      </w:r>
      <w:r w:rsidR="00AB7BCA" w:rsidRPr="007652E3">
        <w:rPr>
          <w:rFonts w:asciiTheme="minorHAnsi" w:hAnsiTheme="minorHAnsi" w:cstheme="minorHAnsi"/>
          <w:color w:val="auto"/>
          <w:sz w:val="24"/>
          <w:szCs w:val="24"/>
        </w:rPr>
        <w:t>w</w:t>
      </w:r>
      <w:r w:rsidR="00FE33D8" w:rsidRPr="007652E3">
        <w:rPr>
          <w:rFonts w:asciiTheme="minorHAnsi" w:hAnsiTheme="minorHAnsi" w:cstheme="minorHAnsi"/>
          <w:color w:val="auto"/>
          <w:sz w:val="24"/>
          <w:szCs w:val="24"/>
        </w:rPr>
        <w:t xml:space="preserve">ezwał </w:t>
      </w:r>
      <w:r w:rsidR="00E14C30" w:rsidRPr="007652E3">
        <w:rPr>
          <w:rFonts w:asciiTheme="minorHAnsi" w:hAnsiTheme="minorHAnsi" w:cstheme="minorHAnsi"/>
          <w:color w:val="auto"/>
          <w:sz w:val="24"/>
          <w:szCs w:val="24"/>
        </w:rPr>
        <w:t>inwestora</w:t>
      </w:r>
      <w:r w:rsidR="00862232" w:rsidRPr="007652E3">
        <w:rPr>
          <w:rFonts w:asciiTheme="minorHAnsi" w:hAnsiTheme="minorHAnsi" w:cstheme="minorHAnsi"/>
          <w:color w:val="auto"/>
          <w:sz w:val="24"/>
          <w:szCs w:val="24"/>
        </w:rPr>
        <w:t xml:space="preserve"> przy piśmie z dnia 21 stycznia 2022 r.</w:t>
      </w:r>
      <w:r w:rsidR="00432E9A" w:rsidRPr="007652E3">
        <w:rPr>
          <w:rFonts w:asciiTheme="minorHAnsi" w:hAnsiTheme="minorHAnsi" w:cstheme="minorHAnsi"/>
          <w:color w:val="auto"/>
          <w:sz w:val="24"/>
          <w:szCs w:val="24"/>
        </w:rPr>
        <w:t>,</w:t>
      </w:r>
      <w:r w:rsidR="00862232" w:rsidRPr="007652E3">
        <w:rPr>
          <w:rFonts w:asciiTheme="minorHAnsi" w:hAnsiTheme="minorHAnsi" w:cstheme="minorHAnsi"/>
          <w:color w:val="auto"/>
          <w:sz w:val="24"/>
          <w:szCs w:val="24"/>
        </w:rPr>
        <w:t xml:space="preserve"> znak: DOOŚ-WDŚZOO.420.117.2018.MW.11</w:t>
      </w:r>
      <w:r w:rsidR="00432E9A" w:rsidRPr="007652E3">
        <w:rPr>
          <w:rFonts w:asciiTheme="minorHAnsi" w:hAnsiTheme="minorHAnsi" w:cstheme="minorHAnsi"/>
          <w:color w:val="auto"/>
          <w:sz w:val="24"/>
          <w:szCs w:val="24"/>
        </w:rPr>
        <w:t>,</w:t>
      </w:r>
      <w:r w:rsidR="00862232" w:rsidRPr="007652E3">
        <w:rPr>
          <w:rFonts w:asciiTheme="minorHAnsi" w:hAnsiTheme="minorHAnsi" w:cstheme="minorHAnsi"/>
          <w:color w:val="auto"/>
          <w:sz w:val="24"/>
          <w:szCs w:val="24"/>
        </w:rPr>
        <w:t xml:space="preserve"> </w:t>
      </w:r>
      <w:r w:rsidR="00FE33D8" w:rsidRPr="007652E3">
        <w:rPr>
          <w:rFonts w:asciiTheme="minorHAnsi" w:hAnsiTheme="minorHAnsi" w:cstheme="minorHAnsi"/>
          <w:color w:val="auto"/>
          <w:sz w:val="24"/>
          <w:szCs w:val="24"/>
        </w:rPr>
        <w:t>do</w:t>
      </w:r>
      <w:r w:rsidR="00752201" w:rsidRPr="007652E3">
        <w:rPr>
          <w:rFonts w:asciiTheme="minorHAnsi" w:hAnsiTheme="minorHAnsi" w:cstheme="minorHAnsi"/>
          <w:color w:val="000000" w:themeColor="text1"/>
          <w:sz w:val="24"/>
          <w:szCs w:val="24"/>
        </w:rPr>
        <w:t xml:space="preserve"> </w:t>
      </w:r>
      <w:r w:rsidR="00835ED9" w:rsidRPr="007652E3">
        <w:rPr>
          <w:rFonts w:asciiTheme="minorHAnsi" w:hAnsiTheme="minorHAnsi" w:cstheme="minorHAnsi"/>
          <w:color w:val="000000" w:themeColor="text1"/>
          <w:sz w:val="24"/>
          <w:szCs w:val="24"/>
        </w:rPr>
        <w:t xml:space="preserve">uzupełnienia dokumentacji </w:t>
      </w:r>
      <w:r w:rsidR="00752201" w:rsidRPr="007652E3">
        <w:rPr>
          <w:rFonts w:asciiTheme="minorHAnsi" w:hAnsiTheme="minorHAnsi" w:cstheme="minorHAnsi"/>
          <w:color w:val="000000" w:themeColor="text1"/>
          <w:sz w:val="24"/>
          <w:szCs w:val="24"/>
        </w:rPr>
        <w:t xml:space="preserve">oraz do </w:t>
      </w:r>
      <w:r w:rsidR="00E62A88" w:rsidRPr="007652E3">
        <w:rPr>
          <w:rFonts w:asciiTheme="minorHAnsi" w:hAnsiTheme="minorHAnsi" w:cstheme="minorHAnsi"/>
          <w:color w:val="000000" w:themeColor="text1"/>
          <w:sz w:val="24"/>
          <w:szCs w:val="24"/>
        </w:rPr>
        <w:t xml:space="preserve">uzupełnienia raportu, zgodnie z art. 66 ust. 1 pkt 5 i 6 ustawy ooś. Równocześnie </w:t>
      </w:r>
      <w:r w:rsidR="00AB7BCA" w:rsidRPr="007652E3">
        <w:rPr>
          <w:rFonts w:asciiTheme="minorHAnsi" w:hAnsiTheme="minorHAnsi" w:cstheme="minorHAnsi"/>
          <w:color w:val="000000" w:themeColor="text1"/>
          <w:sz w:val="24"/>
          <w:szCs w:val="24"/>
        </w:rPr>
        <w:t xml:space="preserve">GDOŚ wezwał </w:t>
      </w:r>
      <w:r w:rsidR="00752201" w:rsidRPr="007652E3">
        <w:rPr>
          <w:rFonts w:asciiTheme="minorHAnsi" w:hAnsiTheme="minorHAnsi" w:cstheme="minorHAnsi"/>
          <w:color w:val="000000" w:themeColor="text1"/>
          <w:sz w:val="24"/>
          <w:szCs w:val="24"/>
        </w:rPr>
        <w:t>d</w:t>
      </w:r>
      <w:r w:rsidR="00E62A88" w:rsidRPr="007652E3">
        <w:rPr>
          <w:rFonts w:asciiTheme="minorHAnsi" w:hAnsiTheme="minorHAnsi" w:cstheme="minorHAnsi"/>
          <w:color w:val="000000" w:themeColor="text1"/>
          <w:sz w:val="24"/>
          <w:szCs w:val="24"/>
        </w:rPr>
        <w:t>o jednoznaczne</w:t>
      </w:r>
      <w:r w:rsidR="00752201" w:rsidRPr="007652E3">
        <w:rPr>
          <w:rFonts w:asciiTheme="minorHAnsi" w:hAnsiTheme="minorHAnsi" w:cstheme="minorHAnsi"/>
          <w:color w:val="000000" w:themeColor="text1"/>
          <w:sz w:val="24"/>
          <w:szCs w:val="24"/>
        </w:rPr>
        <w:t>go</w:t>
      </w:r>
      <w:r w:rsidR="00E62A88" w:rsidRPr="007652E3">
        <w:rPr>
          <w:rFonts w:asciiTheme="minorHAnsi" w:hAnsiTheme="minorHAnsi" w:cstheme="minorHAnsi"/>
          <w:color w:val="000000" w:themeColor="text1"/>
          <w:sz w:val="24"/>
          <w:szCs w:val="24"/>
        </w:rPr>
        <w:t xml:space="preserve"> wskazani</w:t>
      </w:r>
      <w:r w:rsidR="00752201" w:rsidRPr="007652E3">
        <w:rPr>
          <w:rFonts w:asciiTheme="minorHAnsi" w:hAnsiTheme="minorHAnsi" w:cstheme="minorHAnsi"/>
          <w:color w:val="000000" w:themeColor="text1"/>
          <w:sz w:val="24"/>
          <w:szCs w:val="24"/>
        </w:rPr>
        <w:t>a</w:t>
      </w:r>
      <w:r w:rsidR="00E62A88" w:rsidRPr="007652E3">
        <w:rPr>
          <w:rFonts w:asciiTheme="minorHAnsi" w:hAnsiTheme="minorHAnsi" w:cstheme="minorHAnsi"/>
          <w:color w:val="000000" w:themeColor="text1"/>
          <w:sz w:val="24"/>
          <w:szCs w:val="24"/>
        </w:rPr>
        <w:t xml:space="preserve">, który z przedstawionych wariantów przedsięwzięcia jest wariantem proponowanym przez wnioskodawcę, a który racjonalnym wariantem alternatywnym, a także – wraz z uzasadnieniem – który z wariantów jest racjonalnym wariantem najkorzystniejszym dla środowiska. </w:t>
      </w:r>
    </w:p>
    <w:p w14:paraId="5B23A066" w14:textId="24CF7202" w:rsidR="00961032" w:rsidRPr="007652E3" w:rsidRDefault="00E14C30" w:rsidP="007652E3">
      <w:pPr>
        <w:pStyle w:val="Normalny1"/>
        <w:pBdr>
          <w:top w:val="nil"/>
          <w:left w:val="nil"/>
          <w:bottom w:val="nil"/>
          <w:right w:val="nil"/>
          <w:between w:val="nil"/>
        </w:pBdr>
        <w:spacing w:line="312" w:lineRule="auto"/>
        <w:rPr>
          <w:rFonts w:asciiTheme="minorHAnsi" w:hAnsiTheme="minorHAnsi" w:cstheme="minorHAnsi"/>
          <w:sz w:val="24"/>
          <w:szCs w:val="24"/>
        </w:rPr>
      </w:pPr>
      <w:bookmarkStart w:id="4" w:name="_Hlk117255941"/>
      <w:r w:rsidRPr="007652E3">
        <w:rPr>
          <w:rFonts w:asciiTheme="minorHAnsi" w:hAnsiTheme="minorHAnsi" w:cstheme="minorHAnsi"/>
          <w:color w:val="auto"/>
          <w:sz w:val="24"/>
          <w:szCs w:val="24"/>
        </w:rPr>
        <w:t>Inwestor</w:t>
      </w:r>
      <w:r w:rsidR="00AF55C4" w:rsidRPr="007652E3">
        <w:rPr>
          <w:rFonts w:asciiTheme="minorHAnsi" w:hAnsiTheme="minorHAnsi" w:cstheme="minorHAnsi"/>
          <w:color w:val="auto"/>
          <w:sz w:val="24"/>
          <w:szCs w:val="24"/>
        </w:rPr>
        <w:t xml:space="preserve"> przedłożył wymagane dokumenty i uzupełnienie raportu przy piśmie z dnia 20 kwietnia 2022 r.</w:t>
      </w:r>
      <w:r w:rsidR="00432E9A" w:rsidRPr="007652E3">
        <w:rPr>
          <w:rFonts w:asciiTheme="minorHAnsi" w:hAnsiTheme="minorHAnsi" w:cstheme="minorHAnsi"/>
          <w:color w:val="auto"/>
          <w:sz w:val="24"/>
          <w:szCs w:val="24"/>
        </w:rPr>
        <w:t>,</w:t>
      </w:r>
      <w:r w:rsidR="00AF55C4" w:rsidRPr="007652E3">
        <w:rPr>
          <w:rFonts w:asciiTheme="minorHAnsi" w:hAnsiTheme="minorHAnsi" w:cstheme="minorHAnsi"/>
          <w:color w:val="auto"/>
          <w:sz w:val="24"/>
          <w:szCs w:val="24"/>
        </w:rPr>
        <w:t xml:space="preserve"> znak: NDN.071.181.2022.LC.</w:t>
      </w:r>
      <w:r w:rsidR="00024C68" w:rsidRPr="007652E3">
        <w:rPr>
          <w:rFonts w:asciiTheme="minorHAnsi" w:hAnsiTheme="minorHAnsi" w:cstheme="minorHAnsi"/>
          <w:color w:val="auto"/>
          <w:sz w:val="24"/>
          <w:szCs w:val="24"/>
        </w:rPr>
        <w:t xml:space="preserve"> </w:t>
      </w:r>
      <w:r w:rsidR="00961032" w:rsidRPr="007652E3">
        <w:rPr>
          <w:rFonts w:asciiTheme="minorHAnsi" w:hAnsiTheme="minorHAnsi" w:cstheme="minorHAnsi"/>
          <w:sz w:val="24"/>
          <w:szCs w:val="24"/>
        </w:rPr>
        <w:t xml:space="preserve">W uzupełnieniu </w:t>
      </w:r>
      <w:r w:rsidRPr="007652E3">
        <w:rPr>
          <w:rFonts w:asciiTheme="minorHAnsi" w:hAnsiTheme="minorHAnsi" w:cstheme="minorHAnsi"/>
          <w:sz w:val="24"/>
          <w:szCs w:val="24"/>
        </w:rPr>
        <w:t>inwestor</w:t>
      </w:r>
      <w:r w:rsidR="00961032" w:rsidRPr="007652E3">
        <w:rPr>
          <w:rFonts w:asciiTheme="minorHAnsi" w:hAnsiTheme="minorHAnsi" w:cstheme="minorHAnsi"/>
          <w:sz w:val="24"/>
          <w:szCs w:val="24"/>
        </w:rPr>
        <w:t xml:space="preserve"> </w:t>
      </w:r>
      <w:r w:rsidR="00B4291B" w:rsidRPr="007652E3">
        <w:rPr>
          <w:rFonts w:asciiTheme="minorHAnsi" w:hAnsiTheme="minorHAnsi" w:cstheme="minorHAnsi"/>
          <w:sz w:val="24"/>
          <w:szCs w:val="24"/>
        </w:rPr>
        <w:t xml:space="preserve">określił i </w:t>
      </w:r>
      <w:r w:rsidR="00961032" w:rsidRPr="007652E3">
        <w:rPr>
          <w:rFonts w:asciiTheme="minorHAnsi" w:hAnsiTheme="minorHAnsi" w:cstheme="minorHAnsi"/>
          <w:sz w:val="24"/>
          <w:szCs w:val="24"/>
        </w:rPr>
        <w:t xml:space="preserve">dokonał analizy trzech wariantów przedsięwzięcia, w tym wariantu proponowanego przez </w:t>
      </w:r>
      <w:r w:rsidRPr="007652E3">
        <w:rPr>
          <w:rFonts w:asciiTheme="minorHAnsi" w:hAnsiTheme="minorHAnsi" w:cstheme="minorHAnsi"/>
          <w:sz w:val="24"/>
          <w:szCs w:val="24"/>
        </w:rPr>
        <w:t>inwestora,</w:t>
      </w:r>
      <w:r w:rsidR="00961032" w:rsidRPr="007652E3">
        <w:rPr>
          <w:rFonts w:asciiTheme="minorHAnsi" w:hAnsiTheme="minorHAnsi" w:cstheme="minorHAnsi"/>
          <w:sz w:val="24"/>
          <w:szCs w:val="24"/>
        </w:rPr>
        <w:t xml:space="preserve"> dwóch racjonalnych wariantów alternatywnych oraz racjonalnego wariantu najkorzystniejszego dla środowiska</w:t>
      </w:r>
      <w:r w:rsidR="00461018" w:rsidRPr="007652E3">
        <w:rPr>
          <w:rFonts w:asciiTheme="minorHAnsi" w:hAnsiTheme="minorHAnsi" w:cstheme="minorHAnsi"/>
          <w:sz w:val="24"/>
          <w:szCs w:val="24"/>
        </w:rPr>
        <w:t xml:space="preserve">. </w:t>
      </w:r>
      <w:r w:rsidR="00432E9A" w:rsidRPr="007652E3">
        <w:rPr>
          <w:rFonts w:asciiTheme="minorHAnsi" w:hAnsiTheme="minorHAnsi" w:cstheme="minorHAnsi"/>
          <w:sz w:val="24"/>
          <w:szCs w:val="24"/>
        </w:rPr>
        <w:t xml:space="preserve">Jako </w:t>
      </w:r>
      <w:r w:rsidR="00106D97" w:rsidRPr="007652E3">
        <w:rPr>
          <w:rFonts w:asciiTheme="minorHAnsi" w:hAnsiTheme="minorHAnsi" w:cstheme="minorHAnsi"/>
          <w:sz w:val="24"/>
          <w:szCs w:val="24"/>
        </w:rPr>
        <w:t xml:space="preserve">wariant proponowany przez </w:t>
      </w:r>
      <w:r w:rsidR="00AE37BB" w:rsidRPr="007652E3">
        <w:rPr>
          <w:rFonts w:asciiTheme="minorHAnsi" w:hAnsiTheme="minorHAnsi" w:cstheme="minorHAnsi"/>
          <w:sz w:val="24"/>
          <w:szCs w:val="24"/>
        </w:rPr>
        <w:t>wnioskodawcę</w:t>
      </w:r>
      <w:r w:rsidR="00432E9A" w:rsidRPr="007652E3">
        <w:rPr>
          <w:rFonts w:asciiTheme="minorHAnsi" w:hAnsiTheme="minorHAnsi" w:cstheme="minorHAnsi"/>
          <w:sz w:val="24"/>
          <w:szCs w:val="24"/>
        </w:rPr>
        <w:t xml:space="preserve"> został wskazany wariant</w:t>
      </w:r>
      <w:r w:rsidR="00B4291B" w:rsidRPr="007652E3">
        <w:rPr>
          <w:rFonts w:asciiTheme="minorHAnsi" w:hAnsiTheme="minorHAnsi" w:cstheme="minorHAnsi"/>
          <w:sz w:val="24"/>
          <w:szCs w:val="24"/>
        </w:rPr>
        <w:t>,</w:t>
      </w:r>
      <w:r w:rsidR="00B9513D" w:rsidRPr="007652E3">
        <w:rPr>
          <w:rFonts w:asciiTheme="minorHAnsi" w:hAnsiTheme="minorHAnsi" w:cstheme="minorHAnsi"/>
          <w:sz w:val="24"/>
          <w:szCs w:val="24"/>
        </w:rPr>
        <w:t xml:space="preserve"> który</w:t>
      </w:r>
      <w:r w:rsidR="00E57EC0" w:rsidRPr="007652E3">
        <w:rPr>
          <w:rFonts w:asciiTheme="minorHAnsi" w:hAnsiTheme="minorHAnsi" w:cstheme="minorHAnsi"/>
          <w:sz w:val="24"/>
          <w:szCs w:val="24"/>
        </w:rPr>
        <w:t xml:space="preserve"> </w:t>
      </w:r>
      <w:r w:rsidR="00106D97" w:rsidRPr="007652E3">
        <w:rPr>
          <w:rFonts w:asciiTheme="minorHAnsi" w:hAnsiTheme="minorHAnsi" w:cstheme="minorHAnsi"/>
          <w:sz w:val="24"/>
          <w:szCs w:val="24"/>
        </w:rPr>
        <w:t>obejmuje budowę kotła parowego zintegrowanego z paleniskiem rusztowym</w:t>
      </w:r>
      <w:r w:rsidR="0076160B" w:rsidRPr="007652E3">
        <w:rPr>
          <w:rFonts w:asciiTheme="minorHAnsi" w:hAnsiTheme="minorHAnsi" w:cstheme="minorHAnsi"/>
          <w:sz w:val="24"/>
          <w:szCs w:val="24"/>
        </w:rPr>
        <w:t xml:space="preserve"> (</w:t>
      </w:r>
      <w:r w:rsidR="00DD3999" w:rsidRPr="007652E3">
        <w:rPr>
          <w:rFonts w:asciiTheme="minorHAnsi" w:hAnsiTheme="minorHAnsi" w:cstheme="minorHAnsi"/>
          <w:sz w:val="24"/>
          <w:szCs w:val="24"/>
        </w:rPr>
        <w:t>wariant 1)</w:t>
      </w:r>
      <w:r w:rsidR="00B9513D" w:rsidRPr="007652E3">
        <w:rPr>
          <w:rFonts w:asciiTheme="minorHAnsi" w:hAnsiTheme="minorHAnsi" w:cstheme="minorHAnsi"/>
          <w:sz w:val="24"/>
          <w:szCs w:val="24"/>
        </w:rPr>
        <w:t>. Tym samym nastąpiła zmiana wariantu w porównaniu do wskazanego w raporcie z 2017 r. jako najbardziej pożądanego rozwiązania dla realizacji budowy instalacji</w:t>
      </w:r>
      <w:r w:rsidR="000B215C" w:rsidRPr="007652E3">
        <w:rPr>
          <w:rFonts w:asciiTheme="minorHAnsi" w:hAnsiTheme="minorHAnsi" w:cstheme="minorHAnsi"/>
          <w:sz w:val="24"/>
          <w:szCs w:val="24"/>
        </w:rPr>
        <w:t>.</w:t>
      </w:r>
      <w:r w:rsidR="00432E9A" w:rsidRPr="007652E3">
        <w:rPr>
          <w:rFonts w:asciiTheme="minorHAnsi" w:hAnsiTheme="minorHAnsi" w:cstheme="minorHAnsi"/>
          <w:sz w:val="24"/>
          <w:szCs w:val="24"/>
        </w:rPr>
        <w:t xml:space="preserve"> Ponadto</w:t>
      </w:r>
      <w:r w:rsidR="00F12181" w:rsidRPr="007652E3">
        <w:rPr>
          <w:rFonts w:asciiTheme="minorHAnsi" w:hAnsiTheme="minorHAnsi" w:cstheme="minorHAnsi"/>
          <w:sz w:val="24"/>
          <w:szCs w:val="24"/>
        </w:rPr>
        <w:t xml:space="preserve"> inwestor </w:t>
      </w:r>
      <w:r w:rsidR="00B9513D" w:rsidRPr="007652E3">
        <w:rPr>
          <w:rFonts w:asciiTheme="minorHAnsi" w:hAnsiTheme="minorHAnsi" w:cstheme="minorHAnsi"/>
          <w:sz w:val="24"/>
          <w:szCs w:val="24"/>
        </w:rPr>
        <w:t>doprecyzował</w:t>
      </w:r>
      <w:r w:rsidR="00F12181" w:rsidRPr="007652E3">
        <w:rPr>
          <w:rFonts w:asciiTheme="minorHAnsi" w:hAnsiTheme="minorHAnsi" w:cstheme="minorHAnsi"/>
          <w:sz w:val="24"/>
          <w:szCs w:val="24"/>
        </w:rPr>
        <w:t>, że w</w:t>
      </w:r>
      <w:r w:rsidR="00961032" w:rsidRPr="007652E3">
        <w:rPr>
          <w:rFonts w:asciiTheme="minorHAnsi" w:hAnsiTheme="minorHAnsi" w:cstheme="minorHAnsi"/>
          <w:sz w:val="24"/>
          <w:szCs w:val="24"/>
        </w:rPr>
        <w:t xml:space="preserve"> ramach racjonalnego wariantu alternatywnego</w:t>
      </w:r>
      <w:r w:rsidR="00DD3999" w:rsidRPr="007652E3">
        <w:rPr>
          <w:rFonts w:asciiTheme="minorHAnsi" w:hAnsiTheme="minorHAnsi" w:cstheme="minorHAnsi"/>
          <w:sz w:val="24"/>
          <w:szCs w:val="24"/>
        </w:rPr>
        <w:t>,</w:t>
      </w:r>
      <w:r w:rsidR="00961032" w:rsidRPr="007652E3">
        <w:rPr>
          <w:rFonts w:asciiTheme="minorHAnsi" w:hAnsiTheme="minorHAnsi" w:cstheme="minorHAnsi"/>
          <w:sz w:val="24"/>
          <w:szCs w:val="24"/>
        </w:rPr>
        <w:t xml:space="preserve"> oznaczonego w uzupełnieniu do raportu</w:t>
      </w:r>
      <w:r w:rsidR="004C2AE6" w:rsidRPr="007652E3">
        <w:rPr>
          <w:rFonts w:asciiTheme="minorHAnsi" w:hAnsiTheme="minorHAnsi" w:cstheme="minorHAnsi"/>
          <w:sz w:val="24"/>
          <w:szCs w:val="24"/>
        </w:rPr>
        <w:t xml:space="preserve"> </w:t>
      </w:r>
      <w:r w:rsidR="00961032" w:rsidRPr="007652E3">
        <w:rPr>
          <w:rFonts w:asciiTheme="minorHAnsi" w:hAnsiTheme="minorHAnsi" w:cstheme="minorHAnsi"/>
          <w:sz w:val="24"/>
          <w:szCs w:val="24"/>
        </w:rPr>
        <w:t>jako wariant 2</w:t>
      </w:r>
      <w:r w:rsidR="00DD3999" w:rsidRPr="007652E3">
        <w:rPr>
          <w:rFonts w:asciiTheme="minorHAnsi" w:hAnsiTheme="minorHAnsi" w:cstheme="minorHAnsi"/>
          <w:sz w:val="24"/>
          <w:szCs w:val="24"/>
        </w:rPr>
        <w:t>,</w:t>
      </w:r>
      <w:r w:rsidR="00961032" w:rsidRPr="007652E3">
        <w:rPr>
          <w:rFonts w:asciiTheme="minorHAnsi" w:hAnsiTheme="minorHAnsi" w:cstheme="minorHAnsi"/>
          <w:sz w:val="24"/>
          <w:szCs w:val="24"/>
        </w:rPr>
        <w:t xml:space="preserve"> planuje się budowę kotła fluidalnego ze złożem cyrkulacyjnym (CFB) o wydajności ok. 40 000 Mg/rok.</w:t>
      </w:r>
      <w:r w:rsidR="00DD3999" w:rsidRPr="007652E3">
        <w:rPr>
          <w:rFonts w:asciiTheme="minorHAnsi" w:hAnsiTheme="minorHAnsi" w:cstheme="minorHAnsi"/>
          <w:sz w:val="24"/>
          <w:szCs w:val="24"/>
        </w:rPr>
        <w:t xml:space="preserve"> </w:t>
      </w:r>
      <w:r w:rsidR="00961032" w:rsidRPr="007652E3">
        <w:rPr>
          <w:rFonts w:asciiTheme="minorHAnsi" w:hAnsiTheme="minorHAnsi" w:cstheme="minorHAnsi"/>
          <w:sz w:val="24"/>
          <w:szCs w:val="24"/>
        </w:rPr>
        <w:t>Racjonalny wariant alternatywny</w:t>
      </w:r>
      <w:r w:rsidR="00DD3999" w:rsidRPr="007652E3">
        <w:rPr>
          <w:rFonts w:asciiTheme="minorHAnsi" w:hAnsiTheme="minorHAnsi" w:cstheme="minorHAnsi"/>
          <w:sz w:val="24"/>
          <w:szCs w:val="24"/>
        </w:rPr>
        <w:t>,</w:t>
      </w:r>
      <w:r w:rsidR="00961032" w:rsidRPr="007652E3">
        <w:rPr>
          <w:rFonts w:asciiTheme="minorHAnsi" w:hAnsiTheme="minorHAnsi" w:cstheme="minorHAnsi"/>
          <w:sz w:val="24"/>
          <w:szCs w:val="24"/>
        </w:rPr>
        <w:t xml:space="preserve"> oznaczony w uzupełnieniu do raportu jako wariant 3, zakłada </w:t>
      </w:r>
      <w:r w:rsidR="00B9513D" w:rsidRPr="007652E3">
        <w:rPr>
          <w:rFonts w:asciiTheme="minorHAnsi" w:hAnsiTheme="minorHAnsi" w:cstheme="minorHAnsi"/>
          <w:sz w:val="24"/>
          <w:szCs w:val="24"/>
        </w:rPr>
        <w:t xml:space="preserve">zaś </w:t>
      </w:r>
      <w:r w:rsidR="00961032" w:rsidRPr="007652E3">
        <w:rPr>
          <w:rFonts w:asciiTheme="minorHAnsi" w:hAnsiTheme="minorHAnsi" w:cstheme="minorHAnsi"/>
          <w:sz w:val="24"/>
          <w:szCs w:val="24"/>
        </w:rPr>
        <w:t>budowę kotła parowego zintegrowanego z paleniskiem obrotowym (oscylacyjnym) o wydajności ok. 40 000 Mg/rok.</w:t>
      </w:r>
      <w:r w:rsidR="00DD3999" w:rsidRPr="007652E3">
        <w:rPr>
          <w:rFonts w:asciiTheme="minorHAnsi" w:hAnsiTheme="minorHAnsi" w:cstheme="minorHAnsi"/>
          <w:sz w:val="24"/>
          <w:szCs w:val="24"/>
        </w:rPr>
        <w:t xml:space="preserve"> </w:t>
      </w:r>
      <w:r w:rsidR="00E62AB2" w:rsidRPr="007652E3">
        <w:rPr>
          <w:rFonts w:asciiTheme="minorHAnsi" w:hAnsiTheme="minorHAnsi" w:cstheme="minorHAnsi"/>
          <w:sz w:val="24"/>
          <w:szCs w:val="24"/>
        </w:rPr>
        <w:t xml:space="preserve">Wariant </w:t>
      </w:r>
      <w:r w:rsidR="00E62AB2" w:rsidRPr="007652E3">
        <w:rPr>
          <w:rFonts w:asciiTheme="minorHAnsi" w:hAnsiTheme="minorHAnsi" w:cstheme="minorHAnsi"/>
          <w:sz w:val="24"/>
          <w:szCs w:val="24"/>
        </w:rPr>
        <w:lastRenderedPageBreak/>
        <w:t xml:space="preserve">najkorzystniejszy dla środowiska został wybrany po dokonaniu analizy wielokryterialnej rozpatrywanych wariantów technologicznych. Wykonana analiza wykazała, że wariantem najkorzystniejszym dla środowiska jest wariant 1 – </w:t>
      </w:r>
      <w:r w:rsidR="00DD3999" w:rsidRPr="007652E3">
        <w:rPr>
          <w:rFonts w:asciiTheme="minorHAnsi" w:hAnsiTheme="minorHAnsi" w:cstheme="minorHAnsi"/>
          <w:sz w:val="24"/>
          <w:szCs w:val="24"/>
        </w:rPr>
        <w:t>budowa kotła parowego zintegrowanego z paleniskiem rusztowym</w:t>
      </w:r>
      <w:r w:rsidR="00E62AB2" w:rsidRPr="007652E3">
        <w:rPr>
          <w:rFonts w:asciiTheme="minorHAnsi" w:hAnsiTheme="minorHAnsi" w:cstheme="minorHAnsi"/>
          <w:sz w:val="24"/>
          <w:szCs w:val="24"/>
        </w:rPr>
        <w:t xml:space="preserve">. </w:t>
      </w:r>
      <w:r w:rsidR="00961032" w:rsidRPr="007652E3">
        <w:rPr>
          <w:rFonts w:asciiTheme="minorHAnsi" w:hAnsiTheme="minorHAnsi" w:cstheme="minorHAnsi"/>
          <w:sz w:val="24"/>
          <w:szCs w:val="24"/>
        </w:rPr>
        <w:t>Wszystkie powyższe warianty planowane są w tej samej lokalizacji</w:t>
      </w:r>
      <w:r w:rsidR="000D79AE" w:rsidRPr="007652E3">
        <w:rPr>
          <w:rFonts w:asciiTheme="minorHAnsi" w:hAnsiTheme="minorHAnsi" w:cstheme="minorHAnsi"/>
          <w:sz w:val="24"/>
          <w:szCs w:val="24"/>
        </w:rPr>
        <w:t xml:space="preserve"> na terenie MPEC Tarnów w sąsiedztwie EC Piaskówka</w:t>
      </w:r>
      <w:r w:rsidR="00961032" w:rsidRPr="007652E3">
        <w:rPr>
          <w:rFonts w:asciiTheme="minorHAnsi" w:hAnsiTheme="minorHAnsi" w:cstheme="minorHAnsi"/>
          <w:sz w:val="24"/>
          <w:szCs w:val="24"/>
        </w:rPr>
        <w:t>.</w:t>
      </w:r>
      <w:r w:rsidR="00024C68" w:rsidRPr="007652E3">
        <w:rPr>
          <w:rFonts w:asciiTheme="minorHAnsi" w:hAnsiTheme="minorHAnsi" w:cstheme="minorHAnsi"/>
          <w:sz w:val="24"/>
          <w:szCs w:val="24"/>
        </w:rPr>
        <w:t xml:space="preserve"> Jednocześnie inwestor zrezygnował z wariantu realizacji przedsięwzięcia z wykorzystaniem pieca z paleniskiem pochyłym, który był wskazany w raporcie z 2017 r.</w:t>
      </w:r>
    </w:p>
    <w:p w14:paraId="55384C50" w14:textId="0AEC148C" w:rsidR="00A2478D" w:rsidRPr="007652E3" w:rsidRDefault="008A5A2D" w:rsidP="007652E3">
      <w:pPr>
        <w:pStyle w:val="Normalny1"/>
        <w:pBdr>
          <w:top w:val="nil"/>
          <w:left w:val="nil"/>
          <w:bottom w:val="nil"/>
          <w:right w:val="nil"/>
          <w:between w:val="nil"/>
        </w:pBdr>
        <w:spacing w:line="312" w:lineRule="auto"/>
        <w:rPr>
          <w:rFonts w:asciiTheme="minorHAnsi" w:hAnsiTheme="minorHAnsi" w:cstheme="minorHAnsi"/>
          <w:sz w:val="24"/>
          <w:szCs w:val="24"/>
        </w:rPr>
      </w:pPr>
      <w:r w:rsidRPr="007652E3">
        <w:rPr>
          <w:rFonts w:asciiTheme="minorHAnsi" w:hAnsiTheme="minorHAnsi" w:cstheme="minorHAnsi"/>
          <w:sz w:val="24"/>
          <w:szCs w:val="24"/>
        </w:rPr>
        <w:t xml:space="preserve">Z uzasadnienia decyzji </w:t>
      </w:r>
      <w:r w:rsidR="00922796" w:rsidRPr="007652E3">
        <w:rPr>
          <w:rFonts w:asciiTheme="minorHAnsi" w:hAnsiTheme="minorHAnsi" w:cstheme="minorHAnsi"/>
          <w:sz w:val="24"/>
          <w:szCs w:val="24"/>
        </w:rPr>
        <w:t xml:space="preserve">RDOŚ w Krakowie z dnia 13 czerwca 2018 r. </w:t>
      </w:r>
      <w:r w:rsidRPr="007652E3">
        <w:rPr>
          <w:rFonts w:asciiTheme="minorHAnsi" w:hAnsiTheme="minorHAnsi" w:cstheme="minorHAnsi"/>
          <w:sz w:val="24"/>
          <w:szCs w:val="24"/>
        </w:rPr>
        <w:t xml:space="preserve">nie </w:t>
      </w:r>
      <w:r w:rsidR="000B215C" w:rsidRPr="007652E3">
        <w:rPr>
          <w:rFonts w:asciiTheme="minorHAnsi" w:hAnsiTheme="minorHAnsi" w:cstheme="minorHAnsi"/>
          <w:sz w:val="24"/>
          <w:szCs w:val="24"/>
        </w:rPr>
        <w:t>wynika</w:t>
      </w:r>
      <w:r w:rsidR="00432E9A" w:rsidRPr="007652E3">
        <w:rPr>
          <w:rFonts w:asciiTheme="minorHAnsi" w:hAnsiTheme="minorHAnsi" w:cstheme="minorHAnsi"/>
          <w:sz w:val="24"/>
          <w:szCs w:val="24"/>
        </w:rPr>
        <w:t>,</w:t>
      </w:r>
      <w:r w:rsidR="00A97599" w:rsidRPr="007652E3">
        <w:rPr>
          <w:rFonts w:asciiTheme="minorHAnsi" w:hAnsiTheme="minorHAnsi" w:cstheme="minorHAnsi"/>
          <w:sz w:val="24"/>
          <w:szCs w:val="24"/>
        </w:rPr>
        <w:t xml:space="preserve"> </w:t>
      </w:r>
      <w:r w:rsidRPr="007652E3">
        <w:rPr>
          <w:rFonts w:asciiTheme="minorHAnsi" w:hAnsiTheme="minorHAnsi" w:cstheme="minorHAnsi"/>
          <w:sz w:val="24"/>
          <w:szCs w:val="24"/>
        </w:rPr>
        <w:t>a</w:t>
      </w:r>
      <w:r w:rsidR="00A97599" w:rsidRPr="007652E3">
        <w:rPr>
          <w:rFonts w:asciiTheme="minorHAnsi" w:hAnsiTheme="minorHAnsi" w:cstheme="minorHAnsi"/>
          <w:sz w:val="24"/>
          <w:szCs w:val="24"/>
        </w:rPr>
        <w:t>by ocenie został poddany konkretny wariant technologiczny</w:t>
      </w:r>
      <w:r w:rsidR="00222449" w:rsidRPr="007652E3">
        <w:rPr>
          <w:rFonts w:asciiTheme="minorHAnsi" w:hAnsiTheme="minorHAnsi" w:cstheme="minorHAnsi"/>
          <w:sz w:val="24"/>
          <w:szCs w:val="24"/>
        </w:rPr>
        <w:t xml:space="preserve">. Organ </w:t>
      </w:r>
      <w:r w:rsidR="00F4201A" w:rsidRPr="007652E3">
        <w:rPr>
          <w:rFonts w:asciiTheme="minorHAnsi" w:hAnsiTheme="minorHAnsi" w:cstheme="minorHAnsi"/>
          <w:sz w:val="24"/>
          <w:szCs w:val="24"/>
        </w:rPr>
        <w:t>pierwszej</w:t>
      </w:r>
      <w:r w:rsidR="00222449" w:rsidRPr="007652E3">
        <w:rPr>
          <w:rFonts w:asciiTheme="minorHAnsi" w:hAnsiTheme="minorHAnsi" w:cstheme="minorHAnsi"/>
          <w:sz w:val="24"/>
          <w:szCs w:val="24"/>
        </w:rPr>
        <w:t xml:space="preserve"> instancji nie określił również</w:t>
      </w:r>
      <w:r w:rsidR="00F4201A" w:rsidRPr="007652E3">
        <w:rPr>
          <w:rFonts w:asciiTheme="minorHAnsi" w:hAnsiTheme="minorHAnsi" w:cstheme="minorHAnsi"/>
          <w:sz w:val="24"/>
          <w:szCs w:val="24"/>
        </w:rPr>
        <w:t>,</w:t>
      </w:r>
      <w:r w:rsidR="00222449" w:rsidRPr="007652E3">
        <w:rPr>
          <w:rFonts w:asciiTheme="minorHAnsi" w:hAnsiTheme="minorHAnsi" w:cstheme="minorHAnsi"/>
          <w:sz w:val="24"/>
          <w:szCs w:val="24"/>
        </w:rPr>
        <w:t xml:space="preserve"> jaki ostatecznie został dokonany wybór konkretnego</w:t>
      </w:r>
      <w:r w:rsidR="007A5185" w:rsidRPr="007652E3">
        <w:rPr>
          <w:rFonts w:asciiTheme="minorHAnsi" w:hAnsiTheme="minorHAnsi" w:cstheme="minorHAnsi"/>
          <w:sz w:val="24"/>
          <w:szCs w:val="24"/>
        </w:rPr>
        <w:t xml:space="preserve"> wariant</w:t>
      </w:r>
      <w:r w:rsidR="00222449" w:rsidRPr="007652E3">
        <w:rPr>
          <w:rFonts w:asciiTheme="minorHAnsi" w:hAnsiTheme="minorHAnsi" w:cstheme="minorHAnsi"/>
          <w:sz w:val="24"/>
          <w:szCs w:val="24"/>
        </w:rPr>
        <w:t>u technologicznego, co wynikało z braku jednoznacznego określenia w raporcie, który</w:t>
      </w:r>
      <w:r w:rsidR="007A5185" w:rsidRPr="007652E3">
        <w:rPr>
          <w:rFonts w:asciiTheme="minorHAnsi" w:hAnsiTheme="minorHAnsi" w:cstheme="minorHAnsi"/>
          <w:sz w:val="24"/>
          <w:szCs w:val="24"/>
        </w:rPr>
        <w:t xml:space="preserve"> </w:t>
      </w:r>
      <w:r w:rsidR="00222449" w:rsidRPr="007652E3">
        <w:rPr>
          <w:rFonts w:asciiTheme="minorHAnsi" w:hAnsiTheme="minorHAnsi" w:cstheme="minorHAnsi"/>
          <w:sz w:val="24"/>
          <w:szCs w:val="24"/>
        </w:rPr>
        <w:t xml:space="preserve">wariant </w:t>
      </w:r>
      <w:bookmarkStart w:id="5" w:name="_Hlk119584789"/>
      <w:r w:rsidR="007A5185" w:rsidRPr="007652E3">
        <w:rPr>
          <w:rFonts w:asciiTheme="minorHAnsi" w:hAnsiTheme="minorHAnsi" w:cstheme="minorHAnsi"/>
          <w:sz w:val="24"/>
          <w:szCs w:val="24"/>
        </w:rPr>
        <w:t>stanowi wariant proponowany przez wnioskodawcę, który jest racjonalnym wariantem</w:t>
      </w:r>
      <w:r w:rsidR="007400B1" w:rsidRPr="007652E3">
        <w:rPr>
          <w:rFonts w:asciiTheme="minorHAnsi" w:hAnsiTheme="minorHAnsi" w:cstheme="minorHAnsi"/>
          <w:sz w:val="24"/>
          <w:szCs w:val="24"/>
        </w:rPr>
        <w:t xml:space="preserve"> alternatywnym</w:t>
      </w:r>
      <w:r w:rsidR="00F4201A" w:rsidRPr="007652E3">
        <w:rPr>
          <w:rFonts w:asciiTheme="minorHAnsi" w:hAnsiTheme="minorHAnsi" w:cstheme="minorHAnsi"/>
          <w:sz w:val="24"/>
          <w:szCs w:val="24"/>
        </w:rPr>
        <w:t>,</w:t>
      </w:r>
      <w:r w:rsidR="007A5185" w:rsidRPr="007652E3">
        <w:rPr>
          <w:rFonts w:asciiTheme="minorHAnsi" w:hAnsiTheme="minorHAnsi" w:cstheme="minorHAnsi"/>
          <w:sz w:val="24"/>
          <w:szCs w:val="24"/>
        </w:rPr>
        <w:t xml:space="preserve"> a który wariantem najkorzystniejs</w:t>
      </w:r>
      <w:r w:rsidR="00222449" w:rsidRPr="007652E3">
        <w:rPr>
          <w:rFonts w:asciiTheme="minorHAnsi" w:hAnsiTheme="minorHAnsi" w:cstheme="minorHAnsi"/>
          <w:sz w:val="24"/>
          <w:szCs w:val="24"/>
        </w:rPr>
        <w:t xml:space="preserve">zym dla środowiska. </w:t>
      </w:r>
      <w:bookmarkEnd w:id="5"/>
      <w:r w:rsidR="001706B3" w:rsidRPr="007652E3">
        <w:rPr>
          <w:rFonts w:asciiTheme="minorHAnsi" w:hAnsiTheme="minorHAnsi" w:cstheme="minorHAnsi"/>
          <w:sz w:val="24"/>
          <w:szCs w:val="24"/>
        </w:rPr>
        <w:t>Powyższe potwierdza WSA w Warszawie w wyroku z dnia 3 października 2019 r.</w:t>
      </w:r>
      <w:r w:rsidR="00B4291B" w:rsidRPr="007652E3">
        <w:rPr>
          <w:rFonts w:asciiTheme="minorHAnsi" w:hAnsiTheme="minorHAnsi" w:cstheme="minorHAnsi"/>
          <w:sz w:val="24"/>
          <w:szCs w:val="24"/>
        </w:rPr>
        <w:t xml:space="preserve"> </w:t>
      </w:r>
    </w:p>
    <w:p w14:paraId="5819D262" w14:textId="2CE48BFA" w:rsidR="0045498E" w:rsidRPr="007652E3" w:rsidRDefault="0045498E" w:rsidP="007652E3">
      <w:pPr>
        <w:pStyle w:val="Normalny1"/>
        <w:pBdr>
          <w:top w:val="nil"/>
          <w:left w:val="nil"/>
          <w:bottom w:val="nil"/>
          <w:right w:val="nil"/>
          <w:between w:val="nil"/>
        </w:pBdr>
        <w:spacing w:line="312" w:lineRule="auto"/>
        <w:rPr>
          <w:rFonts w:asciiTheme="minorHAnsi" w:hAnsiTheme="minorHAnsi" w:cstheme="minorHAnsi"/>
          <w:color w:val="333333"/>
          <w:sz w:val="24"/>
          <w:szCs w:val="24"/>
          <w:shd w:val="clear" w:color="auto" w:fill="FFFFFF"/>
        </w:rPr>
      </w:pPr>
      <w:r w:rsidRPr="007652E3">
        <w:rPr>
          <w:rFonts w:asciiTheme="minorHAnsi" w:hAnsiTheme="minorHAnsi" w:cstheme="minorHAnsi"/>
          <w:sz w:val="24"/>
          <w:szCs w:val="24"/>
        </w:rPr>
        <w:t>RDOŚ w Krakowie nie przeprowadził postępowania wyjaśniającego, w celu ustalenia, jaki wariant przedsięwzięcia jest wariantem proponowanym przez wnioskodawcę</w:t>
      </w:r>
      <w:r w:rsidR="008D6E7D" w:rsidRPr="007652E3">
        <w:rPr>
          <w:rFonts w:asciiTheme="minorHAnsi" w:hAnsiTheme="minorHAnsi" w:cstheme="minorHAnsi"/>
          <w:sz w:val="24"/>
          <w:szCs w:val="24"/>
        </w:rPr>
        <w:t xml:space="preserve"> ani dla jakiego wariantu przedsięwzięcia ma być wydana decyzja o środowiskowych uwarunkowaniach</w:t>
      </w:r>
      <w:r w:rsidRPr="007652E3">
        <w:rPr>
          <w:rFonts w:asciiTheme="minorHAnsi" w:hAnsiTheme="minorHAnsi" w:cstheme="minorHAnsi"/>
          <w:sz w:val="24"/>
          <w:szCs w:val="24"/>
        </w:rPr>
        <w:t>, czym naruszył art. 7 w związku z art. 77 § 1 kpa</w:t>
      </w:r>
      <w:r w:rsidR="008D6E7D" w:rsidRPr="007652E3">
        <w:rPr>
          <w:rFonts w:asciiTheme="minorHAnsi" w:hAnsiTheme="minorHAnsi" w:cstheme="minorHAnsi"/>
          <w:sz w:val="24"/>
          <w:szCs w:val="24"/>
        </w:rPr>
        <w:t>, w stopniu mogącym mieć istotny wpływ na rozstrzygnięcie analizowanej sprawy</w:t>
      </w:r>
      <w:r w:rsidRPr="007652E3">
        <w:rPr>
          <w:rFonts w:asciiTheme="minorHAnsi" w:hAnsiTheme="minorHAnsi" w:cstheme="minorHAnsi"/>
          <w:sz w:val="24"/>
          <w:szCs w:val="24"/>
        </w:rPr>
        <w:t xml:space="preserve">. W konsekwencji z zaskarżonej decyzji nie wynika, jaki wariant przedsięwzięcia został objęty oceną oddziaływania przedsięwzięcia na środowisko ani </w:t>
      </w:r>
      <w:r w:rsidR="008D6E7D" w:rsidRPr="007652E3">
        <w:rPr>
          <w:rFonts w:asciiTheme="minorHAnsi" w:hAnsiTheme="minorHAnsi" w:cstheme="minorHAnsi"/>
          <w:sz w:val="24"/>
          <w:szCs w:val="24"/>
        </w:rPr>
        <w:t xml:space="preserve">dla jakiego przedsięwzięcia (o jakich konkretnie parametrach technicznych i technologicznych) organ pierwszej instancji określił </w:t>
      </w:r>
      <w:r w:rsidR="008D6E7D" w:rsidRPr="007652E3">
        <w:rPr>
          <w:rFonts w:asciiTheme="minorHAnsi" w:hAnsiTheme="minorHAnsi" w:cstheme="minorHAnsi"/>
          <w:sz w:val="24"/>
          <w:szCs w:val="24"/>
        </w:rPr>
        <w:lastRenderedPageBreak/>
        <w:t>środowiskowe uwarunkowania realizacji przedsięwzięcia. Powyższe prowadzi do naruszenia art. 107 § 1 kpa w zakresie rozstrzygnięcia w związku z art. 71 ust. 1 oraz art. 82 ustawy ooś.</w:t>
      </w:r>
    </w:p>
    <w:p w14:paraId="0C5F0ABC" w14:textId="61BD3E47" w:rsidR="004D5F08" w:rsidRPr="007652E3" w:rsidRDefault="004D5F08" w:rsidP="007652E3">
      <w:pPr>
        <w:pStyle w:val="Normalny1"/>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W ponownie przeprowadzonym postępowaniu</w:t>
      </w:r>
      <w:r w:rsidR="00A97BB3"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organ pierwszej instancji dokona analizy uzupełnionego raportu i wszystkich przedstawionych w nim wariantów</w:t>
      </w:r>
      <w:r w:rsidR="000D79AE" w:rsidRPr="007652E3">
        <w:rPr>
          <w:rFonts w:asciiTheme="minorHAnsi" w:hAnsiTheme="minorHAnsi" w:cstheme="minorHAnsi"/>
          <w:color w:val="auto"/>
          <w:sz w:val="24"/>
          <w:szCs w:val="24"/>
          <w:shd w:val="clear" w:color="auto" w:fill="FFFFFF"/>
        </w:rPr>
        <w:t xml:space="preserve"> w myśl art. 66 ustawy ooś</w:t>
      </w:r>
      <w:r w:rsidRPr="007652E3">
        <w:rPr>
          <w:rFonts w:asciiTheme="minorHAnsi" w:hAnsiTheme="minorHAnsi" w:cstheme="minorHAnsi"/>
          <w:color w:val="auto"/>
          <w:sz w:val="24"/>
          <w:szCs w:val="24"/>
          <w:shd w:val="clear" w:color="auto" w:fill="FFFFFF"/>
        </w:rPr>
        <w:t>, oceni</w:t>
      </w:r>
      <w:r w:rsidR="008D6E7D" w:rsidRPr="007652E3">
        <w:rPr>
          <w:rFonts w:asciiTheme="minorHAnsi" w:hAnsiTheme="minorHAnsi" w:cstheme="minorHAnsi"/>
          <w:color w:val="auto"/>
          <w:sz w:val="24"/>
          <w:szCs w:val="24"/>
          <w:shd w:val="clear" w:color="auto" w:fill="FFFFFF"/>
        </w:rPr>
        <w:t>,</w:t>
      </w:r>
      <w:r w:rsidRPr="007652E3">
        <w:rPr>
          <w:rFonts w:asciiTheme="minorHAnsi" w:hAnsiTheme="minorHAnsi" w:cstheme="minorHAnsi"/>
          <w:color w:val="auto"/>
          <w:sz w:val="24"/>
          <w:szCs w:val="24"/>
          <w:shd w:val="clear" w:color="auto" w:fill="FFFFFF"/>
        </w:rPr>
        <w:t xml:space="preserve"> czy racjonalne warianty</w:t>
      </w:r>
      <w:r w:rsidR="00A97BB3"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alternatywne wskazane przez inwestora spełniają cechy takich wariantów</w:t>
      </w:r>
      <w:r w:rsidR="00A97BB3" w:rsidRPr="007652E3">
        <w:rPr>
          <w:rFonts w:asciiTheme="minorHAnsi" w:hAnsiTheme="minorHAnsi" w:cstheme="minorHAnsi"/>
          <w:color w:val="auto"/>
          <w:sz w:val="24"/>
          <w:szCs w:val="24"/>
          <w:shd w:val="clear" w:color="auto" w:fill="FFFFFF"/>
        </w:rPr>
        <w:t xml:space="preserve"> </w:t>
      </w:r>
      <w:r w:rsidR="008A5A2D" w:rsidRPr="007652E3">
        <w:rPr>
          <w:rFonts w:asciiTheme="minorHAnsi" w:hAnsiTheme="minorHAnsi" w:cstheme="minorHAnsi"/>
          <w:color w:val="auto"/>
          <w:sz w:val="24"/>
          <w:szCs w:val="24"/>
          <w:shd w:val="clear" w:color="auto" w:fill="FFFFFF"/>
        </w:rPr>
        <w:t>oraz</w:t>
      </w:r>
      <w:r w:rsidRPr="007652E3">
        <w:rPr>
          <w:rFonts w:asciiTheme="minorHAnsi" w:hAnsiTheme="minorHAnsi" w:cstheme="minorHAnsi"/>
          <w:color w:val="auto"/>
          <w:sz w:val="24"/>
          <w:szCs w:val="24"/>
          <w:shd w:val="clear" w:color="auto" w:fill="FFFFFF"/>
        </w:rPr>
        <w:t xml:space="preserve"> uzasadni</w:t>
      </w:r>
      <w:r w:rsidR="00D302DE" w:rsidRPr="007652E3">
        <w:rPr>
          <w:rFonts w:asciiTheme="minorHAnsi" w:hAnsiTheme="minorHAnsi" w:cstheme="minorHAnsi"/>
          <w:color w:val="auto"/>
          <w:sz w:val="24"/>
          <w:szCs w:val="24"/>
          <w:shd w:val="clear" w:color="auto" w:fill="FFFFFF"/>
        </w:rPr>
        <w:t xml:space="preserve"> wybór</w:t>
      </w:r>
      <w:r w:rsidRPr="007652E3">
        <w:rPr>
          <w:rFonts w:asciiTheme="minorHAnsi" w:hAnsiTheme="minorHAnsi" w:cstheme="minorHAnsi"/>
          <w:color w:val="auto"/>
          <w:sz w:val="24"/>
          <w:szCs w:val="24"/>
          <w:shd w:val="clear" w:color="auto" w:fill="FFFFFF"/>
        </w:rPr>
        <w:t xml:space="preserve"> w sposób odpowiadający wymaganiom art. 107 § 3 </w:t>
      </w:r>
      <w:r w:rsidR="00A97BB3" w:rsidRPr="007652E3">
        <w:rPr>
          <w:rFonts w:asciiTheme="minorHAnsi" w:hAnsiTheme="minorHAnsi" w:cstheme="minorHAnsi"/>
          <w:color w:val="auto"/>
          <w:sz w:val="24"/>
          <w:szCs w:val="24"/>
          <w:shd w:val="clear" w:color="auto" w:fill="FFFFFF"/>
        </w:rPr>
        <w:t>kpa</w:t>
      </w:r>
      <w:r w:rsidRPr="007652E3">
        <w:rPr>
          <w:rFonts w:asciiTheme="minorHAnsi" w:hAnsiTheme="minorHAnsi" w:cstheme="minorHAnsi"/>
          <w:color w:val="auto"/>
          <w:sz w:val="24"/>
          <w:szCs w:val="24"/>
          <w:shd w:val="clear" w:color="auto" w:fill="FFFFFF"/>
        </w:rPr>
        <w:t>.</w:t>
      </w:r>
      <w:r w:rsidR="00842643" w:rsidRPr="007652E3">
        <w:rPr>
          <w:rFonts w:asciiTheme="minorHAnsi" w:hAnsiTheme="minorHAnsi" w:cstheme="minorHAnsi"/>
          <w:color w:val="auto"/>
          <w:sz w:val="24"/>
          <w:szCs w:val="24"/>
          <w:shd w:val="clear" w:color="auto" w:fill="FFFFFF"/>
        </w:rPr>
        <w:t xml:space="preserve"> </w:t>
      </w:r>
      <w:r w:rsidR="008D6E7D" w:rsidRPr="007652E3">
        <w:rPr>
          <w:rFonts w:asciiTheme="minorHAnsi" w:hAnsiTheme="minorHAnsi" w:cstheme="minorHAnsi"/>
          <w:color w:val="auto"/>
          <w:sz w:val="24"/>
          <w:szCs w:val="24"/>
          <w:shd w:val="clear" w:color="auto" w:fill="FFFFFF"/>
        </w:rPr>
        <w:t>Ponadto o</w:t>
      </w:r>
      <w:r w:rsidRPr="007652E3">
        <w:rPr>
          <w:rFonts w:asciiTheme="minorHAnsi" w:hAnsiTheme="minorHAnsi" w:cstheme="minorHAnsi"/>
          <w:color w:val="auto"/>
          <w:sz w:val="24"/>
          <w:szCs w:val="24"/>
          <w:shd w:val="clear" w:color="auto" w:fill="FFFFFF"/>
        </w:rPr>
        <w:t xml:space="preserve">rgan </w:t>
      </w:r>
      <w:r w:rsidR="008D6E7D" w:rsidRPr="007652E3">
        <w:rPr>
          <w:rFonts w:asciiTheme="minorHAnsi" w:hAnsiTheme="minorHAnsi" w:cstheme="minorHAnsi"/>
          <w:color w:val="auto"/>
          <w:sz w:val="24"/>
          <w:szCs w:val="24"/>
          <w:shd w:val="clear" w:color="auto" w:fill="FFFFFF"/>
        </w:rPr>
        <w:t>pierwszej</w:t>
      </w:r>
      <w:r w:rsidRPr="007652E3">
        <w:rPr>
          <w:rFonts w:asciiTheme="minorHAnsi" w:hAnsiTheme="minorHAnsi" w:cstheme="minorHAnsi"/>
          <w:color w:val="auto"/>
          <w:sz w:val="24"/>
          <w:szCs w:val="24"/>
          <w:shd w:val="clear" w:color="auto" w:fill="FFFFFF"/>
        </w:rPr>
        <w:t xml:space="preserve"> instancji </w:t>
      </w:r>
      <w:r w:rsidR="008D6E7D" w:rsidRPr="007652E3">
        <w:rPr>
          <w:rFonts w:asciiTheme="minorHAnsi" w:hAnsiTheme="minorHAnsi" w:cstheme="minorHAnsi"/>
          <w:color w:val="auto"/>
          <w:sz w:val="24"/>
          <w:szCs w:val="24"/>
          <w:shd w:val="clear" w:color="auto" w:fill="FFFFFF"/>
        </w:rPr>
        <w:t xml:space="preserve">określi środowiskowe uwarunkowania realizacji przedsięwzięcia </w:t>
      </w:r>
      <w:r w:rsidR="00EF0947" w:rsidRPr="007652E3">
        <w:rPr>
          <w:rFonts w:asciiTheme="minorHAnsi" w:hAnsiTheme="minorHAnsi" w:cstheme="minorHAnsi"/>
          <w:color w:val="auto"/>
          <w:sz w:val="24"/>
          <w:szCs w:val="24"/>
          <w:shd w:val="clear" w:color="auto" w:fill="FFFFFF"/>
        </w:rPr>
        <w:t>dla konkretnego wariantu</w:t>
      </w:r>
      <w:r w:rsidR="00542062" w:rsidRPr="007652E3">
        <w:rPr>
          <w:rFonts w:asciiTheme="minorHAnsi" w:hAnsiTheme="minorHAnsi" w:cstheme="minorHAnsi"/>
          <w:color w:val="auto"/>
          <w:sz w:val="24"/>
          <w:szCs w:val="24"/>
          <w:shd w:val="clear" w:color="auto" w:fill="FFFFFF"/>
        </w:rPr>
        <w:t>, co musi znaleźć odzwierciedlenie w decyzji kończącej postępowanie</w:t>
      </w:r>
      <w:r w:rsidRPr="007652E3">
        <w:rPr>
          <w:rFonts w:asciiTheme="minorHAnsi" w:hAnsiTheme="minorHAnsi" w:cstheme="minorHAnsi"/>
          <w:color w:val="auto"/>
          <w:sz w:val="24"/>
          <w:szCs w:val="24"/>
          <w:shd w:val="clear" w:color="auto" w:fill="FFFFFF"/>
        </w:rPr>
        <w:t>.</w:t>
      </w:r>
    </w:p>
    <w:p w14:paraId="70535599" w14:textId="1F1F10CB" w:rsidR="00A97BB3" w:rsidRPr="007652E3" w:rsidRDefault="00AB00F8" w:rsidP="007652E3">
      <w:pPr>
        <w:pStyle w:val="Normalny1"/>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Co więcej, j</w:t>
      </w:r>
      <w:r w:rsidR="00DB4A29" w:rsidRPr="007652E3">
        <w:rPr>
          <w:rFonts w:asciiTheme="minorHAnsi" w:hAnsiTheme="minorHAnsi" w:cstheme="minorHAnsi"/>
          <w:color w:val="auto"/>
          <w:sz w:val="24"/>
          <w:szCs w:val="24"/>
          <w:shd w:val="clear" w:color="auto" w:fill="FFFFFF"/>
        </w:rPr>
        <w:t>ak wskazał inwestor w ramach uzupełnienia do raportu</w:t>
      </w:r>
      <w:r w:rsidR="00AF37F1" w:rsidRPr="007652E3">
        <w:rPr>
          <w:rFonts w:asciiTheme="minorHAnsi" w:hAnsiTheme="minorHAnsi" w:cstheme="minorHAnsi"/>
          <w:color w:val="auto"/>
          <w:sz w:val="24"/>
          <w:szCs w:val="24"/>
          <w:shd w:val="clear" w:color="auto" w:fill="FFFFFF"/>
        </w:rPr>
        <w:t>,</w:t>
      </w:r>
      <w:r w:rsidR="00DB4A29" w:rsidRPr="007652E3">
        <w:rPr>
          <w:rFonts w:asciiTheme="minorHAnsi" w:hAnsiTheme="minorHAnsi" w:cstheme="minorHAnsi"/>
          <w:color w:val="auto"/>
          <w:sz w:val="24"/>
          <w:szCs w:val="24"/>
          <w:shd w:val="clear" w:color="auto" w:fill="FFFFFF"/>
        </w:rPr>
        <w:t xml:space="preserve"> dokonano następujących zmian</w:t>
      </w:r>
      <w:r w:rsidR="000B215C" w:rsidRPr="007652E3">
        <w:rPr>
          <w:rFonts w:asciiTheme="minorHAnsi" w:hAnsiTheme="minorHAnsi" w:cstheme="minorHAnsi"/>
          <w:color w:val="auto"/>
          <w:sz w:val="24"/>
          <w:szCs w:val="24"/>
          <w:shd w:val="clear" w:color="auto" w:fill="FFFFFF"/>
        </w:rPr>
        <w:t xml:space="preserve"> w raporcie</w:t>
      </w:r>
      <w:r w:rsidR="00DB4A29" w:rsidRPr="007652E3">
        <w:rPr>
          <w:rFonts w:asciiTheme="minorHAnsi" w:hAnsiTheme="minorHAnsi" w:cstheme="minorHAnsi"/>
          <w:color w:val="auto"/>
          <w:sz w:val="24"/>
          <w:szCs w:val="24"/>
          <w:shd w:val="clear" w:color="auto" w:fill="FFFFFF"/>
        </w:rPr>
        <w:t>:</w:t>
      </w:r>
    </w:p>
    <w:p w14:paraId="3B2A22A5" w14:textId="7A701D8C"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Rozdział 6.1. Raportu „Analizowane warianty technologiczne” zostaje zastąpiony</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Rozdziałem 3 niniejszego opracowania „Opis wariantów uwzględniający szczególne cechy</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przedsięwzięcia lub jego oddziaływania”</w:t>
      </w:r>
      <w:r w:rsidR="000B215C" w:rsidRPr="007652E3">
        <w:rPr>
          <w:rFonts w:asciiTheme="minorHAnsi" w:hAnsiTheme="minorHAnsi" w:cstheme="minorHAnsi"/>
          <w:color w:val="auto"/>
          <w:sz w:val="24"/>
          <w:szCs w:val="24"/>
          <w:shd w:val="clear" w:color="auto" w:fill="FFFFFF"/>
        </w:rPr>
        <w:t>;</w:t>
      </w:r>
    </w:p>
    <w:p w14:paraId="326EE630" w14:textId="0D020103"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Rozdział 5 Raportu „Opis przewidywanych skutków dla środowiska w przypadku</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niepodejmowania przedsięwzięcia, uwzględniający dostępne informacje o środowisku oraz</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wiedzę naukową” ulega całkowitej zmianie ze względu na konieczność aktualizacji zgodnie</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z zapisami Rozdziału 9</w:t>
      </w:r>
      <w:r w:rsidR="000B215C" w:rsidRPr="007652E3">
        <w:rPr>
          <w:rFonts w:asciiTheme="minorHAnsi" w:hAnsiTheme="minorHAnsi" w:cstheme="minorHAnsi"/>
          <w:color w:val="auto"/>
          <w:sz w:val="24"/>
          <w:szCs w:val="24"/>
          <w:shd w:val="clear" w:color="auto" w:fill="FFFFFF"/>
        </w:rPr>
        <w:t>;</w:t>
      </w:r>
    </w:p>
    <w:p w14:paraId="0B918C15" w14:textId="5483B056"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Rozdział 7. Raportu „Określenie przewidywanego oddziaływania na środowisko wybranego</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 xml:space="preserve">wariantu realizacji inwestycji, w tym również wystąpienia poważnej </w:t>
      </w:r>
      <w:r w:rsidRPr="007652E3">
        <w:rPr>
          <w:rFonts w:asciiTheme="minorHAnsi" w:hAnsiTheme="minorHAnsi" w:cstheme="minorHAnsi"/>
          <w:color w:val="auto"/>
          <w:sz w:val="24"/>
          <w:szCs w:val="24"/>
          <w:shd w:val="clear" w:color="auto" w:fill="FFFFFF"/>
        </w:rPr>
        <w:lastRenderedPageBreak/>
        <w:t>awarii przemysłowej, także możliwego transgranicznego oddziaływania na środowisko” zostaje zastąpiony</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Rozdziałami 4, 5 i 6 niniejszego opracowania, zależnie od analizowanego wariantu realizacji</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przedsięwzięcia</w:t>
      </w:r>
      <w:r w:rsidR="000B215C" w:rsidRPr="007652E3">
        <w:rPr>
          <w:rFonts w:asciiTheme="minorHAnsi" w:hAnsiTheme="minorHAnsi" w:cstheme="minorHAnsi"/>
          <w:color w:val="auto"/>
          <w:sz w:val="24"/>
          <w:szCs w:val="24"/>
          <w:shd w:val="clear" w:color="auto" w:fill="FFFFFF"/>
        </w:rPr>
        <w:t>;</w:t>
      </w:r>
    </w:p>
    <w:p w14:paraId="64BEBE73" w14:textId="2AEF233E"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Rozdział 10. Raportu „Porównanie zastosowanej technologii z technologią spełniającą</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wymagania, o których mowa w art. 143 ustawy prawo ochrony środowiska, porównanie</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proponowanej techniki z najlepszą dostępną techniką BAT” zostaje zastąpiony</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Rozdziałem 9 niniejszego opracowania „Porównanie proponowanej technologii z technologią</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spełniającą wymagania, o których mowa w art. 143 ustawy z dnia 27 kwietnia 2001 r. – prawo</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ochrony środowiska, porównanie proponowanej techniki z najlepszą dostępną techniką BAT”</w:t>
      </w:r>
      <w:r w:rsidR="000B215C" w:rsidRPr="007652E3">
        <w:rPr>
          <w:rFonts w:asciiTheme="minorHAnsi" w:hAnsiTheme="minorHAnsi" w:cstheme="minorHAnsi"/>
          <w:color w:val="auto"/>
          <w:sz w:val="24"/>
          <w:szCs w:val="24"/>
          <w:shd w:val="clear" w:color="auto" w:fill="FFFFFF"/>
        </w:rPr>
        <w:t>;</w:t>
      </w:r>
    </w:p>
    <w:p w14:paraId="1DAEA63E" w14:textId="43926AB2"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 xml:space="preserve">Opis technologiczny z rozdziału 6.3.2.2 </w:t>
      </w:r>
      <w:r w:rsidR="00AF37F1" w:rsidRPr="007652E3">
        <w:rPr>
          <w:rFonts w:asciiTheme="minorHAnsi" w:hAnsiTheme="minorHAnsi" w:cstheme="minorHAnsi"/>
          <w:color w:val="auto"/>
          <w:sz w:val="24"/>
          <w:szCs w:val="24"/>
          <w:shd w:val="clear" w:color="auto" w:fill="FFFFFF"/>
        </w:rPr>
        <w:t>„</w:t>
      </w:r>
      <w:r w:rsidRPr="007652E3">
        <w:rPr>
          <w:rFonts w:asciiTheme="minorHAnsi" w:hAnsiTheme="minorHAnsi" w:cstheme="minorHAnsi"/>
          <w:color w:val="auto"/>
          <w:sz w:val="24"/>
          <w:szCs w:val="24"/>
          <w:shd w:val="clear" w:color="auto" w:fill="FFFFFF"/>
        </w:rPr>
        <w:t>Opis ogólny</w:t>
      </w:r>
      <w:r w:rsidR="00AF37F1" w:rsidRPr="007652E3">
        <w:rPr>
          <w:rFonts w:asciiTheme="minorHAnsi" w:hAnsiTheme="minorHAnsi" w:cstheme="minorHAnsi"/>
          <w:color w:val="auto"/>
          <w:sz w:val="24"/>
          <w:szCs w:val="24"/>
          <w:shd w:val="clear" w:color="auto" w:fill="FFFFFF"/>
        </w:rPr>
        <w:t>”</w:t>
      </w:r>
      <w:r w:rsidRPr="007652E3">
        <w:rPr>
          <w:rFonts w:asciiTheme="minorHAnsi" w:hAnsiTheme="minorHAnsi" w:cstheme="minorHAnsi"/>
          <w:color w:val="auto"/>
          <w:sz w:val="24"/>
          <w:szCs w:val="24"/>
          <w:shd w:val="clear" w:color="auto" w:fill="FFFFFF"/>
        </w:rPr>
        <w:t>, ulega zmianie zgodnie z opisem</w:t>
      </w:r>
      <w:r w:rsidR="00DB4A29" w:rsidRPr="007652E3">
        <w:rPr>
          <w:rFonts w:asciiTheme="minorHAnsi" w:hAnsiTheme="minorHAnsi" w:cstheme="minorHAnsi"/>
          <w:color w:val="auto"/>
          <w:sz w:val="24"/>
          <w:szCs w:val="24"/>
          <w:shd w:val="clear" w:color="auto" w:fill="FFFFFF"/>
        </w:rPr>
        <w:t xml:space="preserve"> r</w:t>
      </w:r>
      <w:r w:rsidRPr="007652E3">
        <w:rPr>
          <w:rFonts w:asciiTheme="minorHAnsi" w:hAnsiTheme="minorHAnsi" w:cstheme="minorHAnsi"/>
          <w:color w:val="auto"/>
          <w:sz w:val="24"/>
          <w:szCs w:val="24"/>
          <w:shd w:val="clear" w:color="auto" w:fill="FFFFFF"/>
        </w:rPr>
        <w:t>ozdziału 3.1 niniejszego opracowania</w:t>
      </w:r>
      <w:r w:rsidR="000B215C" w:rsidRPr="007652E3">
        <w:rPr>
          <w:rFonts w:asciiTheme="minorHAnsi" w:hAnsiTheme="minorHAnsi" w:cstheme="minorHAnsi"/>
          <w:color w:val="auto"/>
          <w:sz w:val="24"/>
          <w:szCs w:val="24"/>
          <w:shd w:val="clear" w:color="auto" w:fill="FFFFFF"/>
        </w:rPr>
        <w:t>;</w:t>
      </w:r>
    </w:p>
    <w:p w14:paraId="26F78A58" w14:textId="748602FE"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Opis technologiczny z rozdziału 6.3.2.4 Raportu „Technologia z zastosowaniem pieca</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obrotowego” ulega całkowitej zmianie zgodnie z opisem z rozdziału 3.3 niniejszego</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opracowania</w:t>
      </w:r>
      <w:r w:rsidR="000B215C" w:rsidRPr="007652E3">
        <w:rPr>
          <w:rFonts w:asciiTheme="minorHAnsi" w:hAnsiTheme="minorHAnsi" w:cstheme="minorHAnsi"/>
          <w:color w:val="auto"/>
          <w:sz w:val="24"/>
          <w:szCs w:val="24"/>
          <w:shd w:val="clear" w:color="auto" w:fill="FFFFFF"/>
        </w:rPr>
        <w:t>;</w:t>
      </w:r>
    </w:p>
    <w:p w14:paraId="22353FB0" w14:textId="7C69F44E"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Opis technologiczny z rozdziału 6.3.2.5 Raportu „Technologia z zastosowaniem pieca</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pochyłego” ulega całkowitej zmianie, według której, poddany analizie został całkowicie inny</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wariant, którego opis jest zgodny z opisem rozdziału 3.2 niniejszego opracowania</w:t>
      </w:r>
      <w:r w:rsidR="000B215C" w:rsidRPr="007652E3">
        <w:rPr>
          <w:rFonts w:asciiTheme="minorHAnsi" w:hAnsiTheme="minorHAnsi" w:cstheme="minorHAnsi"/>
          <w:color w:val="auto"/>
          <w:sz w:val="24"/>
          <w:szCs w:val="24"/>
          <w:shd w:val="clear" w:color="auto" w:fill="FFFFFF"/>
        </w:rPr>
        <w:t>;</w:t>
      </w:r>
    </w:p>
    <w:p w14:paraId="71AFDF65" w14:textId="0FF8B631"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Rozdział 6.3.2.9.1 Instalacja do redukcji tlenków azotu zostaje uzupełniony o możliwość</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zastosowania układu SCR lub SNCR+SCR</w:t>
      </w:r>
      <w:r w:rsidR="000B215C" w:rsidRPr="007652E3">
        <w:rPr>
          <w:rFonts w:asciiTheme="minorHAnsi" w:hAnsiTheme="minorHAnsi" w:cstheme="minorHAnsi"/>
          <w:color w:val="auto"/>
          <w:sz w:val="24"/>
          <w:szCs w:val="24"/>
          <w:shd w:val="clear" w:color="auto" w:fill="FFFFFF"/>
        </w:rPr>
        <w:t>;</w:t>
      </w:r>
    </w:p>
    <w:p w14:paraId="5C834AF9" w14:textId="4A3065B1"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lastRenderedPageBreak/>
        <w:t>Zmienia się także miejsce odprowadzania wód opadowych i roztopowych, zamiast do</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kanalizacji ogólnospławnej, wody te trafiać będą do pobliskiego rowu, po uzyskaniu</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pozwolenia wodnoprawnego (zgodnie z odpowiedziami do Urzędu Marszałkowskiego z dnia</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23.11.2017 r.)</w:t>
      </w:r>
      <w:r w:rsidR="000B215C" w:rsidRPr="007652E3">
        <w:rPr>
          <w:rFonts w:asciiTheme="minorHAnsi" w:hAnsiTheme="minorHAnsi" w:cstheme="minorHAnsi"/>
          <w:color w:val="auto"/>
          <w:sz w:val="24"/>
          <w:szCs w:val="24"/>
          <w:shd w:val="clear" w:color="auto" w:fill="FFFFFF"/>
        </w:rPr>
        <w:t>;</w:t>
      </w:r>
    </w:p>
    <w:p w14:paraId="3827500C" w14:textId="530E3366"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 xml:space="preserve">Treść streszczenia będącego Załącznikiem nr 7 do </w:t>
      </w:r>
      <w:r w:rsidR="00AF37F1" w:rsidRPr="007652E3">
        <w:rPr>
          <w:rFonts w:asciiTheme="minorHAnsi" w:hAnsiTheme="minorHAnsi" w:cstheme="minorHAnsi"/>
          <w:color w:val="auto"/>
          <w:sz w:val="24"/>
          <w:szCs w:val="24"/>
          <w:shd w:val="clear" w:color="auto" w:fill="FFFFFF"/>
        </w:rPr>
        <w:t>r</w:t>
      </w:r>
      <w:r w:rsidRPr="007652E3">
        <w:rPr>
          <w:rFonts w:asciiTheme="minorHAnsi" w:hAnsiTheme="minorHAnsi" w:cstheme="minorHAnsi"/>
          <w:color w:val="auto"/>
          <w:sz w:val="24"/>
          <w:szCs w:val="24"/>
          <w:shd w:val="clear" w:color="auto" w:fill="FFFFFF"/>
        </w:rPr>
        <w:t>aportu, zostaje zaktualizowana zgodnie</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z zapisami rozdziału 10 niniejszego opracowania</w:t>
      </w:r>
      <w:r w:rsidR="000B215C" w:rsidRPr="007652E3">
        <w:rPr>
          <w:rFonts w:asciiTheme="minorHAnsi" w:hAnsiTheme="minorHAnsi" w:cstheme="minorHAnsi"/>
          <w:color w:val="auto"/>
          <w:sz w:val="24"/>
          <w:szCs w:val="24"/>
          <w:shd w:val="clear" w:color="auto" w:fill="FFFFFF"/>
        </w:rPr>
        <w:t>;</w:t>
      </w:r>
    </w:p>
    <w:p w14:paraId="65695D32" w14:textId="3427B89F"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Zmienione także zostały załączniki związane z obliczeniami emisji zanieczyszczeń do</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powietrza oraz emisji hałasu</w:t>
      </w:r>
      <w:r w:rsidR="000B215C" w:rsidRPr="007652E3">
        <w:rPr>
          <w:rFonts w:asciiTheme="minorHAnsi" w:hAnsiTheme="minorHAnsi" w:cstheme="minorHAnsi"/>
          <w:color w:val="auto"/>
          <w:sz w:val="24"/>
          <w:szCs w:val="24"/>
          <w:shd w:val="clear" w:color="auto" w:fill="FFFFFF"/>
        </w:rPr>
        <w:t>;</w:t>
      </w:r>
    </w:p>
    <w:p w14:paraId="055F2A16" w14:textId="59E7126A" w:rsidR="00A97BB3" w:rsidRPr="007652E3" w:rsidRDefault="00A97BB3" w:rsidP="00CB0854">
      <w:pPr>
        <w:pStyle w:val="Normalny1"/>
        <w:numPr>
          <w:ilvl w:val="0"/>
          <w:numId w:val="58"/>
        </w:numPr>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Zostały także dodane brakujące rozdziały, które są wymagane zgodnie z ustawą</w:t>
      </w:r>
      <w:r w:rsidR="00DB4A29" w:rsidRPr="007652E3">
        <w:rPr>
          <w:rFonts w:asciiTheme="minorHAnsi" w:hAnsiTheme="minorHAnsi" w:cstheme="minorHAnsi"/>
          <w:color w:val="auto"/>
          <w:sz w:val="24"/>
          <w:szCs w:val="24"/>
          <w:shd w:val="clear" w:color="auto" w:fill="FFFFFF"/>
        </w:rPr>
        <w:t xml:space="preserve"> ooś</w:t>
      </w:r>
      <w:r w:rsidR="00AF37F1" w:rsidRPr="007652E3">
        <w:rPr>
          <w:rFonts w:asciiTheme="minorHAnsi" w:hAnsiTheme="minorHAnsi" w:cstheme="minorHAnsi"/>
          <w:color w:val="auto"/>
          <w:sz w:val="24"/>
          <w:szCs w:val="24"/>
          <w:shd w:val="clear" w:color="auto" w:fill="FFFFFF"/>
        </w:rPr>
        <w:t>,</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tj. Rozdział 7 niniejszego opracowania</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„Porównanie oddziaływań analizowanych wariantów” oraz Rozdział 8 „Uzasadnienie</w:t>
      </w:r>
      <w:r w:rsidR="00DB4A29" w:rsidRPr="007652E3">
        <w:rPr>
          <w:rFonts w:asciiTheme="minorHAnsi" w:hAnsiTheme="minorHAnsi" w:cstheme="minorHAnsi"/>
          <w:color w:val="auto"/>
          <w:sz w:val="24"/>
          <w:szCs w:val="24"/>
          <w:shd w:val="clear" w:color="auto" w:fill="FFFFFF"/>
        </w:rPr>
        <w:t xml:space="preserve"> </w:t>
      </w:r>
      <w:r w:rsidRPr="007652E3">
        <w:rPr>
          <w:rFonts w:asciiTheme="minorHAnsi" w:hAnsiTheme="minorHAnsi" w:cstheme="minorHAnsi"/>
          <w:color w:val="auto"/>
          <w:sz w:val="24"/>
          <w:szCs w:val="24"/>
          <w:shd w:val="clear" w:color="auto" w:fill="FFFFFF"/>
        </w:rPr>
        <w:t>proponowanego przez wnioskodawcę wariantu”</w:t>
      </w:r>
      <w:r w:rsidR="000B215C" w:rsidRPr="007652E3">
        <w:rPr>
          <w:rFonts w:asciiTheme="minorHAnsi" w:hAnsiTheme="minorHAnsi" w:cstheme="minorHAnsi"/>
          <w:color w:val="auto"/>
          <w:sz w:val="24"/>
          <w:szCs w:val="24"/>
          <w:shd w:val="clear" w:color="auto" w:fill="FFFFFF"/>
        </w:rPr>
        <w:t>.</w:t>
      </w:r>
    </w:p>
    <w:p w14:paraId="1F1AEEEC" w14:textId="27D9955C" w:rsidR="00A97BB3" w:rsidRPr="007652E3" w:rsidRDefault="00AF37F1" w:rsidP="007652E3">
      <w:pPr>
        <w:pStyle w:val="Normalny1"/>
        <w:pBdr>
          <w:top w:val="nil"/>
          <w:left w:val="nil"/>
          <w:bottom w:val="nil"/>
          <w:right w:val="nil"/>
          <w:between w:val="nil"/>
        </w:pBdr>
        <w:spacing w:line="312" w:lineRule="auto"/>
        <w:rPr>
          <w:rFonts w:asciiTheme="minorHAnsi" w:hAnsiTheme="minorHAnsi" w:cstheme="minorHAnsi"/>
          <w:color w:val="auto"/>
          <w:sz w:val="24"/>
          <w:szCs w:val="24"/>
          <w:shd w:val="clear" w:color="auto" w:fill="FFFFFF"/>
        </w:rPr>
      </w:pPr>
      <w:r w:rsidRPr="007652E3">
        <w:rPr>
          <w:rFonts w:asciiTheme="minorHAnsi" w:hAnsiTheme="minorHAnsi" w:cstheme="minorHAnsi"/>
          <w:color w:val="auto"/>
          <w:sz w:val="24"/>
          <w:szCs w:val="24"/>
          <w:shd w:val="clear" w:color="auto" w:fill="FFFFFF"/>
        </w:rPr>
        <w:t xml:space="preserve">Z powyższego wynika, że w treści raportu doszło do znaczących zmian, co może mieć wpływ istotny na rozstrzygnięcie sprawy. </w:t>
      </w:r>
      <w:r w:rsidR="00AB00F8" w:rsidRPr="007652E3">
        <w:rPr>
          <w:rFonts w:asciiTheme="minorHAnsi" w:hAnsiTheme="minorHAnsi" w:cstheme="minorHAnsi"/>
          <w:color w:val="auto"/>
          <w:sz w:val="24"/>
          <w:szCs w:val="24"/>
          <w:shd w:val="clear" w:color="auto" w:fill="FFFFFF"/>
        </w:rPr>
        <w:t xml:space="preserve">Mając powyższe na uwadze organ </w:t>
      </w:r>
      <w:r w:rsidRPr="007652E3">
        <w:rPr>
          <w:rFonts w:asciiTheme="minorHAnsi" w:hAnsiTheme="minorHAnsi" w:cstheme="minorHAnsi"/>
          <w:color w:val="auto"/>
          <w:sz w:val="24"/>
          <w:szCs w:val="24"/>
          <w:shd w:val="clear" w:color="auto" w:fill="FFFFFF"/>
        </w:rPr>
        <w:t>pierwszej</w:t>
      </w:r>
      <w:r w:rsidR="00AB00F8" w:rsidRPr="007652E3">
        <w:rPr>
          <w:rFonts w:asciiTheme="minorHAnsi" w:hAnsiTheme="minorHAnsi" w:cstheme="minorHAnsi"/>
          <w:color w:val="auto"/>
          <w:sz w:val="24"/>
          <w:szCs w:val="24"/>
          <w:shd w:val="clear" w:color="auto" w:fill="FFFFFF"/>
        </w:rPr>
        <w:t xml:space="preserve"> instancji podczas ponownego rozpatrzenia sprawy przeanalizuje ww. zmiany wskazane przez inwestora w przedłożonym uzupełnieniu do raportu z kwietnia 2022 r.</w:t>
      </w:r>
    </w:p>
    <w:p w14:paraId="4B77FB29" w14:textId="7A918C46" w:rsidR="00961032" w:rsidRPr="007652E3" w:rsidRDefault="001C50F3" w:rsidP="007652E3">
      <w:pPr>
        <w:spacing w:line="312" w:lineRule="auto"/>
        <w:rPr>
          <w:rFonts w:asciiTheme="minorHAnsi" w:hAnsiTheme="minorHAnsi" w:cstheme="minorHAnsi"/>
        </w:rPr>
      </w:pPr>
      <w:r w:rsidRPr="007652E3">
        <w:rPr>
          <w:rFonts w:asciiTheme="minorHAnsi" w:hAnsiTheme="minorHAnsi" w:cstheme="minorHAnsi"/>
        </w:rPr>
        <w:t>GDOŚ wskazuje, że</w:t>
      </w:r>
      <w:r w:rsidR="008A5A2D" w:rsidRPr="007652E3">
        <w:rPr>
          <w:rFonts w:asciiTheme="minorHAnsi" w:hAnsiTheme="minorHAnsi" w:cstheme="minorHAnsi"/>
        </w:rPr>
        <w:t xml:space="preserve"> w świetle faktu uzupełnienia na etapie powtórnego postępowania odwoławczego dokumentacji sprawy, w tym raportu</w:t>
      </w:r>
      <w:r w:rsidR="00FA5054" w:rsidRPr="007652E3">
        <w:rPr>
          <w:rFonts w:asciiTheme="minorHAnsi" w:hAnsiTheme="minorHAnsi" w:cstheme="minorHAnsi"/>
        </w:rPr>
        <w:t xml:space="preserve"> o</w:t>
      </w:r>
      <w:r w:rsidR="008A5A2D" w:rsidRPr="007652E3">
        <w:rPr>
          <w:rFonts w:asciiTheme="minorHAnsi" w:hAnsiTheme="minorHAnsi" w:cstheme="minorHAnsi"/>
        </w:rPr>
        <w:t xml:space="preserve"> odziaływani</w:t>
      </w:r>
      <w:r w:rsidR="00FA5054" w:rsidRPr="007652E3">
        <w:rPr>
          <w:rFonts w:asciiTheme="minorHAnsi" w:hAnsiTheme="minorHAnsi" w:cstheme="minorHAnsi"/>
        </w:rPr>
        <w:t>u przedsięwzięcia</w:t>
      </w:r>
      <w:r w:rsidR="008A5A2D" w:rsidRPr="007652E3">
        <w:rPr>
          <w:rFonts w:asciiTheme="minorHAnsi" w:hAnsiTheme="minorHAnsi" w:cstheme="minorHAnsi"/>
        </w:rPr>
        <w:t xml:space="preserve"> na środowisko</w:t>
      </w:r>
      <w:r w:rsidR="00D302DE" w:rsidRPr="007652E3">
        <w:rPr>
          <w:rFonts w:asciiTheme="minorHAnsi" w:hAnsiTheme="minorHAnsi" w:cstheme="minorHAnsi"/>
        </w:rPr>
        <w:t xml:space="preserve"> oraz rozszerzenia </w:t>
      </w:r>
      <w:r w:rsidR="000D1BCC" w:rsidRPr="007652E3">
        <w:rPr>
          <w:rFonts w:asciiTheme="minorHAnsi" w:hAnsiTheme="minorHAnsi" w:cstheme="minorHAnsi"/>
        </w:rPr>
        <w:t>raportu o opis</w:t>
      </w:r>
      <w:r w:rsidR="00D302DE" w:rsidRPr="007652E3">
        <w:rPr>
          <w:rFonts w:asciiTheme="minorHAnsi" w:hAnsiTheme="minorHAnsi" w:cstheme="minorHAnsi"/>
        </w:rPr>
        <w:t xml:space="preserve"> </w:t>
      </w:r>
      <w:r w:rsidR="000D1BCC" w:rsidRPr="007652E3">
        <w:rPr>
          <w:rFonts w:asciiTheme="minorHAnsi" w:hAnsiTheme="minorHAnsi" w:cstheme="minorHAnsi"/>
        </w:rPr>
        <w:t xml:space="preserve">analizowanych </w:t>
      </w:r>
      <w:r w:rsidR="00D302DE" w:rsidRPr="007652E3">
        <w:rPr>
          <w:rFonts w:asciiTheme="minorHAnsi" w:hAnsiTheme="minorHAnsi" w:cstheme="minorHAnsi"/>
        </w:rPr>
        <w:t>wariantów</w:t>
      </w:r>
      <w:r w:rsidR="008A5A2D" w:rsidRPr="007652E3">
        <w:rPr>
          <w:rFonts w:asciiTheme="minorHAnsi" w:hAnsiTheme="minorHAnsi" w:cstheme="minorHAnsi"/>
        </w:rPr>
        <w:t xml:space="preserve">, </w:t>
      </w:r>
      <w:r w:rsidR="000D1BCC" w:rsidRPr="007652E3">
        <w:rPr>
          <w:rFonts w:asciiTheme="minorHAnsi" w:hAnsiTheme="minorHAnsi" w:cstheme="minorHAnsi"/>
        </w:rPr>
        <w:t xml:space="preserve">w tym wariantu proponowanego przez wnioskodawcę, racjonalnych wariantów alternatywnych oraz wariantu najkorzystniejszego dla środowiska, </w:t>
      </w:r>
      <w:r w:rsidR="008A5A2D" w:rsidRPr="007652E3">
        <w:rPr>
          <w:rFonts w:asciiTheme="minorHAnsi" w:hAnsiTheme="minorHAnsi" w:cstheme="minorHAnsi"/>
        </w:rPr>
        <w:t>o</w:t>
      </w:r>
      <w:r w:rsidR="004D4096" w:rsidRPr="007652E3">
        <w:rPr>
          <w:rFonts w:asciiTheme="minorHAnsi" w:hAnsiTheme="minorHAnsi" w:cstheme="minorHAnsi"/>
        </w:rPr>
        <w:t xml:space="preserve">rgan </w:t>
      </w:r>
      <w:r w:rsidR="00FA5054" w:rsidRPr="007652E3">
        <w:rPr>
          <w:rFonts w:asciiTheme="minorHAnsi" w:hAnsiTheme="minorHAnsi" w:cstheme="minorHAnsi"/>
        </w:rPr>
        <w:t>pierwszej</w:t>
      </w:r>
      <w:r w:rsidR="004D4096" w:rsidRPr="007652E3">
        <w:rPr>
          <w:rFonts w:asciiTheme="minorHAnsi" w:hAnsiTheme="minorHAnsi" w:cstheme="minorHAnsi"/>
        </w:rPr>
        <w:t xml:space="preserve"> instancji ponownie wystąpi do organów uzgadniających i </w:t>
      </w:r>
      <w:r w:rsidR="000D79AE" w:rsidRPr="007652E3">
        <w:rPr>
          <w:rFonts w:asciiTheme="minorHAnsi" w:hAnsiTheme="minorHAnsi" w:cstheme="minorHAnsi"/>
        </w:rPr>
        <w:t>opiniujących</w:t>
      </w:r>
      <w:r w:rsidR="004D4096" w:rsidRPr="007652E3">
        <w:rPr>
          <w:rFonts w:asciiTheme="minorHAnsi" w:hAnsiTheme="minorHAnsi" w:cstheme="minorHAnsi"/>
        </w:rPr>
        <w:t xml:space="preserve">, o których mowa w art. 77 </w:t>
      </w:r>
      <w:r w:rsidR="004D4096" w:rsidRPr="007652E3">
        <w:rPr>
          <w:rFonts w:asciiTheme="minorHAnsi" w:hAnsiTheme="minorHAnsi" w:cstheme="minorHAnsi"/>
        </w:rPr>
        <w:lastRenderedPageBreak/>
        <w:t>ust. 1 ustawy ooś, o uzgodnienie bądź wyrażenie opinii dotyczącej planowanego przedsięwzięcia</w:t>
      </w:r>
      <w:r w:rsidR="008A5A2D" w:rsidRPr="007652E3">
        <w:rPr>
          <w:rFonts w:asciiTheme="minorHAnsi" w:hAnsiTheme="minorHAnsi" w:cstheme="minorHAnsi"/>
        </w:rPr>
        <w:t>.</w:t>
      </w:r>
    </w:p>
    <w:p w14:paraId="2F3D1F59" w14:textId="70901E36" w:rsidR="004C2AE6" w:rsidRPr="007652E3" w:rsidRDefault="00E31C34" w:rsidP="007652E3">
      <w:pPr>
        <w:spacing w:line="312" w:lineRule="auto"/>
        <w:rPr>
          <w:rFonts w:asciiTheme="minorHAnsi" w:hAnsiTheme="minorHAnsi" w:cstheme="minorHAnsi"/>
        </w:rPr>
      </w:pPr>
      <w:r w:rsidRPr="007652E3">
        <w:rPr>
          <w:rFonts w:asciiTheme="minorHAnsi" w:hAnsiTheme="minorHAnsi" w:cstheme="minorHAnsi"/>
        </w:rPr>
        <w:t>M</w:t>
      </w:r>
      <w:r w:rsidR="001C50F3" w:rsidRPr="007652E3">
        <w:rPr>
          <w:rFonts w:asciiTheme="minorHAnsi" w:hAnsiTheme="minorHAnsi" w:cstheme="minorHAnsi"/>
        </w:rPr>
        <w:t xml:space="preserve">ając powyższe na uwadze, zasadnym jest zarzut </w:t>
      </w:r>
      <w:r w:rsidR="004C4E85" w:rsidRPr="007652E3">
        <w:rPr>
          <w:rFonts w:asciiTheme="minorHAnsi" w:hAnsiTheme="minorHAnsi" w:cstheme="minorHAnsi"/>
        </w:rPr>
        <w:t>podniesion</w:t>
      </w:r>
      <w:r w:rsidR="001C50F3" w:rsidRPr="007652E3">
        <w:rPr>
          <w:rFonts w:asciiTheme="minorHAnsi" w:hAnsiTheme="minorHAnsi" w:cstheme="minorHAnsi"/>
        </w:rPr>
        <w:t>y</w:t>
      </w:r>
      <w:r w:rsidR="004C4E85" w:rsidRPr="007652E3">
        <w:rPr>
          <w:rFonts w:asciiTheme="minorHAnsi" w:hAnsiTheme="minorHAnsi" w:cstheme="minorHAnsi"/>
        </w:rPr>
        <w:t xml:space="preserve"> w odwołaniu z dnia 3 lipca 2018 r., dotycząc</w:t>
      </w:r>
      <w:r w:rsidR="001C50F3" w:rsidRPr="007652E3">
        <w:rPr>
          <w:rFonts w:asciiTheme="minorHAnsi" w:hAnsiTheme="minorHAnsi" w:cstheme="minorHAnsi"/>
        </w:rPr>
        <w:t>y</w:t>
      </w:r>
      <w:r w:rsidR="004C4E85" w:rsidRPr="007652E3">
        <w:rPr>
          <w:rFonts w:asciiTheme="minorHAnsi" w:hAnsiTheme="minorHAnsi" w:cstheme="minorHAnsi"/>
        </w:rPr>
        <w:t xml:space="preserve"> wadliwie przeprowadzonej analizy wariantowej </w:t>
      </w:r>
      <w:r w:rsidR="00FA5054" w:rsidRPr="007652E3">
        <w:rPr>
          <w:rFonts w:asciiTheme="minorHAnsi" w:hAnsiTheme="minorHAnsi" w:cstheme="minorHAnsi"/>
        </w:rPr>
        <w:t>oraz</w:t>
      </w:r>
      <w:r w:rsidR="004C4E85" w:rsidRPr="007652E3">
        <w:rPr>
          <w:rFonts w:asciiTheme="minorHAnsi" w:hAnsiTheme="minorHAnsi" w:cstheme="minorHAnsi"/>
        </w:rPr>
        <w:t xml:space="preserve"> oceny oddziaływania </w:t>
      </w:r>
      <w:r w:rsidR="00FA5054" w:rsidRPr="007652E3">
        <w:rPr>
          <w:rFonts w:asciiTheme="minorHAnsi" w:hAnsiTheme="minorHAnsi" w:cstheme="minorHAnsi"/>
        </w:rPr>
        <w:t xml:space="preserve">przedsięwzięcia </w:t>
      </w:r>
      <w:r w:rsidR="004C4E85" w:rsidRPr="007652E3">
        <w:rPr>
          <w:rFonts w:asciiTheme="minorHAnsi" w:hAnsiTheme="minorHAnsi" w:cstheme="minorHAnsi"/>
        </w:rPr>
        <w:t>na środowisko. Rozpatrując niniejszą sprawę oraz uwzględniając wyrok WSA w Warszawie z dnia 3 października 2019 r. organ odwoławczy po ponownym przeanalizowaniu dokumentacji podziela argumentację skarżących w tym zakresie</w:t>
      </w:r>
      <w:r w:rsidR="00FA5054" w:rsidRPr="007652E3">
        <w:rPr>
          <w:rFonts w:asciiTheme="minorHAnsi" w:hAnsiTheme="minorHAnsi" w:cstheme="minorHAnsi"/>
        </w:rPr>
        <w:t>,</w:t>
      </w:r>
      <w:r w:rsidR="004C4E85" w:rsidRPr="007652E3">
        <w:rPr>
          <w:rFonts w:asciiTheme="minorHAnsi" w:hAnsiTheme="minorHAnsi" w:cstheme="minorHAnsi"/>
        </w:rPr>
        <w:t xml:space="preserve"> wskazując, że wadliwość ta, w okolicznościach przedmiotowej sprawy, zobowiązując</w:t>
      </w:r>
      <w:r w:rsidR="00FA5054" w:rsidRPr="007652E3">
        <w:rPr>
          <w:rFonts w:asciiTheme="minorHAnsi" w:hAnsiTheme="minorHAnsi" w:cstheme="minorHAnsi"/>
        </w:rPr>
        <w:t>e</w:t>
      </w:r>
      <w:r w:rsidR="004C4E85" w:rsidRPr="007652E3">
        <w:rPr>
          <w:rFonts w:asciiTheme="minorHAnsi" w:hAnsiTheme="minorHAnsi" w:cstheme="minorHAnsi"/>
        </w:rPr>
        <w:t xml:space="preserve"> </w:t>
      </w:r>
      <w:r w:rsidR="00FA5054" w:rsidRPr="007652E3">
        <w:rPr>
          <w:rFonts w:asciiTheme="minorHAnsi" w:hAnsiTheme="minorHAnsi" w:cstheme="minorHAnsi"/>
        </w:rPr>
        <w:t xml:space="preserve">GDOŚ </w:t>
      </w:r>
      <w:r w:rsidR="004C4E85" w:rsidRPr="007652E3">
        <w:rPr>
          <w:rFonts w:asciiTheme="minorHAnsi" w:hAnsiTheme="minorHAnsi" w:cstheme="minorHAnsi"/>
        </w:rPr>
        <w:t>do wydania decyzji kasatoryjnej.</w:t>
      </w:r>
    </w:p>
    <w:p w14:paraId="791213BC" w14:textId="1BACEEE6" w:rsidR="00961032" w:rsidRPr="007652E3" w:rsidRDefault="00A31ABE" w:rsidP="007652E3">
      <w:pPr>
        <w:spacing w:line="312" w:lineRule="auto"/>
        <w:rPr>
          <w:rFonts w:asciiTheme="minorHAnsi" w:hAnsiTheme="minorHAnsi" w:cstheme="minorHAnsi"/>
        </w:rPr>
      </w:pPr>
      <w:r w:rsidRPr="007652E3">
        <w:rPr>
          <w:rFonts w:asciiTheme="minorHAnsi" w:hAnsiTheme="minorHAnsi" w:cstheme="minorHAnsi"/>
        </w:rPr>
        <w:t xml:space="preserve">W trakcie postępowania odwoławczego, przed wydaniem decyzji rozstrzygającej sprawę, GDOŚ, mając na względzie obowiązki wynikające z zasady czynnego udziału stron w postępowaniu (art. 10 § 1 </w:t>
      </w:r>
      <w:r w:rsidR="00C425DD" w:rsidRPr="007652E3">
        <w:rPr>
          <w:rFonts w:asciiTheme="minorHAnsi" w:hAnsiTheme="minorHAnsi" w:cstheme="minorHAnsi"/>
        </w:rPr>
        <w:t>k</w:t>
      </w:r>
      <w:r w:rsidRPr="007652E3">
        <w:rPr>
          <w:rFonts w:asciiTheme="minorHAnsi" w:hAnsiTheme="minorHAnsi" w:cstheme="minorHAnsi"/>
        </w:rPr>
        <w:t>pa), zawiadomieniami z dnia 2 sierpnia 2022 r., znak: DOOŚ- WDŚ/ZOO.420.117.2018.MW.16, oraz z dnia 28 października 2022 r.</w:t>
      </w:r>
      <w:r w:rsidR="0015594D" w:rsidRPr="007652E3">
        <w:rPr>
          <w:rFonts w:asciiTheme="minorHAnsi" w:hAnsiTheme="minorHAnsi" w:cstheme="minorHAnsi"/>
        </w:rPr>
        <w:t>,</w:t>
      </w:r>
      <w:r w:rsidRPr="007652E3">
        <w:rPr>
          <w:rFonts w:asciiTheme="minorHAnsi" w:hAnsiTheme="minorHAnsi" w:cstheme="minorHAnsi"/>
        </w:rPr>
        <w:t xml:space="preserve"> znak: DOOŚ-WDŚ/ZOO.420.117.2018.MW.US.19, poinformował strony o możliwości zapoznania z materiałem dowodowym oraz wypowiedzenia się co do jego treści. </w:t>
      </w:r>
    </w:p>
    <w:p w14:paraId="7E98C819" w14:textId="44AFDFF9" w:rsidR="00F12181" w:rsidRPr="007652E3" w:rsidRDefault="00FE33D8" w:rsidP="007652E3">
      <w:pPr>
        <w:pStyle w:val="Normalny1"/>
        <w:pBdr>
          <w:top w:val="nil"/>
          <w:left w:val="nil"/>
          <w:bottom w:val="nil"/>
          <w:right w:val="nil"/>
          <w:between w:val="nil"/>
        </w:pBdr>
        <w:spacing w:line="312" w:lineRule="auto"/>
        <w:rPr>
          <w:rFonts w:asciiTheme="minorHAnsi" w:hAnsiTheme="minorHAnsi" w:cstheme="minorHAnsi"/>
          <w:sz w:val="24"/>
          <w:szCs w:val="24"/>
        </w:rPr>
      </w:pPr>
      <w:r w:rsidRPr="007652E3">
        <w:rPr>
          <w:rFonts w:asciiTheme="minorHAnsi" w:hAnsiTheme="minorHAnsi" w:cstheme="minorHAnsi"/>
          <w:color w:val="auto"/>
          <w:sz w:val="24"/>
          <w:szCs w:val="24"/>
        </w:rPr>
        <w:t xml:space="preserve">W toku postępowania odwoławczego </w:t>
      </w:r>
      <w:r w:rsidR="005E5116" w:rsidRPr="007652E3">
        <w:rPr>
          <w:rFonts w:asciiTheme="minorHAnsi" w:hAnsiTheme="minorHAnsi" w:cstheme="minorHAnsi"/>
          <w:color w:val="auto"/>
          <w:sz w:val="24"/>
          <w:szCs w:val="24"/>
        </w:rPr>
        <w:t xml:space="preserve">wpłynęło </w:t>
      </w:r>
      <w:r w:rsidR="0015594D" w:rsidRPr="007652E3">
        <w:rPr>
          <w:rFonts w:asciiTheme="minorHAnsi" w:hAnsiTheme="minorHAnsi" w:cstheme="minorHAnsi"/>
          <w:color w:val="auto"/>
          <w:sz w:val="24"/>
          <w:szCs w:val="24"/>
        </w:rPr>
        <w:t xml:space="preserve">pismo </w:t>
      </w:r>
      <w:r w:rsidRPr="007652E3">
        <w:rPr>
          <w:rFonts w:asciiTheme="minorHAnsi" w:hAnsiTheme="minorHAnsi" w:cstheme="minorHAnsi"/>
          <w:color w:val="auto"/>
          <w:sz w:val="24"/>
          <w:szCs w:val="24"/>
        </w:rPr>
        <w:t xml:space="preserve">Towarzystwa na rzecz Ziemi </w:t>
      </w:r>
      <w:bookmarkEnd w:id="4"/>
      <w:r w:rsidRPr="007652E3">
        <w:rPr>
          <w:rFonts w:asciiTheme="minorHAnsi" w:hAnsiTheme="minorHAnsi" w:cstheme="minorHAnsi"/>
          <w:sz w:val="24"/>
          <w:szCs w:val="24"/>
        </w:rPr>
        <w:t>z dnia 7 października 2022 r.</w:t>
      </w:r>
      <w:r w:rsidR="0015594D" w:rsidRPr="007652E3">
        <w:rPr>
          <w:rFonts w:asciiTheme="minorHAnsi" w:hAnsiTheme="minorHAnsi" w:cstheme="minorHAnsi"/>
          <w:sz w:val="24"/>
          <w:szCs w:val="24"/>
        </w:rPr>
        <w:t>, w którym</w:t>
      </w:r>
      <w:r w:rsidRPr="007652E3">
        <w:rPr>
          <w:rFonts w:asciiTheme="minorHAnsi" w:hAnsiTheme="minorHAnsi" w:cstheme="minorHAnsi"/>
          <w:sz w:val="24"/>
          <w:szCs w:val="24"/>
        </w:rPr>
        <w:t xml:space="preserve"> </w:t>
      </w:r>
      <w:r w:rsidR="005E5116" w:rsidRPr="007652E3">
        <w:rPr>
          <w:rFonts w:asciiTheme="minorHAnsi" w:hAnsiTheme="minorHAnsi" w:cstheme="minorHAnsi"/>
          <w:sz w:val="24"/>
          <w:szCs w:val="24"/>
        </w:rPr>
        <w:t xml:space="preserve">wyraziło stanowisko o konieczności </w:t>
      </w:r>
      <w:r w:rsidRPr="007652E3">
        <w:rPr>
          <w:rFonts w:asciiTheme="minorHAnsi" w:hAnsiTheme="minorHAnsi" w:cstheme="minorHAnsi"/>
          <w:sz w:val="24"/>
          <w:szCs w:val="24"/>
        </w:rPr>
        <w:t>uzupełnieni</w:t>
      </w:r>
      <w:r w:rsidR="00AF55C4" w:rsidRPr="007652E3">
        <w:rPr>
          <w:rFonts w:asciiTheme="minorHAnsi" w:hAnsiTheme="minorHAnsi" w:cstheme="minorHAnsi"/>
          <w:sz w:val="24"/>
          <w:szCs w:val="24"/>
        </w:rPr>
        <w:t>a</w:t>
      </w:r>
      <w:r w:rsidRPr="007652E3">
        <w:rPr>
          <w:rFonts w:asciiTheme="minorHAnsi" w:hAnsiTheme="minorHAnsi" w:cstheme="minorHAnsi"/>
          <w:sz w:val="24"/>
          <w:szCs w:val="24"/>
        </w:rPr>
        <w:t xml:space="preserve"> raportu w zakresie: </w:t>
      </w:r>
      <w:r w:rsidR="00C5153A" w:rsidRPr="007652E3">
        <w:rPr>
          <w:rFonts w:asciiTheme="minorHAnsi" w:hAnsiTheme="minorHAnsi" w:cstheme="minorHAnsi"/>
          <w:sz w:val="24"/>
          <w:szCs w:val="24"/>
        </w:rPr>
        <w:t>e</w:t>
      </w:r>
      <w:r w:rsidRPr="007652E3">
        <w:rPr>
          <w:rFonts w:asciiTheme="minorHAnsi" w:hAnsiTheme="minorHAnsi" w:cstheme="minorHAnsi"/>
          <w:sz w:val="24"/>
          <w:szCs w:val="24"/>
        </w:rPr>
        <w:t>misji wodoru i ich potencjalnego wpływu na środowisko, w szczególności klimat</w:t>
      </w:r>
      <w:r w:rsidR="0015594D" w:rsidRPr="007652E3">
        <w:rPr>
          <w:rFonts w:asciiTheme="minorHAnsi" w:hAnsiTheme="minorHAnsi" w:cstheme="minorHAnsi"/>
          <w:sz w:val="24"/>
          <w:szCs w:val="24"/>
        </w:rPr>
        <w:t xml:space="preserve"> oraz </w:t>
      </w:r>
      <w:r w:rsidR="00C5153A" w:rsidRPr="007652E3">
        <w:rPr>
          <w:rFonts w:asciiTheme="minorHAnsi" w:hAnsiTheme="minorHAnsi" w:cstheme="minorHAnsi"/>
          <w:sz w:val="24"/>
          <w:szCs w:val="24"/>
        </w:rPr>
        <w:t>m</w:t>
      </w:r>
      <w:r w:rsidRPr="007652E3">
        <w:rPr>
          <w:rFonts w:asciiTheme="minorHAnsi" w:hAnsiTheme="minorHAnsi" w:cstheme="minorHAnsi"/>
          <w:sz w:val="24"/>
          <w:szCs w:val="24"/>
        </w:rPr>
        <w:t xml:space="preserve">ożliwości wyeliminowania ww. zagrożenia poprzez wyposażenie spalarni w węzeł do produkcji wodoru (w technologii H2ash lub alternatywnej). </w:t>
      </w:r>
      <w:r w:rsidR="00D91BC5" w:rsidRPr="007652E3">
        <w:rPr>
          <w:rFonts w:asciiTheme="minorHAnsi" w:hAnsiTheme="minorHAnsi" w:cstheme="minorHAnsi"/>
          <w:color w:val="auto"/>
          <w:sz w:val="24"/>
          <w:szCs w:val="24"/>
        </w:rPr>
        <w:t xml:space="preserve">Przy ponownym rozpatrywaniu sprawy RDOŚ w Krakowie </w:t>
      </w:r>
      <w:r w:rsidR="0011733B" w:rsidRPr="007652E3">
        <w:rPr>
          <w:rFonts w:asciiTheme="minorHAnsi" w:hAnsiTheme="minorHAnsi" w:cstheme="minorHAnsi"/>
          <w:color w:val="auto"/>
          <w:sz w:val="24"/>
          <w:szCs w:val="24"/>
        </w:rPr>
        <w:t>odniesie się do powyższej kwestii</w:t>
      </w:r>
      <w:r w:rsidR="00F13BE9" w:rsidRPr="007652E3">
        <w:rPr>
          <w:rFonts w:asciiTheme="minorHAnsi" w:hAnsiTheme="minorHAnsi" w:cstheme="minorHAnsi"/>
          <w:color w:val="auto"/>
          <w:sz w:val="24"/>
          <w:szCs w:val="24"/>
        </w:rPr>
        <w:t xml:space="preserve">. </w:t>
      </w:r>
    </w:p>
    <w:p w14:paraId="2448112B" w14:textId="77777777" w:rsidR="007652E3" w:rsidRPr="007652E3" w:rsidRDefault="0096068D" w:rsidP="007652E3">
      <w:pPr>
        <w:spacing w:line="312" w:lineRule="auto"/>
        <w:rPr>
          <w:rFonts w:asciiTheme="minorHAnsi" w:hAnsiTheme="minorHAnsi" w:cstheme="minorHAnsi"/>
          <w:color w:val="333333"/>
          <w:shd w:val="clear" w:color="auto" w:fill="FFFFFF"/>
        </w:rPr>
      </w:pPr>
      <w:r w:rsidRPr="007652E3">
        <w:rPr>
          <w:rFonts w:asciiTheme="minorHAnsi" w:hAnsiTheme="minorHAnsi" w:cstheme="minorHAnsi"/>
        </w:rPr>
        <w:t>O</w:t>
      </w:r>
      <w:r w:rsidR="002B0C68" w:rsidRPr="007652E3">
        <w:rPr>
          <w:rFonts w:asciiTheme="minorHAnsi" w:hAnsiTheme="minorHAnsi" w:cstheme="minorHAnsi"/>
        </w:rPr>
        <w:t xml:space="preserve">dnosząc się do zarzutu naruszenia </w:t>
      </w:r>
      <w:r w:rsidR="002B0C68" w:rsidRPr="007652E3">
        <w:rPr>
          <w:rFonts w:asciiTheme="minorHAnsi" w:hAnsiTheme="minorHAnsi" w:cstheme="minorHAnsi"/>
          <w:color w:val="000000" w:themeColor="text1"/>
        </w:rPr>
        <w:t xml:space="preserve">art. 74a ust.1 ustawy ooś, poprzez uzupełnienie </w:t>
      </w:r>
      <w:r w:rsidR="002B0C68" w:rsidRPr="007652E3">
        <w:rPr>
          <w:rFonts w:asciiTheme="minorHAnsi" w:hAnsiTheme="minorHAnsi" w:cstheme="minorHAnsi"/>
          <w:iCs/>
          <w:color w:val="000000" w:themeColor="text1"/>
        </w:rPr>
        <w:t xml:space="preserve">raportu </w:t>
      </w:r>
      <w:r w:rsidR="002B0C68" w:rsidRPr="007652E3">
        <w:rPr>
          <w:rFonts w:asciiTheme="minorHAnsi" w:hAnsiTheme="minorHAnsi" w:cstheme="minorHAnsi"/>
          <w:color w:val="000000" w:themeColor="text1"/>
        </w:rPr>
        <w:t xml:space="preserve">przez osoby </w:t>
      </w:r>
      <w:r w:rsidR="002B0C68" w:rsidRPr="007652E3">
        <w:rPr>
          <w:rFonts w:asciiTheme="minorHAnsi" w:hAnsiTheme="minorHAnsi" w:cstheme="minorHAnsi"/>
        </w:rPr>
        <w:t xml:space="preserve">nieposiadające kwalifikacji do sporządzenia tego dokumentu, </w:t>
      </w:r>
      <w:r w:rsidR="002B0C68" w:rsidRPr="007652E3">
        <w:rPr>
          <w:rFonts w:asciiTheme="minorHAnsi" w:hAnsiTheme="minorHAnsi" w:cstheme="minorHAnsi"/>
        </w:rPr>
        <w:lastRenderedPageBreak/>
        <w:t>GDOŚ wskazuje, że zgodnie z wyrokiem WSA w Warszawie z dnia 3 października 2019 r. GDOŚ wezwał inwestora do dołączenia wymaganych dokumentów. Powyższe uchybienie zostało uzupełnione, inwestor przedłożył uzupełnienia do raportu z 2017 r. podpisane przez autora raportu wraz z oświadczeniem autora raportu</w:t>
      </w:r>
      <w:r w:rsidR="00321AE4" w:rsidRPr="007652E3">
        <w:rPr>
          <w:rFonts w:asciiTheme="minorHAnsi" w:hAnsiTheme="minorHAnsi" w:cstheme="minorHAnsi"/>
        </w:rPr>
        <w:t>, o którym mowa w art. 66 ust. 1 pkt 19a ustawy ooś,</w:t>
      </w:r>
      <w:r w:rsidR="002B0C68" w:rsidRPr="007652E3">
        <w:rPr>
          <w:rFonts w:asciiTheme="minorHAnsi" w:hAnsiTheme="minorHAnsi" w:cstheme="minorHAnsi"/>
        </w:rPr>
        <w:t xml:space="preserve"> o spełnieniu wymagań, o których mowa w art. 74a ust. 2</w:t>
      </w:r>
      <w:r w:rsidR="00321AE4" w:rsidRPr="007652E3">
        <w:rPr>
          <w:rFonts w:asciiTheme="minorHAnsi" w:hAnsiTheme="minorHAnsi" w:cstheme="minorHAnsi"/>
        </w:rPr>
        <w:t xml:space="preserve"> ustawy ooś</w:t>
      </w:r>
      <w:r w:rsidR="002B0C68" w:rsidRPr="007652E3">
        <w:rPr>
          <w:rFonts w:asciiTheme="minorHAnsi" w:hAnsiTheme="minorHAnsi" w:cstheme="minorHAnsi"/>
        </w:rPr>
        <w:t>, stanowiące załącznik do raportu</w:t>
      </w:r>
      <w:r w:rsidR="00321AE4" w:rsidRPr="007652E3">
        <w:rPr>
          <w:rFonts w:asciiTheme="minorHAnsi" w:hAnsiTheme="minorHAnsi" w:cstheme="minorHAnsi"/>
        </w:rPr>
        <w:t>.</w:t>
      </w:r>
      <w:r w:rsidR="00321AE4" w:rsidRPr="007652E3">
        <w:rPr>
          <w:rFonts w:asciiTheme="minorHAnsi" w:hAnsiTheme="minorHAnsi" w:cstheme="minorHAnsi"/>
          <w:color w:val="333333"/>
          <w:shd w:val="clear" w:color="auto" w:fill="FFFFFF"/>
        </w:rPr>
        <w:t xml:space="preserve"> </w:t>
      </w:r>
    </w:p>
    <w:p w14:paraId="159E80E6" w14:textId="6CC56087" w:rsidR="006F5B32" w:rsidRPr="007652E3" w:rsidRDefault="0096068D" w:rsidP="007652E3">
      <w:pPr>
        <w:spacing w:line="312" w:lineRule="auto"/>
        <w:rPr>
          <w:rFonts w:asciiTheme="minorHAnsi" w:hAnsiTheme="minorHAnsi" w:cstheme="minorHAnsi"/>
          <w:color w:val="333333"/>
          <w:shd w:val="clear" w:color="auto" w:fill="FFFFFF"/>
        </w:rPr>
      </w:pPr>
      <w:r w:rsidRPr="007652E3">
        <w:rPr>
          <w:rFonts w:asciiTheme="minorHAnsi" w:hAnsiTheme="minorHAnsi" w:cstheme="minorHAnsi"/>
        </w:rPr>
        <w:t xml:space="preserve">Towarzystwo na rzecz Ziemi </w:t>
      </w:r>
      <w:r w:rsidR="006F5B32" w:rsidRPr="007652E3">
        <w:rPr>
          <w:rFonts w:asciiTheme="minorHAnsi" w:hAnsiTheme="minorHAnsi" w:cstheme="minorHAnsi"/>
        </w:rPr>
        <w:t>zarzuciło również</w:t>
      </w:r>
      <w:r w:rsidRPr="007652E3">
        <w:rPr>
          <w:rFonts w:asciiTheme="minorHAnsi" w:hAnsiTheme="minorHAnsi" w:cstheme="minorHAnsi"/>
        </w:rPr>
        <w:t xml:space="preserve"> naruszenie art. 204 ust. 1 ustawy </w:t>
      </w:r>
      <w:r w:rsidR="006F5B32" w:rsidRPr="007652E3">
        <w:rPr>
          <w:rFonts w:asciiTheme="minorHAnsi" w:hAnsiTheme="minorHAnsi" w:cstheme="minorHAnsi"/>
        </w:rPr>
        <w:t>poś</w:t>
      </w:r>
      <w:r w:rsidRPr="007652E3">
        <w:rPr>
          <w:rFonts w:asciiTheme="minorHAnsi" w:hAnsiTheme="minorHAnsi" w:cstheme="minorHAnsi"/>
        </w:rPr>
        <w:t xml:space="preserve">, poprzez wydanie decyzji o środowiskowych uwarunkowaniach dla instalacji termicznego przekształcania odpadów, która nie spełnia najlepszych dostępnych technik spalania odpadów, dalej jako BAT. Odnosząc się do powyższego GDOŚ stwierdza, że art. 204 </w:t>
      </w:r>
      <w:r w:rsidR="006F5B32" w:rsidRPr="007652E3">
        <w:rPr>
          <w:rFonts w:asciiTheme="minorHAnsi" w:hAnsiTheme="minorHAnsi" w:cstheme="minorHAnsi"/>
        </w:rPr>
        <w:t xml:space="preserve">ustawy </w:t>
      </w:r>
      <w:r w:rsidRPr="007652E3">
        <w:rPr>
          <w:rFonts w:asciiTheme="minorHAnsi" w:hAnsiTheme="minorHAnsi" w:cstheme="minorHAnsi"/>
        </w:rPr>
        <w:t>poś</w:t>
      </w:r>
      <w:r w:rsidR="006F5B32" w:rsidRPr="007652E3">
        <w:rPr>
          <w:rFonts w:asciiTheme="minorHAnsi" w:hAnsiTheme="minorHAnsi" w:cstheme="minorHAnsi"/>
        </w:rPr>
        <w:t xml:space="preserve"> dotyczy wymagań dla instalacji w ramach wydawania pozwoleń zintegrowanych. Podstawą wydania decyzji o środowiskowych uwarunkowaniach nie jest ustawa poś lecz ustawa ooś. Wymagania dotyczące BAT, zgodnie z art</w:t>
      </w:r>
      <w:r w:rsidR="006F5B32" w:rsidRPr="007652E3">
        <w:rPr>
          <w:rFonts w:asciiTheme="minorHAnsi" w:hAnsiTheme="minorHAnsi" w:cstheme="minorHAnsi"/>
          <w:color w:val="000000" w:themeColor="text1"/>
        </w:rPr>
        <w:t xml:space="preserve">. 77 ust. 1 pkt 3 </w:t>
      </w:r>
      <w:r w:rsidR="006F5B32" w:rsidRPr="007652E3">
        <w:rPr>
          <w:rFonts w:asciiTheme="minorHAnsi" w:hAnsiTheme="minorHAnsi" w:cstheme="minorHAnsi"/>
        </w:rPr>
        <w:t>ustawy ooś</w:t>
      </w:r>
      <w:r w:rsidR="0011733B" w:rsidRPr="007652E3">
        <w:rPr>
          <w:rFonts w:asciiTheme="minorHAnsi" w:hAnsiTheme="minorHAnsi" w:cstheme="minorHAnsi"/>
        </w:rPr>
        <w:t>,</w:t>
      </w:r>
      <w:r w:rsidR="006F5B32" w:rsidRPr="007652E3">
        <w:rPr>
          <w:rFonts w:asciiTheme="minorHAnsi" w:hAnsiTheme="minorHAnsi" w:cstheme="minorHAnsi"/>
        </w:rPr>
        <w:t xml:space="preserve"> uwzględniane są w ramach opinii organu współdziałającego. W</w:t>
      </w:r>
      <w:r w:rsidR="006F5B32" w:rsidRPr="007652E3">
        <w:rPr>
          <w:rFonts w:asciiTheme="minorHAnsi" w:hAnsiTheme="minorHAnsi" w:cstheme="minorHAnsi"/>
          <w:color w:val="000000" w:themeColor="text1"/>
        </w:rPr>
        <w:t xml:space="preserve"> postanowieniu </w:t>
      </w:r>
      <w:r w:rsidR="006F5B32" w:rsidRPr="007652E3">
        <w:rPr>
          <w:rFonts w:asciiTheme="minorHAnsi" w:hAnsiTheme="minorHAnsi" w:cstheme="minorHAnsi"/>
        </w:rPr>
        <w:t xml:space="preserve">z dnia 21 grudnia 2017 r. Marszałek Województwa Małopolskiego pozytywnie zaopiniował planowane przedsięwzięcie stwierdzając, że spełnia ono wymagania BAT określone w dokumencie referencyjnym. </w:t>
      </w:r>
      <w:r w:rsidR="006F206E" w:rsidRPr="007652E3">
        <w:rPr>
          <w:rFonts w:asciiTheme="minorHAnsi" w:hAnsiTheme="minorHAnsi" w:cstheme="minorHAnsi"/>
        </w:rPr>
        <w:t>GDOŚ</w:t>
      </w:r>
      <w:r w:rsidR="006F5B32" w:rsidRPr="007652E3">
        <w:rPr>
          <w:rFonts w:asciiTheme="minorHAnsi" w:hAnsiTheme="minorHAnsi" w:cstheme="minorHAnsi"/>
        </w:rPr>
        <w:t xml:space="preserve"> przeanalizował zawarte w raporcie zestawienie dotyczące BAT i podziela ww. stanowisko organu współdziałającego. W raporcie odniesiono się do wymaganych warunków BAT. </w:t>
      </w:r>
    </w:p>
    <w:p w14:paraId="096D6739" w14:textId="1490D8F1" w:rsidR="00A160BE" w:rsidRPr="007652E3" w:rsidRDefault="00C22206" w:rsidP="007652E3">
      <w:pPr>
        <w:pStyle w:val="Akapitzlist"/>
        <w:spacing w:line="312" w:lineRule="auto"/>
        <w:ind w:left="0"/>
        <w:rPr>
          <w:rFonts w:asciiTheme="minorHAnsi" w:hAnsiTheme="minorHAnsi" w:cstheme="minorHAnsi"/>
          <w:color w:val="000000" w:themeColor="text1"/>
        </w:rPr>
      </w:pPr>
      <w:r w:rsidRPr="007652E3">
        <w:rPr>
          <w:rFonts w:asciiTheme="minorHAnsi" w:hAnsiTheme="minorHAnsi" w:cstheme="minorHAnsi"/>
        </w:rPr>
        <w:t>GDOŚ stwierdził, że</w:t>
      </w:r>
      <w:r w:rsidR="00A160BE" w:rsidRPr="007652E3">
        <w:rPr>
          <w:rFonts w:asciiTheme="minorHAnsi" w:hAnsiTheme="minorHAnsi" w:cstheme="minorHAnsi"/>
        </w:rPr>
        <w:t xml:space="preserve"> zawarta w odwołaniu argumentacja Towarzystwa Na Rzecz Ziemi, wskazująca na konieczność odmowy </w:t>
      </w:r>
      <w:r w:rsidR="0011733B" w:rsidRPr="007652E3">
        <w:rPr>
          <w:rFonts w:asciiTheme="minorHAnsi" w:hAnsiTheme="minorHAnsi" w:cstheme="minorHAnsi"/>
        </w:rPr>
        <w:t xml:space="preserve">określenia </w:t>
      </w:r>
      <w:r w:rsidR="00A160BE" w:rsidRPr="007652E3">
        <w:rPr>
          <w:rFonts w:asciiTheme="minorHAnsi" w:hAnsiTheme="minorHAnsi" w:cstheme="minorHAnsi"/>
        </w:rPr>
        <w:t xml:space="preserve">środowiskowych uwarunkowań </w:t>
      </w:r>
      <w:r w:rsidR="0011733B" w:rsidRPr="007652E3">
        <w:rPr>
          <w:rFonts w:asciiTheme="minorHAnsi" w:hAnsiTheme="minorHAnsi" w:cstheme="minorHAnsi"/>
        </w:rPr>
        <w:t xml:space="preserve">realizacji </w:t>
      </w:r>
      <w:r w:rsidR="00A160BE" w:rsidRPr="007652E3">
        <w:rPr>
          <w:rFonts w:asciiTheme="minorHAnsi" w:hAnsiTheme="minorHAnsi" w:cstheme="minorHAnsi"/>
        </w:rPr>
        <w:t xml:space="preserve">przedsięwzięcia z uwagi na brak uwzględnienia go w WPGO nie jest trafna. W przedmiotowym przypadku nie ma bowiem zastosowania </w:t>
      </w:r>
      <w:r w:rsidR="00A160BE" w:rsidRPr="007652E3">
        <w:rPr>
          <w:rFonts w:asciiTheme="minorHAnsi" w:hAnsiTheme="minorHAnsi" w:cstheme="minorHAnsi"/>
          <w:color w:val="000000" w:themeColor="text1"/>
        </w:rPr>
        <w:t xml:space="preserve">art. 38a ustawy z dnia 14 </w:t>
      </w:r>
      <w:r w:rsidR="00A160BE" w:rsidRPr="007652E3">
        <w:rPr>
          <w:rFonts w:asciiTheme="minorHAnsi" w:hAnsiTheme="minorHAnsi" w:cstheme="minorHAnsi"/>
          <w:color w:val="000000" w:themeColor="text1"/>
        </w:rPr>
        <w:lastRenderedPageBreak/>
        <w:t>grudnia 2012 r. o odpadach (Dz. U. z 20</w:t>
      </w:r>
      <w:r w:rsidR="0011733B" w:rsidRPr="007652E3">
        <w:rPr>
          <w:rFonts w:asciiTheme="minorHAnsi" w:hAnsiTheme="minorHAnsi" w:cstheme="minorHAnsi"/>
          <w:color w:val="000000" w:themeColor="text1"/>
        </w:rPr>
        <w:t>22</w:t>
      </w:r>
      <w:r w:rsidR="00A160BE" w:rsidRPr="007652E3">
        <w:rPr>
          <w:rFonts w:asciiTheme="minorHAnsi" w:hAnsiTheme="minorHAnsi" w:cstheme="minorHAnsi"/>
          <w:color w:val="000000" w:themeColor="text1"/>
        </w:rPr>
        <w:t xml:space="preserve"> r. poz. </w:t>
      </w:r>
      <w:r w:rsidR="0011733B" w:rsidRPr="007652E3">
        <w:rPr>
          <w:rFonts w:asciiTheme="minorHAnsi" w:hAnsiTheme="minorHAnsi" w:cstheme="minorHAnsi"/>
          <w:color w:val="000000" w:themeColor="text1"/>
        </w:rPr>
        <w:t>6</w:t>
      </w:r>
      <w:r w:rsidR="00A160BE" w:rsidRPr="007652E3">
        <w:rPr>
          <w:rFonts w:asciiTheme="minorHAnsi" w:hAnsiTheme="minorHAnsi" w:cstheme="minorHAnsi"/>
          <w:color w:val="000000" w:themeColor="text1"/>
        </w:rPr>
        <w:t>99</w:t>
      </w:r>
      <w:r w:rsidR="0011733B" w:rsidRPr="007652E3">
        <w:rPr>
          <w:rFonts w:asciiTheme="minorHAnsi" w:hAnsiTheme="minorHAnsi" w:cstheme="minorHAnsi"/>
          <w:color w:val="000000" w:themeColor="text1"/>
        </w:rPr>
        <w:t>, ze zm.</w:t>
      </w:r>
      <w:r w:rsidR="00A160BE" w:rsidRPr="007652E3">
        <w:rPr>
          <w:rFonts w:asciiTheme="minorHAnsi" w:hAnsiTheme="minorHAnsi" w:cstheme="minorHAnsi"/>
          <w:color w:val="000000" w:themeColor="text1"/>
        </w:rPr>
        <w:t xml:space="preserve">), </w:t>
      </w:r>
      <w:r w:rsidR="0011733B" w:rsidRPr="007652E3">
        <w:rPr>
          <w:rFonts w:asciiTheme="minorHAnsi" w:hAnsiTheme="minorHAnsi" w:cstheme="minorHAnsi"/>
          <w:color w:val="000000" w:themeColor="text1"/>
        </w:rPr>
        <w:t>zgodnie z którym</w:t>
      </w:r>
      <w:r w:rsidR="00A160BE" w:rsidRPr="007652E3">
        <w:rPr>
          <w:rFonts w:asciiTheme="minorHAnsi" w:hAnsiTheme="minorHAnsi" w:cstheme="minorHAnsi"/>
          <w:color w:val="000000" w:themeColor="text1"/>
        </w:rPr>
        <w:t xml:space="preserve">: jeżeli instalacja, przeznaczona do przetwarzania zmieszanych odpadów komunalnych, odpadów zielonych oraz przeznaczonych do składowania pozostałości </w:t>
      </w:r>
      <w:r w:rsidR="00A160BE" w:rsidRPr="007652E3">
        <w:rPr>
          <w:rFonts w:asciiTheme="minorHAnsi" w:hAnsiTheme="minorHAnsi" w:cstheme="minorHAnsi"/>
        </w:rPr>
        <w:t xml:space="preserve">z sortowania odpadów komunalnych i pozostałości z procesu mechaniczno-biologicznego przetwarzania zmieszanych odpadów komunalnych, nie została ujęta w wojewódzkim planie gospodarki odpadami, odmawia się wydania decyzji o środowiskowych uwarunkowaniach, pozwolenia na budowę, pozwolenia zintegrowanego lub zezwolenia na przetwarzanie odpadów w tej instalacji. </w:t>
      </w:r>
      <w:r w:rsidR="00A160BE" w:rsidRPr="007652E3">
        <w:rPr>
          <w:rFonts w:asciiTheme="minorHAnsi" w:hAnsiTheme="minorHAnsi" w:cstheme="minorHAnsi"/>
          <w:color w:val="000000" w:themeColor="text1"/>
        </w:rPr>
        <w:t>Przytoczony przepis jednoznacznie odnosi się do zmieszanych odpadów komunalnych oraz do pozostałości z ich sortowania przeznaczonych do składowania. Z akt sprawy wynika natomiast, że w</w:t>
      </w:r>
      <w:r w:rsidR="00A160BE" w:rsidRPr="007652E3">
        <w:rPr>
          <w:rFonts w:asciiTheme="minorHAnsi" w:hAnsiTheme="minorHAnsi" w:cstheme="minorHAnsi"/>
        </w:rPr>
        <w:t xml:space="preserve"> planowanej instalacji kogeneracji przetwarzane będą odpady z 19 grupy odpadów określonych w ustawie o odpadach, jako pochodzące </w:t>
      </w:r>
      <w:r w:rsidR="00A160BE" w:rsidRPr="007652E3">
        <w:rPr>
          <w:rFonts w:asciiTheme="minorHAnsi" w:hAnsiTheme="minorHAnsi" w:cstheme="minorHAnsi"/>
          <w:color w:val="000000" w:themeColor="text1"/>
        </w:rPr>
        <w:t xml:space="preserve">z instalacji </w:t>
      </w:r>
      <w:r w:rsidR="00A160BE" w:rsidRPr="007652E3">
        <w:rPr>
          <w:rFonts w:asciiTheme="minorHAnsi" w:hAnsiTheme="minorHAnsi" w:cstheme="minorHAnsi"/>
          <w:color w:val="000000" w:themeColor="text1"/>
        </w:rPr>
        <w:br/>
        <w:t xml:space="preserve">i urządzeń służących zagospodarowaniu odpadów, z oczyszczalni ścieków oraz z uzdatniania wody pitnej i wody do celów przemysłowych. Nie są one zmieszanymi odpadami komunalnymi ani pozostałymi rodzajami odpadów wymienionych w przywołanym art. 38a </w:t>
      </w:r>
      <w:r w:rsidR="00A160BE" w:rsidRPr="007652E3">
        <w:rPr>
          <w:rFonts w:asciiTheme="minorHAnsi" w:hAnsiTheme="minorHAnsi" w:cstheme="minorHAnsi"/>
        </w:rPr>
        <w:t>ustawy o odpadach</w:t>
      </w:r>
      <w:r w:rsidR="00A160BE" w:rsidRPr="007652E3">
        <w:rPr>
          <w:rFonts w:asciiTheme="minorHAnsi" w:hAnsiTheme="minorHAnsi" w:cstheme="minorHAnsi"/>
          <w:color w:val="000000" w:themeColor="text1"/>
        </w:rPr>
        <w:t xml:space="preserve">. W planowanej instalacji wykorzystywane będą odpady powstające z przetworzenia odpadów komunalnych, jednak nie te przeznaczone do składowania (o których mowa w ww. artykule). Co więcej wyjaśnić należy, że w załączniku </w:t>
      </w:r>
      <w:r w:rsidR="00A160BE" w:rsidRPr="007652E3">
        <w:rPr>
          <w:rFonts w:asciiTheme="minorHAnsi" w:hAnsiTheme="minorHAnsi" w:cstheme="minorHAnsi"/>
        </w:rPr>
        <w:t xml:space="preserve">nr IV </w:t>
      </w:r>
      <w:r w:rsidR="00A160BE" w:rsidRPr="007652E3">
        <w:rPr>
          <w:rFonts w:asciiTheme="minorHAnsi" w:hAnsiTheme="minorHAnsi" w:cstheme="minorHAnsi"/>
          <w:color w:val="000000" w:themeColor="text1"/>
        </w:rPr>
        <w:t xml:space="preserve">rozporządzenia Ministra Gospodarki z dnia 16 lipca 2015 r. w sprawie dopuszczania odpadów do składowania na składowiskach (Dz. U. z 2015 r. poz. 1277), określono kryteria dopuszczania odpadów o kodach 19 08 05, 19 08 12, 19 08 14, 19 12 12 oraz z grupy 20 do składowania na składowisku odpadów innych niż niebezpieczne i obojętne. Z regulacji tej wynika, że pozostałości z procesu przetwarzania odpadów mogą </w:t>
      </w:r>
      <w:r w:rsidR="00A160BE" w:rsidRPr="007652E3">
        <w:rPr>
          <w:rFonts w:asciiTheme="minorHAnsi" w:hAnsiTheme="minorHAnsi" w:cstheme="minorHAnsi"/>
          <w:color w:val="000000" w:themeColor="text1"/>
        </w:rPr>
        <w:lastRenderedPageBreak/>
        <w:t>być składowane na składowisku odpadów innych niż niebezpieczne i obojętne, w przypadku gdy ich graniczna wartość opałowa nie przekracza 6 MJ/kg ciepła spalania. O</w:t>
      </w:r>
      <w:r w:rsidR="00A160BE" w:rsidRPr="007652E3">
        <w:rPr>
          <w:rFonts w:asciiTheme="minorHAnsi" w:hAnsiTheme="minorHAnsi" w:cstheme="minorHAnsi"/>
        </w:rPr>
        <w:t>dpady planowane do spalenia w ramach przedsięwzięcia nie mogą być składowane na składowisku odpadów, gdyż ich minimalna wartość opałowa będzie wynosić ok. 12 MJ/kg. W związku z powyższym podkreślić należy, że brak jest podstaw do odmowy wydania decyzji o środowiskowych uwarunkowaniach dla przedmiotowego przedsięwzięcia ze względu na to, że nie zostało ono ujęte w WPGO.</w:t>
      </w:r>
    </w:p>
    <w:p w14:paraId="21C42F17" w14:textId="68A6BC78" w:rsidR="00A70B56" w:rsidRPr="007652E3" w:rsidRDefault="00A160BE" w:rsidP="007652E3">
      <w:pPr>
        <w:spacing w:line="312" w:lineRule="auto"/>
        <w:rPr>
          <w:rFonts w:asciiTheme="minorHAnsi" w:hAnsiTheme="minorHAnsi" w:cstheme="minorHAnsi"/>
        </w:rPr>
      </w:pPr>
      <w:r w:rsidRPr="007652E3">
        <w:rPr>
          <w:rFonts w:asciiTheme="minorHAnsi" w:hAnsiTheme="minorHAnsi" w:cstheme="minorHAnsi"/>
        </w:rPr>
        <w:t xml:space="preserve">Na stronie 3 odwołania skarżący podnosi, iż w </w:t>
      </w:r>
      <w:r w:rsidRPr="007652E3">
        <w:rPr>
          <w:rFonts w:asciiTheme="minorHAnsi" w:hAnsiTheme="minorHAnsi" w:cstheme="minorHAnsi"/>
          <w:color w:val="000000" w:themeColor="text1"/>
        </w:rPr>
        <w:t xml:space="preserve">decyzji </w:t>
      </w:r>
      <w:r w:rsidRPr="007652E3">
        <w:rPr>
          <w:rFonts w:asciiTheme="minorHAnsi" w:eastAsia="Calibri" w:hAnsiTheme="minorHAnsi" w:cstheme="minorHAnsi"/>
        </w:rPr>
        <w:t xml:space="preserve">RDOŚ w Krakowie </w:t>
      </w:r>
      <w:r w:rsidRPr="007652E3">
        <w:rPr>
          <w:rFonts w:asciiTheme="minorHAnsi" w:hAnsiTheme="minorHAnsi" w:cstheme="minorHAnsi"/>
        </w:rPr>
        <w:t>z dnia 13 czerwca 2018 r. nie uwzględniono pisma z dnia 5 listopada 2017</w:t>
      </w:r>
      <w:r w:rsidR="0011733B" w:rsidRPr="007652E3">
        <w:rPr>
          <w:rFonts w:asciiTheme="minorHAnsi" w:hAnsiTheme="minorHAnsi" w:cstheme="minorHAnsi"/>
        </w:rPr>
        <w:t xml:space="preserve"> r.</w:t>
      </w:r>
      <w:r w:rsidRPr="007652E3">
        <w:rPr>
          <w:rFonts w:asciiTheme="minorHAnsi" w:hAnsiTheme="minorHAnsi" w:cstheme="minorHAnsi"/>
        </w:rPr>
        <w:t xml:space="preserve"> Magdaleny Gosk, Dyrektora Departamentu Gospodarki Odpadami Ministerstwa Środowiska, skierowanego do Prezydenta Miasta Tarnowa. Należy zauważyć, że ww. pismo dotyczy ogólnie instalacji do termicznego przekształcania odpadów pochodzących z przetworzenia odpadów komunalnych w Tarnowie, a nie wymienionej w sentencji </w:t>
      </w:r>
      <w:r w:rsidRPr="007652E3">
        <w:rPr>
          <w:rFonts w:asciiTheme="minorHAnsi" w:hAnsiTheme="minorHAnsi" w:cstheme="minorHAnsi"/>
          <w:color w:val="000000" w:themeColor="text1"/>
        </w:rPr>
        <w:t>instalacji kogeneracji do produkcji energii</w:t>
      </w:r>
      <w:r w:rsidR="004E69A3" w:rsidRPr="007652E3">
        <w:rPr>
          <w:rFonts w:asciiTheme="minorHAnsi" w:hAnsiTheme="minorHAnsi" w:cstheme="minorHAnsi"/>
          <w:color w:val="000000" w:themeColor="text1"/>
        </w:rPr>
        <w:t xml:space="preserve"> </w:t>
      </w:r>
      <w:r w:rsidRPr="007652E3">
        <w:rPr>
          <w:rFonts w:asciiTheme="minorHAnsi" w:hAnsiTheme="minorHAnsi" w:cstheme="minorHAnsi"/>
          <w:color w:val="000000" w:themeColor="text1"/>
        </w:rPr>
        <w:t>z przetwarzanych odpadów komunalnych z wykorzystaniem ciepła do miejskiej sieci ciepłowniczej w Tarnowie. W wyżej przywołanym piśmie nie uwzględniono instalacji przetwarzających odpady inne niż zmieszane odpady komunalne, tj. odpadów z grupy 19 (19 12 12 i 19 12 10), do których nie ma zastosowania, przywołany w piśmie z dnia 5 listopada 2017, art. 38a ustawy o odpadach.</w:t>
      </w:r>
    </w:p>
    <w:p w14:paraId="4E7D19D9" w14:textId="3F9CFDB8" w:rsidR="00007ECB" w:rsidRPr="007652E3" w:rsidRDefault="00007ECB" w:rsidP="007652E3">
      <w:pPr>
        <w:spacing w:line="312" w:lineRule="auto"/>
        <w:rPr>
          <w:rFonts w:asciiTheme="minorHAnsi" w:eastAsia="Calibri" w:hAnsiTheme="minorHAnsi" w:cstheme="minorHAnsi"/>
        </w:rPr>
      </w:pPr>
      <w:r w:rsidRPr="007652E3">
        <w:rPr>
          <w:rFonts w:asciiTheme="minorHAnsi" w:hAnsiTheme="minorHAnsi" w:cstheme="minorHAnsi"/>
        </w:rPr>
        <w:t xml:space="preserve">W związku z zarzutem naruszenia art. 66 ust. 1 pkt 3b, 5, 6a, 7, 9, 11a ustawy ooś </w:t>
      </w:r>
      <w:r w:rsidR="0027020D" w:rsidRPr="007652E3">
        <w:rPr>
          <w:rFonts w:asciiTheme="minorHAnsi" w:hAnsiTheme="minorHAnsi" w:cstheme="minorHAnsi"/>
        </w:rPr>
        <w:t xml:space="preserve">skarżący </w:t>
      </w:r>
      <w:r w:rsidRPr="007652E3">
        <w:rPr>
          <w:rFonts w:asciiTheme="minorHAnsi" w:hAnsiTheme="minorHAnsi" w:cstheme="minorHAnsi"/>
        </w:rPr>
        <w:t>wskazał, iż raport oraz stanowiąca jego załącznik „</w:t>
      </w:r>
      <w:r w:rsidRPr="007652E3">
        <w:rPr>
          <w:rFonts w:asciiTheme="minorHAnsi" w:eastAsia="Calibri" w:hAnsiTheme="minorHAnsi" w:cstheme="minorHAnsi"/>
          <w:color w:val="000000" w:themeColor="text1"/>
        </w:rPr>
        <w:t>Wielokryterialna analiza wyboru wariantu realizacji przedsięwzięcia wraz z analizą lokalizacyjną ITPOK”</w:t>
      </w:r>
      <w:r w:rsidR="00DE4AB9" w:rsidRPr="007652E3">
        <w:rPr>
          <w:rFonts w:asciiTheme="minorHAnsi" w:eastAsia="Calibri" w:hAnsiTheme="minorHAnsi" w:cstheme="minorHAnsi"/>
          <w:color w:val="000000" w:themeColor="text1"/>
        </w:rPr>
        <w:t xml:space="preserve"> </w:t>
      </w:r>
      <w:r w:rsidRPr="007652E3">
        <w:rPr>
          <w:rFonts w:asciiTheme="minorHAnsi" w:hAnsiTheme="minorHAnsi" w:cstheme="minorHAnsi"/>
        </w:rPr>
        <w:t>opracowywane były na podstawie wybiórczych i nierzetelnych danych. S</w:t>
      </w:r>
      <w:r w:rsidR="00DE4AB9" w:rsidRPr="007652E3">
        <w:rPr>
          <w:rFonts w:asciiTheme="minorHAnsi" w:hAnsiTheme="minorHAnsi" w:cstheme="minorHAnsi"/>
        </w:rPr>
        <w:t>karżący</w:t>
      </w:r>
      <w:r w:rsidRPr="007652E3">
        <w:rPr>
          <w:rFonts w:asciiTheme="minorHAnsi" w:hAnsiTheme="minorHAnsi" w:cstheme="minorHAnsi"/>
        </w:rPr>
        <w:t xml:space="preserve"> podnosi m.in., że w raporcie błędnie przyjęto liczbę mieszkańców regionu tarnowskiego oraz </w:t>
      </w:r>
      <w:r w:rsidRPr="007652E3">
        <w:rPr>
          <w:rFonts w:asciiTheme="minorHAnsi" w:hAnsiTheme="minorHAnsi" w:cstheme="minorHAnsi"/>
        </w:rPr>
        <w:lastRenderedPageBreak/>
        <w:t xml:space="preserve">nieprawidłowo określoną prognozowaną liczbę ludności. Rozpatrując ww. </w:t>
      </w:r>
      <w:r w:rsidRPr="007652E3">
        <w:rPr>
          <w:rFonts w:asciiTheme="minorHAnsi" w:hAnsiTheme="minorHAnsi" w:cstheme="minorHAnsi"/>
          <w:color w:val="000000" w:themeColor="text1"/>
        </w:rPr>
        <w:t xml:space="preserve">zarzuty GDOŚ zweryfikował przedstawione w raporcie dane i porównał je m.in. z informacjami zawartymi w WPGO oraz podawanymi przez </w:t>
      </w:r>
      <w:r w:rsidRPr="007652E3">
        <w:rPr>
          <w:rFonts w:asciiTheme="minorHAnsi" w:eastAsia="Calibri" w:hAnsiTheme="minorHAnsi" w:cstheme="minorHAnsi"/>
          <w:color w:val="000000" w:themeColor="text1"/>
        </w:rPr>
        <w:t>Główny Urząd Statystyczny</w:t>
      </w:r>
      <w:r w:rsidR="00DE4AB9" w:rsidRPr="007652E3">
        <w:rPr>
          <w:rFonts w:asciiTheme="minorHAnsi" w:eastAsia="Calibri" w:hAnsiTheme="minorHAnsi" w:cstheme="minorHAnsi"/>
          <w:color w:val="000000" w:themeColor="text1"/>
        </w:rPr>
        <w:t xml:space="preserve"> </w:t>
      </w:r>
      <w:r w:rsidRPr="007652E3">
        <w:rPr>
          <w:rFonts w:asciiTheme="minorHAnsi" w:eastAsia="Calibri" w:hAnsiTheme="minorHAnsi" w:cstheme="minorHAnsi"/>
          <w:color w:val="000000" w:themeColor="text1"/>
        </w:rPr>
        <w:t>(opublikowanych na oficjalnej stronie urzędu w zakładce pt. „</w:t>
      </w:r>
      <w:r w:rsidRPr="007652E3">
        <w:rPr>
          <w:rFonts w:asciiTheme="minorHAnsi" w:eastAsia="Calibri" w:hAnsiTheme="minorHAnsi" w:cstheme="minorHAnsi"/>
        </w:rPr>
        <w:t xml:space="preserve">Ludność. Stan i struktura ludności oraz ruch naturalny </w:t>
      </w:r>
      <w:r w:rsidR="004E69A3" w:rsidRPr="007652E3">
        <w:rPr>
          <w:rFonts w:asciiTheme="minorHAnsi" w:eastAsia="Calibri" w:hAnsiTheme="minorHAnsi" w:cstheme="minorHAnsi"/>
        </w:rPr>
        <w:t>w</w:t>
      </w:r>
      <w:r w:rsidRPr="007652E3">
        <w:rPr>
          <w:rFonts w:asciiTheme="minorHAnsi" w:eastAsia="Calibri" w:hAnsiTheme="minorHAnsi" w:cstheme="minorHAnsi"/>
        </w:rPr>
        <w:t xml:space="preserve"> przekroju terytorialnym”. </w:t>
      </w:r>
      <w:r w:rsidRPr="007652E3">
        <w:rPr>
          <w:rFonts w:asciiTheme="minorHAnsi" w:hAnsiTheme="minorHAnsi" w:cstheme="minorHAnsi"/>
          <w:color w:val="000000" w:themeColor="text1"/>
        </w:rPr>
        <w:t>W WPGO przyjęta liczba mieszkańców regionu tarnowskiego jako 568</w:t>
      </w:r>
      <w:r w:rsidR="00DE4AB9" w:rsidRPr="007652E3">
        <w:rPr>
          <w:rFonts w:asciiTheme="minorHAnsi" w:hAnsiTheme="minorHAnsi" w:cstheme="minorHAnsi"/>
          <w:color w:val="000000" w:themeColor="text1"/>
        </w:rPr>
        <w:t xml:space="preserve"> </w:t>
      </w:r>
      <w:r w:rsidRPr="007652E3">
        <w:rPr>
          <w:rFonts w:asciiTheme="minorHAnsi" w:hAnsiTheme="minorHAnsi" w:cstheme="minorHAnsi"/>
          <w:color w:val="000000" w:themeColor="text1"/>
        </w:rPr>
        <w:t xml:space="preserve">923 </w:t>
      </w:r>
      <w:r w:rsidRPr="007652E3">
        <w:rPr>
          <w:rFonts w:asciiTheme="minorHAnsi" w:eastAsia="Calibri" w:hAnsiTheme="minorHAnsi" w:cstheme="minorHAnsi"/>
          <w:color w:val="000000" w:themeColor="text1"/>
        </w:rPr>
        <w:t xml:space="preserve">osoby </w:t>
      </w:r>
      <w:r w:rsidRPr="007652E3">
        <w:rPr>
          <w:rFonts w:asciiTheme="minorHAnsi" w:hAnsiTheme="minorHAnsi" w:cstheme="minorHAnsi"/>
          <w:color w:val="000000" w:themeColor="text1"/>
        </w:rPr>
        <w:t xml:space="preserve">odpowiada danym </w:t>
      </w:r>
      <w:r w:rsidRPr="007652E3">
        <w:rPr>
          <w:rFonts w:asciiTheme="minorHAnsi" w:eastAsia="Calibri" w:hAnsiTheme="minorHAnsi" w:cstheme="minorHAnsi"/>
          <w:color w:val="000000" w:themeColor="text1"/>
        </w:rPr>
        <w:t xml:space="preserve">GUS </w:t>
      </w:r>
      <w:r w:rsidRPr="007652E3">
        <w:rPr>
          <w:rFonts w:asciiTheme="minorHAnsi" w:hAnsiTheme="minorHAnsi" w:cstheme="minorHAnsi"/>
          <w:color w:val="000000" w:themeColor="text1"/>
        </w:rPr>
        <w:t xml:space="preserve">(wg stanu na 31 </w:t>
      </w:r>
      <w:r w:rsidR="00DE4AB9" w:rsidRPr="007652E3">
        <w:rPr>
          <w:rFonts w:asciiTheme="minorHAnsi" w:hAnsiTheme="minorHAnsi" w:cstheme="minorHAnsi"/>
          <w:color w:val="000000" w:themeColor="text1"/>
        </w:rPr>
        <w:t xml:space="preserve">grudnia </w:t>
      </w:r>
      <w:r w:rsidRPr="007652E3">
        <w:rPr>
          <w:rFonts w:asciiTheme="minorHAnsi" w:hAnsiTheme="minorHAnsi" w:cstheme="minorHAnsi"/>
          <w:color w:val="000000" w:themeColor="text1"/>
        </w:rPr>
        <w:t xml:space="preserve">2014 r.). </w:t>
      </w:r>
      <w:r w:rsidRPr="007652E3">
        <w:rPr>
          <w:rFonts w:asciiTheme="minorHAnsi" w:eastAsia="Calibri" w:hAnsiTheme="minorHAnsi" w:cstheme="minorHAnsi"/>
        </w:rPr>
        <w:t>Natomiast na stronie 61 raportu przyjęto, iż region tarnowski w 2015 r</w:t>
      </w:r>
      <w:r w:rsidR="00DE4AB9" w:rsidRPr="007652E3">
        <w:rPr>
          <w:rFonts w:asciiTheme="minorHAnsi" w:eastAsia="Calibri" w:hAnsiTheme="minorHAnsi" w:cstheme="minorHAnsi"/>
        </w:rPr>
        <w:t>.</w:t>
      </w:r>
      <w:r w:rsidRPr="007652E3">
        <w:rPr>
          <w:rFonts w:asciiTheme="minorHAnsi" w:eastAsia="Calibri" w:hAnsiTheme="minorHAnsi" w:cstheme="minorHAnsi"/>
        </w:rPr>
        <w:t xml:space="preserve"> zamieszkiwały 549</w:t>
      </w:r>
      <w:r w:rsidR="00DE4AB9" w:rsidRPr="007652E3">
        <w:rPr>
          <w:rFonts w:asciiTheme="minorHAnsi" w:eastAsia="Calibri" w:hAnsiTheme="minorHAnsi" w:cstheme="minorHAnsi"/>
        </w:rPr>
        <w:t xml:space="preserve"> </w:t>
      </w:r>
      <w:r w:rsidRPr="007652E3">
        <w:rPr>
          <w:rFonts w:asciiTheme="minorHAnsi" w:eastAsia="Calibri" w:hAnsiTheme="minorHAnsi" w:cstheme="minorHAnsi"/>
        </w:rPr>
        <w:t>487 osoby, liczba ta nie różni się istotnie od liczby 569</w:t>
      </w:r>
      <w:r w:rsidR="00DE4AB9" w:rsidRPr="007652E3">
        <w:rPr>
          <w:rFonts w:asciiTheme="minorHAnsi" w:eastAsia="Calibri" w:hAnsiTheme="minorHAnsi" w:cstheme="minorHAnsi"/>
        </w:rPr>
        <w:t xml:space="preserve"> </w:t>
      </w:r>
      <w:r w:rsidRPr="007652E3">
        <w:rPr>
          <w:rFonts w:asciiTheme="minorHAnsi" w:eastAsia="Calibri" w:hAnsiTheme="minorHAnsi" w:cstheme="minorHAnsi"/>
        </w:rPr>
        <w:t xml:space="preserve">017, wskazywanej przez GUS </w:t>
      </w:r>
      <w:r w:rsidRPr="007652E3">
        <w:rPr>
          <w:rFonts w:asciiTheme="minorHAnsi" w:eastAsia="Calibri" w:hAnsiTheme="minorHAnsi" w:cstheme="minorHAnsi"/>
          <w:color w:val="000000" w:themeColor="text1"/>
        </w:rPr>
        <w:t xml:space="preserve">według stanu na 31 </w:t>
      </w:r>
      <w:r w:rsidR="00DE4AB9" w:rsidRPr="007652E3">
        <w:rPr>
          <w:rFonts w:asciiTheme="minorHAnsi" w:eastAsia="Calibri" w:hAnsiTheme="minorHAnsi" w:cstheme="minorHAnsi"/>
          <w:color w:val="000000" w:themeColor="text1"/>
        </w:rPr>
        <w:t xml:space="preserve">grudnia </w:t>
      </w:r>
      <w:r w:rsidRPr="007652E3">
        <w:rPr>
          <w:rFonts w:asciiTheme="minorHAnsi" w:eastAsia="Calibri" w:hAnsiTheme="minorHAnsi" w:cstheme="minorHAnsi"/>
          <w:color w:val="000000" w:themeColor="text1"/>
        </w:rPr>
        <w:t>2015 r. W raporcie ludność miasta Tarnowa, będącego miastem na prawach powiatu, nie została wliczona do liczby mieszkańców powiatu tarnowskiego, co jest zrozumiałe</w:t>
      </w:r>
      <w:r w:rsidR="00DE4AB9" w:rsidRPr="007652E3">
        <w:rPr>
          <w:rFonts w:asciiTheme="minorHAnsi" w:eastAsia="Calibri" w:hAnsiTheme="minorHAnsi" w:cstheme="minorHAnsi"/>
          <w:color w:val="000000" w:themeColor="text1"/>
        </w:rPr>
        <w:t>,</w:t>
      </w:r>
      <w:r w:rsidRPr="007652E3">
        <w:rPr>
          <w:rFonts w:asciiTheme="minorHAnsi" w:eastAsia="Calibri" w:hAnsiTheme="minorHAnsi" w:cstheme="minorHAnsi"/>
          <w:color w:val="000000" w:themeColor="text1"/>
        </w:rPr>
        <w:t xml:space="preserve"> skoro obszary te stanowią osobne powiaty. Na podstawie przyjętej w raporcie liczby mieszkańców regionu tarnowskiego (tj. powiatów: tarnowskiego, bocheńskiego, brzeskiego, dąbrowskiego oraz miasta Tarnowa) </w:t>
      </w:r>
      <w:r w:rsidRPr="007652E3">
        <w:rPr>
          <w:rFonts w:asciiTheme="minorHAnsi" w:hAnsiTheme="minorHAnsi" w:cstheme="minorHAnsi"/>
          <w:color w:val="000000" w:themeColor="text1"/>
        </w:rPr>
        <w:t>oszacowano strumień odpadów będących źródłem wykorzystywanego w przedmiotowej instalacji paliwa.</w:t>
      </w:r>
      <w:r w:rsidRPr="007652E3">
        <w:rPr>
          <w:rFonts w:asciiTheme="minorHAnsi" w:eastAsia="Calibri" w:hAnsiTheme="minorHAnsi" w:cstheme="minorHAnsi"/>
          <w:color w:val="000000" w:themeColor="text1"/>
        </w:rPr>
        <w:t xml:space="preserve"> Należy nadmienić, że na 61 stronie raportu błędnie zatytułowano tabelę 1.8 („Stan ludności w Gminie Miasta Tarnów w latach 2014-2015”), gdyż prezentowane w niej dane nie dotyczą stanu ludności gminy Miasta Tarnów lecz powiatu Miasta Tarnów, natomiast w tabeli 1.10 zastosowano już prawidłowy zapis. </w:t>
      </w:r>
      <w:r w:rsidRPr="007652E3">
        <w:rPr>
          <w:rFonts w:asciiTheme="minorHAnsi" w:eastAsia="Calibri" w:hAnsiTheme="minorHAnsi" w:cstheme="minorHAnsi"/>
        </w:rPr>
        <w:t xml:space="preserve">Pomyłka w nazwie nie ma wpływu na dalsze analizy. </w:t>
      </w:r>
      <w:r w:rsidRPr="007652E3">
        <w:rPr>
          <w:rFonts w:asciiTheme="minorHAnsi" w:eastAsia="Calibri" w:hAnsiTheme="minorHAnsi" w:cstheme="minorHAnsi"/>
          <w:color w:val="000000" w:themeColor="text1"/>
        </w:rPr>
        <w:t>Przyjęta przez autora raportu liczba mieszkańców regionu tarnowskiego (549</w:t>
      </w:r>
      <w:r w:rsidR="00DE4AB9" w:rsidRPr="007652E3">
        <w:rPr>
          <w:rFonts w:asciiTheme="minorHAnsi" w:eastAsia="Calibri" w:hAnsiTheme="minorHAnsi" w:cstheme="minorHAnsi"/>
          <w:color w:val="000000" w:themeColor="text1"/>
        </w:rPr>
        <w:t xml:space="preserve"> </w:t>
      </w:r>
      <w:r w:rsidRPr="007652E3">
        <w:rPr>
          <w:rFonts w:asciiTheme="minorHAnsi" w:eastAsia="Calibri" w:hAnsiTheme="minorHAnsi" w:cstheme="minorHAnsi"/>
          <w:color w:val="000000" w:themeColor="text1"/>
        </w:rPr>
        <w:t>487) jest niższa od danych GUS</w:t>
      </w:r>
      <w:r w:rsidR="00DE4AB9" w:rsidRPr="007652E3">
        <w:rPr>
          <w:rFonts w:asciiTheme="minorHAnsi" w:eastAsia="Calibri" w:hAnsiTheme="minorHAnsi" w:cstheme="minorHAnsi"/>
          <w:color w:val="000000" w:themeColor="text1"/>
        </w:rPr>
        <w:t>,</w:t>
      </w:r>
      <w:r w:rsidRPr="007652E3">
        <w:rPr>
          <w:rFonts w:asciiTheme="minorHAnsi" w:eastAsia="Calibri" w:hAnsiTheme="minorHAnsi" w:cstheme="minorHAnsi"/>
          <w:color w:val="000000" w:themeColor="text1"/>
        </w:rPr>
        <w:t xml:space="preserve"> </w:t>
      </w:r>
      <w:r w:rsidRPr="007652E3">
        <w:rPr>
          <w:rFonts w:asciiTheme="minorHAnsi" w:hAnsiTheme="minorHAnsi" w:cstheme="minorHAnsi"/>
        </w:rPr>
        <w:t>jednak nie odbiega od nich w sposób, który prowadziłby do znacząco innych wniosków na temat możliwości realizacji przedsięwzięcia. Różnica ta, w ocenie GDOŚ</w:t>
      </w:r>
      <w:r w:rsidR="00DE4AB9" w:rsidRPr="007652E3">
        <w:rPr>
          <w:rFonts w:asciiTheme="minorHAnsi" w:hAnsiTheme="minorHAnsi" w:cstheme="minorHAnsi"/>
        </w:rPr>
        <w:t>,</w:t>
      </w:r>
      <w:r w:rsidRPr="007652E3">
        <w:rPr>
          <w:rFonts w:asciiTheme="minorHAnsi" w:hAnsiTheme="minorHAnsi" w:cstheme="minorHAnsi"/>
        </w:rPr>
        <w:t xml:space="preserve"> pozostaje bez wpływu na ostateczny wynik oceny oddziaływania przedsięwzięcia na środowisko i </w:t>
      </w:r>
      <w:r w:rsidRPr="007652E3">
        <w:rPr>
          <w:rFonts w:asciiTheme="minorHAnsi" w:hAnsiTheme="minorHAnsi" w:cstheme="minorHAnsi"/>
        </w:rPr>
        <w:lastRenderedPageBreak/>
        <w:t>określenie warunków realizacji planowanej inwestycji. Przyjęcie w raporcie mniejszej liczby ludności regionu tarnowskiego, niż liczba podana przez GUS, potwierdza istnienie źródła odpadów planowanych do wykorzystania w ramach przedsięwzięcia. Ponadto w WPGO zawarto prognozę spadku całkowitej liczby ludności regionu tarnowskiego z 568</w:t>
      </w:r>
      <w:r w:rsidR="00DE4AB9" w:rsidRPr="007652E3">
        <w:rPr>
          <w:rFonts w:asciiTheme="minorHAnsi" w:hAnsiTheme="minorHAnsi" w:cstheme="minorHAnsi"/>
        </w:rPr>
        <w:t xml:space="preserve"> </w:t>
      </w:r>
      <w:r w:rsidRPr="007652E3">
        <w:rPr>
          <w:rFonts w:asciiTheme="minorHAnsi" w:hAnsiTheme="minorHAnsi" w:cstheme="minorHAnsi"/>
        </w:rPr>
        <w:t xml:space="preserve">795 </w:t>
      </w:r>
      <w:r w:rsidRPr="007652E3">
        <w:rPr>
          <w:rFonts w:asciiTheme="minorHAnsi" w:hAnsiTheme="minorHAnsi" w:cstheme="minorHAnsi"/>
          <w:color w:val="000000" w:themeColor="text1"/>
        </w:rPr>
        <w:t>osób w roku 2016 do 562</w:t>
      </w:r>
      <w:r w:rsidR="00DE4AB9" w:rsidRPr="007652E3">
        <w:rPr>
          <w:rFonts w:asciiTheme="minorHAnsi" w:hAnsiTheme="minorHAnsi" w:cstheme="minorHAnsi"/>
          <w:color w:val="000000" w:themeColor="text1"/>
        </w:rPr>
        <w:t xml:space="preserve"> </w:t>
      </w:r>
      <w:r w:rsidRPr="007652E3">
        <w:rPr>
          <w:rFonts w:asciiTheme="minorHAnsi" w:hAnsiTheme="minorHAnsi" w:cstheme="minorHAnsi"/>
          <w:color w:val="000000" w:themeColor="text1"/>
        </w:rPr>
        <w:t>972 osób w roku 2028, przy jednoczesnym wzroście wytwarzanych odpadów (załącznik nr 4 WPGO, strona 88). Przewiduje się zatem, że pomimo zmniejszającej się liczby ludności regionu nie zmniejszy się strumień wytwarzanych odpadów, co zapewni ciągłość zaopatrywania planowanej instalacji w surowiec.</w:t>
      </w:r>
    </w:p>
    <w:p w14:paraId="0C82DBBE" w14:textId="34F2E2B6" w:rsidR="00A160BE" w:rsidRPr="007652E3" w:rsidRDefault="00411597" w:rsidP="007652E3">
      <w:pPr>
        <w:spacing w:line="312" w:lineRule="auto"/>
        <w:rPr>
          <w:rFonts w:asciiTheme="minorHAnsi" w:hAnsiTheme="minorHAnsi" w:cstheme="minorHAnsi"/>
        </w:rPr>
      </w:pPr>
      <w:r w:rsidRPr="007652E3">
        <w:rPr>
          <w:rFonts w:asciiTheme="minorHAnsi" w:hAnsiTheme="minorHAnsi" w:cstheme="minorHAnsi"/>
        </w:rPr>
        <w:t>Powyższe potwierdził WSA w Warszawie nie podzielając argumentacji skarżącego w zakresie niewłaściwego rozważenia przez organ kwestii naruszenia art. 28a ustawy o odpadach.</w:t>
      </w:r>
    </w:p>
    <w:p w14:paraId="07D74A90" w14:textId="28E63CC2" w:rsidR="008C089D" w:rsidRPr="007652E3" w:rsidRDefault="008C089D" w:rsidP="007652E3">
      <w:pPr>
        <w:spacing w:line="312" w:lineRule="auto"/>
        <w:rPr>
          <w:rFonts w:asciiTheme="minorHAnsi" w:hAnsiTheme="minorHAnsi" w:cstheme="minorHAnsi"/>
        </w:rPr>
      </w:pPr>
      <w:r w:rsidRPr="007652E3">
        <w:rPr>
          <w:rFonts w:asciiTheme="minorHAnsi" w:hAnsiTheme="minorHAnsi" w:cstheme="minorHAnsi"/>
        </w:rPr>
        <w:t>Odnosząc się do zarzut</w:t>
      </w:r>
      <w:r w:rsidR="00C22206" w:rsidRPr="007652E3">
        <w:rPr>
          <w:rFonts w:asciiTheme="minorHAnsi" w:hAnsiTheme="minorHAnsi" w:cstheme="minorHAnsi"/>
        </w:rPr>
        <w:t>u</w:t>
      </w:r>
      <w:r w:rsidRPr="007652E3">
        <w:rPr>
          <w:rFonts w:asciiTheme="minorHAnsi" w:hAnsiTheme="minorHAnsi" w:cstheme="minorHAnsi"/>
        </w:rPr>
        <w:t xml:space="preserve"> lokalizacji inwestycji niezgodnie z obowiązującym stu</w:t>
      </w:r>
      <w:r w:rsidR="001A496F" w:rsidRPr="007652E3">
        <w:rPr>
          <w:rFonts w:asciiTheme="minorHAnsi" w:hAnsiTheme="minorHAnsi" w:cstheme="minorHAnsi"/>
        </w:rPr>
        <w:t>d</w:t>
      </w:r>
      <w:r w:rsidRPr="007652E3">
        <w:rPr>
          <w:rFonts w:asciiTheme="minorHAnsi" w:hAnsiTheme="minorHAnsi" w:cstheme="minorHAnsi"/>
        </w:rPr>
        <w:t xml:space="preserve">ium uwarunkowań i kierunków zagospodarowania przestrzennego gminy miasta Tarnów, GDOŚ wskazuje, że </w:t>
      </w:r>
      <w:r w:rsidR="00B54DE5" w:rsidRPr="007652E3">
        <w:rPr>
          <w:rFonts w:asciiTheme="minorHAnsi" w:hAnsiTheme="minorHAnsi" w:cstheme="minorHAnsi"/>
        </w:rPr>
        <w:t xml:space="preserve">z zaświadczenia Prezydenta Miasta Tarnowa z dnia 15 maja 2017 r. wynika, że obszar, na którym planowane jest przedsięwzięcie nie jest objęty miejscowym planem zagospodarowania przestrzennego. Natomiast </w:t>
      </w:r>
      <w:r w:rsidRPr="007652E3">
        <w:rPr>
          <w:rFonts w:asciiTheme="minorHAnsi" w:hAnsiTheme="minorHAnsi" w:cstheme="minorHAnsi"/>
        </w:rPr>
        <w:t>organ wydający decyzję środowiskową nie ma obowiązku stwierdzenia zgodności lokalizacji przedsięwzięcia z ustaleniami studium uwarunkowań i kierunków zagospodarowania przestrzennego. Studium w przeciwieństwie do planu miejscowego - nie jest aktem prawa miejscowego</w:t>
      </w:r>
      <w:r w:rsidR="00FF4EC4" w:rsidRPr="007652E3">
        <w:rPr>
          <w:rFonts w:asciiTheme="minorHAnsi" w:hAnsiTheme="minorHAnsi" w:cstheme="minorHAnsi"/>
        </w:rPr>
        <w:t xml:space="preserve">, co wprost wynika z art. 9 ust. 5 ustawy z dnia 27 marca 2003 r. o planowaniu i </w:t>
      </w:r>
      <w:r w:rsidR="00FF4EC4" w:rsidRPr="007652E3">
        <w:rPr>
          <w:rFonts w:asciiTheme="minorHAnsi" w:hAnsiTheme="minorHAnsi" w:cstheme="minorHAnsi"/>
        </w:rPr>
        <w:lastRenderedPageBreak/>
        <w:t>zagospodarowaniu przestrzennym</w:t>
      </w:r>
      <w:r w:rsidRPr="007652E3">
        <w:rPr>
          <w:rFonts w:asciiTheme="minorHAnsi" w:hAnsiTheme="minorHAnsi" w:cstheme="minorHAnsi"/>
        </w:rPr>
        <w:t xml:space="preserve"> </w:t>
      </w:r>
      <w:r w:rsidR="00FF4EC4" w:rsidRPr="007652E3">
        <w:rPr>
          <w:rFonts w:asciiTheme="minorHAnsi" w:hAnsiTheme="minorHAnsi" w:cstheme="minorHAnsi"/>
        </w:rPr>
        <w:t xml:space="preserve">(Dz. U. z 2022 r. poz. 503, ze zm.), </w:t>
      </w:r>
      <w:r w:rsidRPr="007652E3">
        <w:rPr>
          <w:rFonts w:asciiTheme="minorHAnsi" w:hAnsiTheme="minorHAnsi" w:cstheme="minorHAnsi"/>
        </w:rPr>
        <w:t>i nie może stanowić podstawy wydania decyzji administracyjnej</w:t>
      </w:r>
      <w:r w:rsidR="00482298" w:rsidRPr="007652E3">
        <w:rPr>
          <w:rFonts w:asciiTheme="minorHAnsi" w:hAnsiTheme="minorHAnsi" w:cstheme="minorHAnsi"/>
        </w:rPr>
        <w:t xml:space="preserve"> </w:t>
      </w:r>
      <w:r w:rsidRPr="007652E3">
        <w:rPr>
          <w:rFonts w:asciiTheme="minorHAnsi" w:hAnsiTheme="minorHAnsi" w:cstheme="minorHAnsi"/>
        </w:rPr>
        <w:t>(por. wyrok WSA w Krakowie z dnia</w:t>
      </w:r>
      <w:r w:rsidR="00B54DE5" w:rsidRPr="007652E3">
        <w:rPr>
          <w:rFonts w:asciiTheme="minorHAnsi" w:hAnsiTheme="minorHAnsi" w:cstheme="minorHAnsi"/>
        </w:rPr>
        <w:t xml:space="preserve"> 20 czerwca 2017 r.</w:t>
      </w:r>
      <w:r w:rsidRPr="007652E3">
        <w:rPr>
          <w:rFonts w:asciiTheme="minorHAnsi" w:hAnsiTheme="minorHAnsi" w:cstheme="minorHAnsi"/>
        </w:rPr>
        <w:t xml:space="preserve"> sygn. akt. II SA/Kr 260/17).</w:t>
      </w:r>
    </w:p>
    <w:p w14:paraId="01ADA434" w14:textId="0DD6D627" w:rsidR="005C5C7F" w:rsidRPr="007652E3" w:rsidRDefault="00442873" w:rsidP="007652E3">
      <w:pPr>
        <w:spacing w:line="312" w:lineRule="auto"/>
        <w:rPr>
          <w:rFonts w:asciiTheme="minorHAnsi" w:hAnsiTheme="minorHAnsi" w:cstheme="minorHAnsi"/>
        </w:rPr>
      </w:pPr>
      <w:r w:rsidRPr="007652E3">
        <w:rPr>
          <w:rFonts w:asciiTheme="minorHAnsi" w:hAnsiTheme="minorHAnsi" w:cstheme="minorHAnsi"/>
        </w:rPr>
        <w:t>W opinii GDOŚ w analizowanej sprawie nie wystąpiły podstawy do wydania decyzji odmownej polegające</w:t>
      </w:r>
      <w:r w:rsidR="005C5C7F" w:rsidRPr="007652E3">
        <w:rPr>
          <w:rFonts w:asciiTheme="minorHAnsi" w:hAnsiTheme="minorHAnsi" w:cstheme="minorHAnsi"/>
        </w:rPr>
        <w:t xml:space="preserve"> na: niezgodności lokalizacji przedsięwzięcia z</w:t>
      </w:r>
      <w:r w:rsidR="004C2AE6" w:rsidRPr="007652E3">
        <w:rPr>
          <w:rFonts w:asciiTheme="minorHAnsi" w:hAnsiTheme="minorHAnsi" w:cstheme="minorHAnsi"/>
        </w:rPr>
        <w:t xml:space="preserve"> </w:t>
      </w:r>
      <w:r w:rsidR="005C5C7F" w:rsidRPr="007652E3">
        <w:rPr>
          <w:rFonts w:asciiTheme="minorHAnsi" w:hAnsiTheme="minorHAnsi" w:cstheme="minorHAnsi"/>
        </w:rPr>
        <w:t>miejscowym planem zagospodarowania przestrzennego (</w:t>
      </w:r>
      <w:hyperlink r:id="rId12" w:anchor="/document/17497783?unitId=art(80)ust(2)" w:history="1">
        <w:r w:rsidR="005C5C7F" w:rsidRPr="007652E3">
          <w:rPr>
            <w:rFonts w:asciiTheme="minorHAnsi" w:hAnsiTheme="minorHAnsi" w:cstheme="minorHAnsi"/>
          </w:rPr>
          <w:t>art. 80 ust.</w:t>
        </w:r>
        <w:r w:rsidR="004C2AE6" w:rsidRPr="007652E3">
          <w:rPr>
            <w:rFonts w:asciiTheme="minorHAnsi" w:hAnsiTheme="minorHAnsi" w:cstheme="minorHAnsi"/>
          </w:rPr>
          <w:t xml:space="preserve"> </w:t>
        </w:r>
        <w:r w:rsidR="005C5C7F" w:rsidRPr="007652E3">
          <w:rPr>
            <w:rFonts w:asciiTheme="minorHAnsi" w:hAnsiTheme="minorHAnsi" w:cstheme="minorHAnsi"/>
          </w:rPr>
          <w:t>2</w:t>
        </w:r>
      </w:hyperlink>
      <w:r w:rsidR="004C2AE6" w:rsidRPr="007652E3">
        <w:rPr>
          <w:rFonts w:asciiTheme="minorHAnsi" w:hAnsiTheme="minorHAnsi" w:cstheme="minorHAnsi"/>
        </w:rPr>
        <w:t xml:space="preserve"> </w:t>
      </w:r>
      <w:r w:rsidR="005C5C7F" w:rsidRPr="007652E3">
        <w:rPr>
          <w:rFonts w:asciiTheme="minorHAnsi" w:hAnsiTheme="minorHAnsi" w:cstheme="minorHAnsi"/>
        </w:rPr>
        <w:t xml:space="preserve">ustawy ooś), </w:t>
      </w:r>
      <w:r w:rsidRPr="007652E3">
        <w:rPr>
          <w:rFonts w:asciiTheme="minorHAnsi" w:hAnsiTheme="minorHAnsi" w:cstheme="minorHAnsi"/>
        </w:rPr>
        <w:t>zasadności realizacji przedsięwzięcia w wariancie innym niż proponow</w:t>
      </w:r>
      <w:r w:rsidR="0045330E" w:rsidRPr="007652E3">
        <w:rPr>
          <w:rFonts w:asciiTheme="minorHAnsi" w:hAnsiTheme="minorHAnsi" w:cstheme="minorHAnsi"/>
        </w:rPr>
        <w:t>a</w:t>
      </w:r>
      <w:r w:rsidRPr="007652E3">
        <w:rPr>
          <w:rFonts w:asciiTheme="minorHAnsi" w:hAnsiTheme="minorHAnsi" w:cstheme="minorHAnsi"/>
        </w:rPr>
        <w:t xml:space="preserve">ny przez wnioskodawcę, przy </w:t>
      </w:r>
      <w:r w:rsidR="005C5C7F" w:rsidRPr="007652E3">
        <w:rPr>
          <w:rFonts w:asciiTheme="minorHAnsi" w:hAnsiTheme="minorHAnsi" w:cstheme="minorHAnsi"/>
        </w:rPr>
        <w:t>braku zgody wnioskodawcy na warian</w:t>
      </w:r>
      <w:r w:rsidRPr="007652E3">
        <w:rPr>
          <w:rFonts w:asciiTheme="minorHAnsi" w:hAnsiTheme="minorHAnsi" w:cstheme="minorHAnsi"/>
        </w:rPr>
        <w:t>t</w:t>
      </w:r>
      <w:r w:rsidR="005C5C7F" w:rsidRPr="007652E3">
        <w:rPr>
          <w:rFonts w:asciiTheme="minorHAnsi" w:hAnsiTheme="minorHAnsi" w:cstheme="minorHAnsi"/>
        </w:rPr>
        <w:t xml:space="preserve"> </w:t>
      </w:r>
      <w:r w:rsidRPr="007652E3">
        <w:rPr>
          <w:rFonts w:asciiTheme="minorHAnsi" w:hAnsiTheme="minorHAnsi" w:cstheme="minorHAnsi"/>
        </w:rPr>
        <w:t>dopuszczony</w:t>
      </w:r>
      <w:r w:rsidR="005C5C7F" w:rsidRPr="007652E3">
        <w:rPr>
          <w:rFonts w:asciiTheme="minorHAnsi" w:hAnsiTheme="minorHAnsi" w:cstheme="minorHAnsi"/>
        </w:rPr>
        <w:t xml:space="preserve"> </w:t>
      </w:r>
      <w:r w:rsidR="0045330E" w:rsidRPr="007652E3">
        <w:rPr>
          <w:rFonts w:asciiTheme="minorHAnsi" w:hAnsiTheme="minorHAnsi" w:cstheme="minorHAnsi"/>
        </w:rPr>
        <w:t>do realizacji (</w:t>
      </w:r>
      <w:hyperlink r:id="rId13" w:anchor="/document/17497783?unitId=art(81)ust(1)" w:history="1">
        <w:r w:rsidR="005C5C7F" w:rsidRPr="007652E3">
          <w:rPr>
            <w:rFonts w:asciiTheme="minorHAnsi" w:hAnsiTheme="minorHAnsi" w:cstheme="minorHAnsi"/>
          </w:rPr>
          <w:t>art. 81 ust.</w:t>
        </w:r>
        <w:r w:rsidR="004C2AE6" w:rsidRPr="007652E3">
          <w:rPr>
            <w:rFonts w:asciiTheme="minorHAnsi" w:hAnsiTheme="minorHAnsi" w:cstheme="minorHAnsi"/>
          </w:rPr>
          <w:t xml:space="preserve"> </w:t>
        </w:r>
        <w:r w:rsidR="005C5C7F" w:rsidRPr="007652E3">
          <w:rPr>
            <w:rFonts w:asciiTheme="minorHAnsi" w:hAnsiTheme="minorHAnsi" w:cstheme="minorHAnsi"/>
          </w:rPr>
          <w:t>1</w:t>
        </w:r>
      </w:hyperlink>
      <w:r w:rsidR="004C2AE6" w:rsidRPr="007652E3">
        <w:rPr>
          <w:rFonts w:asciiTheme="minorHAnsi" w:hAnsiTheme="minorHAnsi" w:cstheme="minorHAnsi"/>
        </w:rPr>
        <w:t xml:space="preserve"> </w:t>
      </w:r>
      <w:r w:rsidR="005C5C7F" w:rsidRPr="007652E3">
        <w:rPr>
          <w:rFonts w:asciiTheme="minorHAnsi" w:hAnsiTheme="minorHAnsi" w:cstheme="minorHAnsi"/>
        </w:rPr>
        <w:t>ustawy</w:t>
      </w:r>
      <w:r w:rsidR="005938E7" w:rsidRPr="007652E3">
        <w:rPr>
          <w:rFonts w:asciiTheme="minorHAnsi" w:hAnsiTheme="minorHAnsi" w:cstheme="minorHAnsi"/>
        </w:rPr>
        <w:t xml:space="preserve"> ooś</w:t>
      </w:r>
      <w:r w:rsidR="0045330E" w:rsidRPr="007652E3">
        <w:rPr>
          <w:rFonts w:asciiTheme="minorHAnsi" w:hAnsiTheme="minorHAnsi" w:cstheme="minorHAnsi"/>
        </w:rPr>
        <w:t xml:space="preserve"> w związku z ustawą z dnia 19 lipca 2019 r. o zmianie ustawy ooś)</w:t>
      </w:r>
      <w:r w:rsidR="005C5C7F" w:rsidRPr="007652E3">
        <w:rPr>
          <w:rFonts w:asciiTheme="minorHAnsi" w:hAnsiTheme="minorHAnsi" w:cstheme="minorHAnsi"/>
        </w:rPr>
        <w:t xml:space="preserve">, </w:t>
      </w:r>
      <w:r w:rsidR="0045330E" w:rsidRPr="007652E3">
        <w:rPr>
          <w:rFonts w:asciiTheme="minorHAnsi" w:hAnsiTheme="minorHAnsi" w:cstheme="minorHAnsi"/>
        </w:rPr>
        <w:t xml:space="preserve">możliwości </w:t>
      </w:r>
      <w:r w:rsidR="005C5C7F" w:rsidRPr="007652E3">
        <w:rPr>
          <w:rFonts w:asciiTheme="minorHAnsi" w:hAnsiTheme="minorHAnsi" w:cstheme="minorHAnsi"/>
        </w:rPr>
        <w:t>znaczącego negatywnego oddziaływania na obszar Natura 2000</w:t>
      </w:r>
      <w:r w:rsidR="0045330E" w:rsidRPr="007652E3">
        <w:rPr>
          <w:rFonts w:asciiTheme="minorHAnsi" w:hAnsiTheme="minorHAnsi" w:cstheme="minorHAnsi"/>
        </w:rPr>
        <w:t>,</w:t>
      </w:r>
      <w:r w:rsidR="005C5C7F" w:rsidRPr="007652E3">
        <w:rPr>
          <w:rFonts w:asciiTheme="minorHAnsi" w:hAnsiTheme="minorHAnsi" w:cstheme="minorHAnsi"/>
        </w:rPr>
        <w:t xml:space="preserve"> przy jednoczesnym braku spełnienia przesłanek z</w:t>
      </w:r>
      <w:r w:rsidR="004C2AE6" w:rsidRPr="007652E3">
        <w:rPr>
          <w:rFonts w:asciiTheme="minorHAnsi" w:hAnsiTheme="minorHAnsi" w:cstheme="minorHAnsi"/>
        </w:rPr>
        <w:t xml:space="preserve"> </w:t>
      </w:r>
      <w:hyperlink r:id="rId14" w:anchor="/document/17091515?unitId=art(34)" w:history="1">
        <w:r w:rsidR="005C5C7F" w:rsidRPr="007652E3">
          <w:rPr>
            <w:rFonts w:asciiTheme="minorHAnsi" w:hAnsiTheme="minorHAnsi" w:cstheme="minorHAnsi"/>
          </w:rPr>
          <w:t>art. 34</w:t>
        </w:r>
      </w:hyperlink>
      <w:r w:rsidR="004C2AE6" w:rsidRPr="007652E3">
        <w:rPr>
          <w:rFonts w:asciiTheme="minorHAnsi" w:hAnsiTheme="minorHAnsi" w:cstheme="minorHAnsi"/>
        </w:rPr>
        <w:t xml:space="preserve"> </w:t>
      </w:r>
      <w:r w:rsidR="005938E7" w:rsidRPr="007652E3">
        <w:rPr>
          <w:rFonts w:asciiTheme="minorHAnsi" w:hAnsiTheme="minorHAnsi" w:cstheme="minorHAnsi"/>
        </w:rPr>
        <w:t xml:space="preserve">ustawy z dnia 16 kwietnia 2004 r. o ochronie przyrody </w:t>
      </w:r>
      <w:r w:rsidR="005C5C7F" w:rsidRPr="007652E3">
        <w:rPr>
          <w:rFonts w:asciiTheme="minorHAnsi" w:hAnsiTheme="minorHAnsi" w:cstheme="minorHAnsi"/>
        </w:rPr>
        <w:t>(</w:t>
      </w:r>
      <w:hyperlink r:id="rId15" w:anchor="/document/17497783?unitId=art(81)ust(2)" w:history="1">
        <w:r w:rsidR="005C5C7F" w:rsidRPr="007652E3">
          <w:rPr>
            <w:rFonts w:asciiTheme="minorHAnsi" w:hAnsiTheme="minorHAnsi" w:cstheme="minorHAnsi"/>
          </w:rPr>
          <w:t>art. 81 ust.</w:t>
        </w:r>
        <w:r w:rsidR="004C2AE6" w:rsidRPr="007652E3">
          <w:rPr>
            <w:rFonts w:asciiTheme="minorHAnsi" w:hAnsiTheme="minorHAnsi" w:cstheme="minorHAnsi"/>
          </w:rPr>
          <w:t xml:space="preserve"> </w:t>
        </w:r>
        <w:r w:rsidR="005C5C7F" w:rsidRPr="007652E3">
          <w:rPr>
            <w:rFonts w:asciiTheme="minorHAnsi" w:hAnsiTheme="minorHAnsi" w:cstheme="minorHAnsi"/>
          </w:rPr>
          <w:t>2</w:t>
        </w:r>
      </w:hyperlink>
      <w:r w:rsidR="004C2AE6" w:rsidRPr="007652E3">
        <w:rPr>
          <w:rFonts w:asciiTheme="minorHAnsi" w:hAnsiTheme="minorHAnsi" w:cstheme="minorHAnsi"/>
        </w:rPr>
        <w:t xml:space="preserve"> </w:t>
      </w:r>
      <w:r w:rsidR="005C5C7F" w:rsidRPr="007652E3">
        <w:rPr>
          <w:rFonts w:asciiTheme="minorHAnsi" w:hAnsiTheme="minorHAnsi" w:cstheme="minorHAnsi"/>
        </w:rPr>
        <w:t>ustawy</w:t>
      </w:r>
      <w:r w:rsidR="0045330E" w:rsidRPr="007652E3">
        <w:rPr>
          <w:rFonts w:asciiTheme="minorHAnsi" w:hAnsiTheme="minorHAnsi" w:cstheme="minorHAnsi"/>
        </w:rPr>
        <w:t xml:space="preserve"> ooś</w:t>
      </w:r>
      <w:r w:rsidR="005C5C7F" w:rsidRPr="007652E3">
        <w:rPr>
          <w:rFonts w:asciiTheme="minorHAnsi" w:hAnsiTheme="minorHAnsi" w:cstheme="minorHAnsi"/>
        </w:rPr>
        <w:t xml:space="preserve">), </w:t>
      </w:r>
      <w:r w:rsidR="0045330E" w:rsidRPr="007652E3">
        <w:rPr>
          <w:rFonts w:asciiTheme="minorHAnsi" w:hAnsiTheme="minorHAnsi" w:cstheme="minorHAnsi"/>
        </w:rPr>
        <w:t>negatywnym wpływie</w:t>
      </w:r>
      <w:r w:rsidR="005C5C7F" w:rsidRPr="007652E3">
        <w:rPr>
          <w:rFonts w:asciiTheme="minorHAnsi" w:hAnsiTheme="minorHAnsi" w:cstheme="minorHAnsi"/>
        </w:rPr>
        <w:t xml:space="preserve"> przedsięwzięci</w:t>
      </w:r>
      <w:r w:rsidR="0045330E" w:rsidRPr="007652E3">
        <w:rPr>
          <w:rFonts w:asciiTheme="minorHAnsi" w:hAnsiTheme="minorHAnsi" w:cstheme="minorHAnsi"/>
        </w:rPr>
        <w:t>a</w:t>
      </w:r>
      <w:r w:rsidR="005C5C7F" w:rsidRPr="007652E3">
        <w:rPr>
          <w:rFonts w:asciiTheme="minorHAnsi" w:hAnsiTheme="minorHAnsi" w:cstheme="minorHAnsi"/>
        </w:rPr>
        <w:t xml:space="preserve"> </w:t>
      </w:r>
      <w:r w:rsidR="0045330E" w:rsidRPr="007652E3">
        <w:rPr>
          <w:rFonts w:asciiTheme="minorHAnsi" w:hAnsiTheme="minorHAnsi" w:cstheme="minorHAnsi"/>
        </w:rPr>
        <w:t>na możliwość</w:t>
      </w:r>
      <w:r w:rsidR="005C5C7F" w:rsidRPr="007652E3">
        <w:rPr>
          <w:rFonts w:asciiTheme="minorHAnsi" w:hAnsiTheme="minorHAnsi" w:cstheme="minorHAnsi"/>
        </w:rPr>
        <w:t xml:space="preserve"> osiągnięci</w:t>
      </w:r>
      <w:r w:rsidR="0045330E" w:rsidRPr="007652E3">
        <w:rPr>
          <w:rFonts w:asciiTheme="minorHAnsi" w:hAnsiTheme="minorHAnsi" w:cstheme="minorHAnsi"/>
        </w:rPr>
        <w:t>a</w:t>
      </w:r>
      <w:r w:rsidR="005C5C7F" w:rsidRPr="007652E3">
        <w:rPr>
          <w:rFonts w:asciiTheme="minorHAnsi" w:hAnsiTheme="minorHAnsi" w:cstheme="minorHAnsi"/>
        </w:rPr>
        <w:t xml:space="preserve"> celów środowiskowych</w:t>
      </w:r>
      <w:r w:rsidR="0045330E" w:rsidRPr="007652E3">
        <w:rPr>
          <w:rFonts w:asciiTheme="minorHAnsi" w:hAnsiTheme="minorHAnsi" w:cstheme="minorHAnsi"/>
        </w:rPr>
        <w:t>, o których mowa w</w:t>
      </w:r>
      <w:r w:rsidR="005C5C7F" w:rsidRPr="007652E3">
        <w:rPr>
          <w:rFonts w:asciiTheme="minorHAnsi" w:hAnsiTheme="minorHAnsi" w:cstheme="minorHAnsi"/>
        </w:rPr>
        <w:t xml:space="preserve"> </w:t>
      </w:r>
      <w:r w:rsidR="0045330E" w:rsidRPr="007652E3">
        <w:rPr>
          <w:rFonts w:asciiTheme="minorHAnsi" w:hAnsiTheme="minorHAnsi" w:cstheme="minorHAnsi"/>
        </w:rPr>
        <w:t>art. 56, art. 57, art. 59 oraz art. 61 ustawy z dnia 20 lipca 2017 r. - Prawo wodne</w:t>
      </w:r>
      <w:r w:rsidR="005C5C7F" w:rsidRPr="007652E3">
        <w:rPr>
          <w:rFonts w:asciiTheme="minorHAnsi" w:hAnsiTheme="minorHAnsi" w:cstheme="minorHAnsi"/>
        </w:rPr>
        <w:t>, przy jednoczesnym braku spełnienia przesłanek z</w:t>
      </w:r>
      <w:r w:rsidR="004C2AE6" w:rsidRPr="007652E3">
        <w:rPr>
          <w:rFonts w:asciiTheme="minorHAnsi" w:hAnsiTheme="minorHAnsi" w:cstheme="minorHAnsi"/>
        </w:rPr>
        <w:t xml:space="preserve"> </w:t>
      </w:r>
      <w:hyperlink r:id="rId16" w:anchor="/document/16913600?unitId=art(38(j))" w:history="1">
        <w:r w:rsidR="005C5C7F" w:rsidRPr="007652E3">
          <w:rPr>
            <w:rFonts w:asciiTheme="minorHAnsi" w:hAnsiTheme="minorHAnsi" w:cstheme="minorHAnsi"/>
          </w:rPr>
          <w:t>art. 38j</w:t>
        </w:r>
      </w:hyperlink>
      <w:r w:rsidR="004C2AE6" w:rsidRPr="007652E3">
        <w:rPr>
          <w:rFonts w:asciiTheme="minorHAnsi" w:hAnsiTheme="minorHAnsi" w:cstheme="minorHAnsi"/>
        </w:rPr>
        <w:t xml:space="preserve"> </w:t>
      </w:r>
      <w:r w:rsidR="0045330E" w:rsidRPr="007652E3">
        <w:rPr>
          <w:rFonts w:asciiTheme="minorHAnsi" w:hAnsiTheme="minorHAnsi" w:cstheme="minorHAnsi"/>
        </w:rPr>
        <w:t xml:space="preserve">tej ustawy </w:t>
      </w:r>
      <w:r w:rsidR="005C5C7F" w:rsidRPr="007652E3">
        <w:rPr>
          <w:rFonts w:asciiTheme="minorHAnsi" w:hAnsiTheme="minorHAnsi" w:cstheme="minorHAnsi"/>
        </w:rPr>
        <w:t>(</w:t>
      </w:r>
      <w:hyperlink r:id="rId17" w:anchor="/document/17497783?unitId=art(81)ust(3)" w:history="1">
        <w:r w:rsidR="005C5C7F" w:rsidRPr="007652E3">
          <w:rPr>
            <w:rFonts w:asciiTheme="minorHAnsi" w:hAnsiTheme="minorHAnsi" w:cstheme="minorHAnsi"/>
          </w:rPr>
          <w:t>art. 81 ust.</w:t>
        </w:r>
        <w:r w:rsidR="004C2AE6" w:rsidRPr="007652E3">
          <w:rPr>
            <w:rFonts w:asciiTheme="minorHAnsi" w:hAnsiTheme="minorHAnsi" w:cstheme="minorHAnsi"/>
          </w:rPr>
          <w:t xml:space="preserve"> </w:t>
        </w:r>
        <w:r w:rsidR="005C5C7F" w:rsidRPr="007652E3">
          <w:rPr>
            <w:rFonts w:asciiTheme="minorHAnsi" w:hAnsiTheme="minorHAnsi" w:cstheme="minorHAnsi"/>
          </w:rPr>
          <w:t>3</w:t>
        </w:r>
      </w:hyperlink>
      <w:r w:rsidR="004C2AE6" w:rsidRPr="007652E3">
        <w:rPr>
          <w:rFonts w:asciiTheme="minorHAnsi" w:hAnsiTheme="minorHAnsi" w:cstheme="minorHAnsi"/>
        </w:rPr>
        <w:t xml:space="preserve"> </w:t>
      </w:r>
      <w:r w:rsidR="005C5C7F" w:rsidRPr="007652E3">
        <w:rPr>
          <w:rFonts w:asciiTheme="minorHAnsi" w:hAnsiTheme="minorHAnsi" w:cstheme="minorHAnsi"/>
        </w:rPr>
        <w:t>ustawy)</w:t>
      </w:r>
      <w:r w:rsidR="003767A7" w:rsidRPr="007652E3">
        <w:rPr>
          <w:rFonts w:asciiTheme="minorHAnsi" w:hAnsiTheme="minorHAnsi" w:cstheme="minorHAnsi"/>
        </w:rPr>
        <w:t xml:space="preserve"> </w:t>
      </w:r>
      <w:r w:rsidR="005938E7" w:rsidRPr="007652E3">
        <w:rPr>
          <w:rFonts w:asciiTheme="minorHAnsi" w:hAnsiTheme="minorHAnsi" w:cstheme="minorHAnsi"/>
        </w:rPr>
        <w:t xml:space="preserve">(por. wyrok WSA w </w:t>
      </w:r>
      <w:r w:rsidR="006B4DED" w:rsidRPr="007652E3">
        <w:rPr>
          <w:rFonts w:asciiTheme="minorHAnsi" w:hAnsiTheme="minorHAnsi" w:cstheme="minorHAnsi"/>
        </w:rPr>
        <w:t>Łodzi</w:t>
      </w:r>
      <w:r w:rsidR="005938E7" w:rsidRPr="007652E3">
        <w:rPr>
          <w:rFonts w:asciiTheme="minorHAnsi" w:hAnsiTheme="minorHAnsi" w:cstheme="minorHAnsi"/>
        </w:rPr>
        <w:t xml:space="preserve"> z dnia</w:t>
      </w:r>
      <w:r w:rsidR="00C425DD" w:rsidRPr="007652E3">
        <w:rPr>
          <w:rFonts w:asciiTheme="minorHAnsi" w:hAnsiTheme="minorHAnsi" w:cstheme="minorHAnsi"/>
        </w:rPr>
        <w:t xml:space="preserve"> </w:t>
      </w:r>
      <w:r w:rsidR="006B4DED" w:rsidRPr="007652E3">
        <w:rPr>
          <w:rFonts w:asciiTheme="minorHAnsi" w:hAnsiTheme="minorHAnsi" w:cstheme="minorHAnsi"/>
        </w:rPr>
        <w:t>14 czerwca 2013</w:t>
      </w:r>
      <w:r w:rsidR="005938E7" w:rsidRPr="007652E3">
        <w:rPr>
          <w:rFonts w:asciiTheme="minorHAnsi" w:hAnsiTheme="minorHAnsi" w:cstheme="minorHAnsi"/>
        </w:rPr>
        <w:t xml:space="preserve"> r. sygn. akt II SA/</w:t>
      </w:r>
      <w:r w:rsidR="006B4DED" w:rsidRPr="007652E3">
        <w:rPr>
          <w:rFonts w:asciiTheme="minorHAnsi" w:hAnsiTheme="minorHAnsi" w:cstheme="minorHAnsi"/>
        </w:rPr>
        <w:t>Łd 285</w:t>
      </w:r>
      <w:r w:rsidR="005938E7" w:rsidRPr="007652E3">
        <w:rPr>
          <w:rFonts w:asciiTheme="minorHAnsi" w:hAnsiTheme="minorHAnsi" w:cstheme="minorHAnsi"/>
        </w:rPr>
        <w:t>/</w:t>
      </w:r>
      <w:r w:rsidR="006B4DED" w:rsidRPr="007652E3">
        <w:rPr>
          <w:rFonts w:asciiTheme="minorHAnsi" w:hAnsiTheme="minorHAnsi" w:cstheme="minorHAnsi"/>
        </w:rPr>
        <w:t>13</w:t>
      </w:r>
      <w:r w:rsidR="006F206E" w:rsidRPr="007652E3">
        <w:rPr>
          <w:rFonts w:asciiTheme="minorHAnsi" w:hAnsiTheme="minorHAnsi" w:cstheme="minorHAnsi"/>
        </w:rPr>
        <w:t>).</w:t>
      </w:r>
      <w:r w:rsidR="000B10C0" w:rsidRPr="007652E3">
        <w:rPr>
          <w:rFonts w:asciiTheme="minorHAnsi" w:hAnsiTheme="minorHAnsi" w:cstheme="minorHAnsi"/>
        </w:rPr>
        <w:t xml:space="preserve"> Brak jest więc podstaw do uchylenia decyzji RDOŚ w Krakowie z dnia 13 czerwca 2018 r. i orzeczenia o odmowie zgody na realizację przedsięwzięcia.</w:t>
      </w:r>
    </w:p>
    <w:p w14:paraId="4E463043" w14:textId="64893388" w:rsidR="00E44562" w:rsidRPr="007652E3" w:rsidRDefault="00E44562" w:rsidP="007652E3">
      <w:pPr>
        <w:spacing w:line="312" w:lineRule="auto"/>
        <w:rPr>
          <w:rFonts w:asciiTheme="minorHAnsi" w:hAnsiTheme="minorHAnsi" w:cstheme="minorHAnsi"/>
        </w:rPr>
      </w:pPr>
      <w:r w:rsidRPr="007652E3">
        <w:rPr>
          <w:rFonts w:asciiTheme="minorHAnsi" w:hAnsiTheme="minorHAnsi" w:cstheme="minorHAnsi"/>
        </w:rPr>
        <w:t xml:space="preserve">Zgodnie z art. 138 § 2 </w:t>
      </w:r>
      <w:r w:rsidR="00B272E1" w:rsidRPr="007652E3">
        <w:rPr>
          <w:rFonts w:asciiTheme="minorHAnsi" w:hAnsiTheme="minorHAnsi" w:cstheme="minorHAnsi"/>
        </w:rPr>
        <w:t>k</w:t>
      </w:r>
      <w:r w:rsidRPr="007652E3">
        <w:rPr>
          <w:rFonts w:asciiTheme="minorHAnsi" w:hAnsiTheme="minorHAnsi" w:cstheme="minorHAnsi"/>
        </w:rPr>
        <w:t xml:space="preserve">pa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w:t>
      </w:r>
      <w:r w:rsidRPr="007652E3">
        <w:rPr>
          <w:rFonts w:asciiTheme="minorHAnsi" w:hAnsiTheme="minorHAnsi" w:cstheme="minorHAnsi"/>
        </w:rPr>
        <w:lastRenderedPageBreak/>
        <w:t xml:space="preserve">organ ten powinien wskazać, jakie okoliczności należy wziąć pod uwagę przy ponownym rozpatrzeniu sprawy. </w:t>
      </w:r>
    </w:p>
    <w:p w14:paraId="1877181A" w14:textId="1349D4DB" w:rsidR="00E44562" w:rsidRPr="007652E3" w:rsidRDefault="00E44562" w:rsidP="007652E3">
      <w:pPr>
        <w:spacing w:line="312" w:lineRule="auto"/>
        <w:rPr>
          <w:rFonts w:asciiTheme="minorHAnsi" w:hAnsiTheme="minorHAnsi" w:cstheme="minorHAnsi"/>
        </w:rPr>
      </w:pPr>
      <w:r w:rsidRPr="007652E3">
        <w:rPr>
          <w:rFonts w:asciiTheme="minorHAnsi" w:hAnsiTheme="minorHAnsi" w:cstheme="minorHAnsi"/>
        </w:rPr>
        <w:t>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 Adamiak, J. Borkowski, Kodeks postępowania administracyjnego. Komentarz, Wydawnictwo C.H. Beck, Warszawa 2016, str. 620-621 oraz wyrok NSA z dnia 4 marca 2014</w:t>
      </w:r>
      <w:r w:rsidR="00C425DD" w:rsidRPr="007652E3">
        <w:rPr>
          <w:rFonts w:asciiTheme="minorHAnsi" w:hAnsiTheme="minorHAnsi" w:cstheme="minorHAnsi"/>
        </w:rPr>
        <w:t xml:space="preserve"> </w:t>
      </w:r>
      <w:r w:rsidRPr="007652E3">
        <w:rPr>
          <w:rFonts w:asciiTheme="minorHAnsi" w:hAnsiTheme="minorHAnsi" w:cstheme="minorHAnsi"/>
        </w:rPr>
        <w:t>r., sygn. akt: II OSK 2396/12). Nieprzeprowadzenie przez organ pierwszej instancji, w</w:t>
      </w:r>
      <w:r w:rsidR="00C425DD" w:rsidRPr="007652E3">
        <w:rPr>
          <w:rFonts w:asciiTheme="minorHAnsi" w:hAnsiTheme="minorHAnsi" w:cstheme="minorHAnsi"/>
        </w:rPr>
        <w:t xml:space="preserve"> </w:t>
      </w:r>
      <w:r w:rsidRPr="007652E3">
        <w:rPr>
          <w:rFonts w:asciiTheme="minorHAnsi" w:hAnsiTheme="minorHAnsi" w:cstheme="minorHAnsi"/>
        </w:rPr>
        <w:t xml:space="preserve">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w:t>
      </w:r>
      <w:r w:rsidR="00B272E1" w:rsidRPr="007652E3">
        <w:rPr>
          <w:rFonts w:asciiTheme="minorHAnsi" w:hAnsiTheme="minorHAnsi" w:cstheme="minorHAnsi"/>
        </w:rPr>
        <w:t>k</w:t>
      </w:r>
      <w:r w:rsidRPr="007652E3">
        <w:rPr>
          <w:rFonts w:asciiTheme="minorHAnsi" w:hAnsiTheme="minorHAnsi" w:cstheme="minorHAnsi"/>
        </w:rPr>
        <w:t xml:space="preserve">pa, nie może konwalidować takiej wadliwości postępowania pierwszoinstancyjnego, bowiem naruszyłby, wyrażoną w art. 15 </w:t>
      </w:r>
      <w:r w:rsidR="00B272E1" w:rsidRPr="007652E3">
        <w:rPr>
          <w:rFonts w:asciiTheme="minorHAnsi" w:hAnsiTheme="minorHAnsi" w:cstheme="minorHAnsi"/>
        </w:rPr>
        <w:t>k</w:t>
      </w:r>
      <w:r w:rsidRPr="007652E3">
        <w:rPr>
          <w:rFonts w:asciiTheme="minorHAnsi" w:hAnsiTheme="minorHAnsi" w:cstheme="minorHAnsi"/>
        </w:rPr>
        <w:t xml:space="preserve">pa, zasadę dwuinstancyjności postępowania administracyjnego (por. wyrok NSA z dnia 6 sierpnia 2018 r., sygn. akt: II OSK 590/18). Konkludując, podstawą do wydania decyzji kasacyjnej, o której mowa w analizowanym przepisie, jest wystąpienie takiego naruszenia przepisów postępowania, którego następstwem jest niewyjaśnienie </w:t>
      </w:r>
      <w:r w:rsidRPr="007652E3">
        <w:rPr>
          <w:rFonts w:asciiTheme="minorHAnsi" w:hAnsiTheme="minorHAnsi" w:cstheme="minorHAnsi"/>
        </w:rPr>
        <w:lastRenderedPageBreak/>
        <w:t xml:space="preserve">podstawowych okoliczności stanu faktycznego sprawy, bez którego nie można sprawy rozstrzygnąć co do istoty, przy czym możliwość ich uzupełnienia przez organ odwoławczy nie mieści się w granicach zakreślonych w art. 136 </w:t>
      </w:r>
      <w:r w:rsidR="00B272E1" w:rsidRPr="007652E3">
        <w:rPr>
          <w:rFonts w:asciiTheme="minorHAnsi" w:hAnsiTheme="minorHAnsi" w:cstheme="minorHAnsi"/>
        </w:rPr>
        <w:t>k</w:t>
      </w:r>
      <w:r w:rsidRPr="007652E3">
        <w:rPr>
          <w:rFonts w:asciiTheme="minorHAnsi" w:hAnsiTheme="minorHAnsi" w:cstheme="minorHAnsi"/>
        </w:rPr>
        <w:t xml:space="preserve">pa. Z sytuacją taką mamy do czynienia w omawianej sprawie. </w:t>
      </w:r>
    </w:p>
    <w:p w14:paraId="4622E13F" w14:textId="58E417A9" w:rsidR="009E390A" w:rsidRPr="007652E3" w:rsidRDefault="009E390A" w:rsidP="007652E3">
      <w:pPr>
        <w:spacing w:line="312" w:lineRule="auto"/>
        <w:rPr>
          <w:rFonts w:asciiTheme="minorHAnsi" w:hAnsiTheme="minorHAnsi" w:cstheme="minorHAnsi"/>
          <w:color w:val="333333"/>
          <w:shd w:val="clear" w:color="auto" w:fill="FFFFFF"/>
        </w:rPr>
      </w:pPr>
      <w:r w:rsidRPr="007652E3">
        <w:rPr>
          <w:rFonts w:asciiTheme="minorHAnsi" w:hAnsiTheme="minorHAnsi" w:cstheme="minorHAnsi"/>
        </w:rPr>
        <w:t xml:space="preserve">Raport z 2017 r. zawierał istotne braki dotyczące wariantowania przedsięwzięcia, </w:t>
      </w:r>
      <w:r w:rsidR="0038268F" w:rsidRPr="007652E3">
        <w:rPr>
          <w:rFonts w:asciiTheme="minorHAnsi" w:hAnsiTheme="minorHAnsi" w:cstheme="minorHAnsi"/>
        </w:rPr>
        <w:t>w tym w szczególności nie wskazywał, który z wariantów przedsięwzięcia jest wariantem proponowanym przez wnioskodawcę</w:t>
      </w:r>
      <w:r w:rsidR="00131EB7" w:rsidRPr="007652E3">
        <w:rPr>
          <w:rFonts w:asciiTheme="minorHAnsi" w:hAnsiTheme="minorHAnsi" w:cstheme="minorHAnsi"/>
        </w:rPr>
        <w:t>, co legło u podstaw uchylenia decyzji GDOŚ z dnia 19 marca 2019 r. przez WSA w Warszawie</w:t>
      </w:r>
      <w:r w:rsidR="0038268F" w:rsidRPr="007652E3">
        <w:rPr>
          <w:rFonts w:asciiTheme="minorHAnsi" w:hAnsiTheme="minorHAnsi" w:cstheme="minorHAnsi"/>
        </w:rPr>
        <w:t>. W konsekwencji nie wiadomo, dla jakiego wariantu przedsięwzięcia (o jakich parametrach technicznych i technologicznych) została wydana decyzja RDOŚ w Krakowie z dnia 13 czerwca 2018 r., z samej treści decyzji również to nie wynika.</w:t>
      </w:r>
      <w:r w:rsidR="00131EB7" w:rsidRPr="007652E3">
        <w:rPr>
          <w:rFonts w:asciiTheme="minorHAnsi" w:hAnsiTheme="minorHAnsi" w:cstheme="minorHAnsi"/>
        </w:rPr>
        <w:t xml:space="preserve"> W decyzji organ pierwszej instancji wskazał, że </w:t>
      </w:r>
      <w:r w:rsidR="005C70D3" w:rsidRPr="007652E3">
        <w:rPr>
          <w:rFonts w:asciiTheme="minorHAnsi" w:hAnsiTheme="minorHAnsi" w:cstheme="minorHAnsi"/>
          <w:iCs/>
        </w:rPr>
        <w:t>przeprowadzona analiza wielokryterialna wykazała, że najbardziej wskazanym</w:t>
      </w:r>
      <w:r w:rsidR="005C70D3" w:rsidRPr="007652E3">
        <w:rPr>
          <w:rFonts w:asciiTheme="minorHAnsi" w:hAnsiTheme="minorHAnsi" w:cstheme="minorHAnsi"/>
        </w:rPr>
        <w:t xml:space="preserve"> </w:t>
      </w:r>
      <w:r w:rsidR="00131EB7" w:rsidRPr="007652E3">
        <w:rPr>
          <w:rFonts w:asciiTheme="minorHAnsi" w:hAnsiTheme="minorHAnsi" w:cstheme="minorHAnsi"/>
          <w:iCs/>
        </w:rPr>
        <w:t xml:space="preserve"> rozwiązaniem dla realizacji budowy instalacji kogeneracji do produkcji energii z przetworzonych odpadów </w:t>
      </w:r>
      <w:r w:rsidR="005C70D3" w:rsidRPr="007652E3">
        <w:rPr>
          <w:rFonts w:asciiTheme="minorHAnsi" w:hAnsiTheme="minorHAnsi" w:cstheme="minorHAnsi"/>
          <w:iCs/>
        </w:rPr>
        <w:t>będzie</w:t>
      </w:r>
      <w:r w:rsidR="00131EB7" w:rsidRPr="007652E3">
        <w:rPr>
          <w:rFonts w:asciiTheme="minorHAnsi" w:hAnsiTheme="minorHAnsi" w:cstheme="minorHAnsi"/>
          <w:iCs/>
        </w:rPr>
        <w:t xml:space="preserve"> zastosowanie technologii pieca obrotowego</w:t>
      </w:r>
      <w:r w:rsidR="005C70D3" w:rsidRPr="007652E3">
        <w:rPr>
          <w:rFonts w:asciiTheme="minorHAnsi" w:hAnsiTheme="minorHAnsi" w:cstheme="minorHAnsi"/>
          <w:iCs/>
        </w:rPr>
        <w:t>, lub zastosowanie technologii pieca z paleniskiem pochyłym lub paleniskiem rusztowym jako technologii równie adekwatnych</w:t>
      </w:r>
      <w:r w:rsidR="00131EB7" w:rsidRPr="007652E3">
        <w:rPr>
          <w:rFonts w:asciiTheme="minorHAnsi" w:hAnsiTheme="minorHAnsi" w:cstheme="minorHAnsi"/>
        </w:rPr>
        <w:t xml:space="preserve"> (str. </w:t>
      </w:r>
      <w:r w:rsidR="005C70D3" w:rsidRPr="007652E3">
        <w:rPr>
          <w:rFonts w:asciiTheme="minorHAnsi" w:hAnsiTheme="minorHAnsi" w:cstheme="minorHAnsi"/>
        </w:rPr>
        <w:t>11-12</w:t>
      </w:r>
      <w:r w:rsidR="00131EB7" w:rsidRPr="007652E3">
        <w:rPr>
          <w:rFonts w:asciiTheme="minorHAnsi" w:hAnsiTheme="minorHAnsi" w:cstheme="minorHAnsi"/>
        </w:rPr>
        <w:t xml:space="preserve"> decyzji), natomiast na etapie postępowania odwoławczego inwestor jako wariant proponowany do realizacji wskazał wariant, który obejmuje budowę kotła parowego zintegrowanego z paleniskiem rusztowym (str. </w:t>
      </w:r>
      <w:r w:rsidR="00D66CA8" w:rsidRPr="007652E3">
        <w:rPr>
          <w:rFonts w:asciiTheme="minorHAnsi" w:hAnsiTheme="minorHAnsi" w:cstheme="minorHAnsi"/>
        </w:rPr>
        <w:t xml:space="preserve">5 </w:t>
      </w:r>
      <w:r w:rsidR="00131EB7" w:rsidRPr="007652E3">
        <w:rPr>
          <w:rFonts w:asciiTheme="minorHAnsi" w:hAnsiTheme="minorHAnsi" w:cstheme="minorHAnsi"/>
        </w:rPr>
        <w:t>uzupełnienia do raportu z kwietnia 2022 r.).</w:t>
      </w:r>
      <w:r w:rsidR="00750848" w:rsidRPr="007652E3">
        <w:rPr>
          <w:rFonts w:asciiTheme="minorHAnsi" w:hAnsiTheme="minorHAnsi" w:cstheme="minorHAnsi"/>
        </w:rPr>
        <w:t xml:space="preserve"> Z zaskarżonej decyzji nie wynika, że określa ona środowiskowe uwarunkowania realizacji przedsięwzięcia w wariancie polegającym na budowie kotła parowego zintegrowanego z paleniskiem rusztowym.</w:t>
      </w:r>
    </w:p>
    <w:p w14:paraId="0245E90F" w14:textId="56F68B0E" w:rsidR="002F10C8" w:rsidRPr="007652E3" w:rsidRDefault="002F10C8" w:rsidP="007652E3">
      <w:pPr>
        <w:spacing w:line="312" w:lineRule="auto"/>
        <w:rPr>
          <w:rStyle w:val="info-list-value-uzasadnienie"/>
          <w:rFonts w:asciiTheme="minorHAnsi" w:hAnsiTheme="minorHAnsi" w:cstheme="minorHAnsi"/>
        </w:rPr>
      </w:pPr>
      <w:r w:rsidRPr="007652E3">
        <w:rPr>
          <w:rStyle w:val="info-list-value-uzasadnienie"/>
          <w:rFonts w:asciiTheme="minorHAnsi" w:hAnsiTheme="minorHAnsi" w:cstheme="minorHAnsi"/>
        </w:rPr>
        <w:lastRenderedPageBreak/>
        <w:t>Warianty wskazane w uzupełnieniu do raportu z kwietnia 2022 r.</w:t>
      </w:r>
      <w:r w:rsidR="00D577EF" w:rsidRPr="007652E3">
        <w:rPr>
          <w:rStyle w:val="info-list-value-uzasadnienie"/>
          <w:rFonts w:asciiTheme="minorHAnsi" w:hAnsiTheme="minorHAnsi" w:cstheme="minorHAnsi"/>
        </w:rPr>
        <w:t xml:space="preserve">, tj. </w:t>
      </w:r>
      <w:r w:rsidR="00D577EF" w:rsidRPr="007652E3">
        <w:rPr>
          <w:rFonts w:asciiTheme="minorHAnsi" w:hAnsiTheme="minorHAnsi" w:cstheme="minorHAnsi"/>
        </w:rPr>
        <w:t>budowa kotła parowego zintegrowanego z paleniskiem rusztowym (wariant 1)</w:t>
      </w:r>
      <w:r w:rsidRPr="007652E3">
        <w:rPr>
          <w:rStyle w:val="info-list-value-uzasadnienie"/>
          <w:rFonts w:asciiTheme="minorHAnsi" w:hAnsiTheme="minorHAnsi" w:cstheme="minorHAnsi"/>
        </w:rPr>
        <w:t xml:space="preserve"> </w:t>
      </w:r>
      <w:r w:rsidR="00D577EF" w:rsidRPr="007652E3">
        <w:rPr>
          <w:rStyle w:val="info-list-value-uzasadnienie"/>
          <w:rFonts w:asciiTheme="minorHAnsi" w:hAnsiTheme="minorHAnsi" w:cstheme="minorHAnsi"/>
        </w:rPr>
        <w:t xml:space="preserve">– </w:t>
      </w:r>
      <w:r w:rsidRPr="007652E3">
        <w:rPr>
          <w:rStyle w:val="info-list-value-uzasadnienie"/>
          <w:rFonts w:asciiTheme="minorHAnsi" w:hAnsiTheme="minorHAnsi" w:cstheme="minorHAnsi"/>
        </w:rPr>
        <w:t xml:space="preserve">jako </w:t>
      </w:r>
      <w:r w:rsidRPr="007652E3">
        <w:rPr>
          <w:rFonts w:asciiTheme="minorHAnsi" w:hAnsiTheme="minorHAnsi" w:cstheme="minorHAnsi"/>
        </w:rPr>
        <w:t>wariant proponowany przez wnioskodawcę</w:t>
      </w:r>
      <w:r w:rsidR="00D577EF" w:rsidRPr="007652E3">
        <w:rPr>
          <w:rFonts w:asciiTheme="minorHAnsi" w:hAnsiTheme="minorHAnsi" w:cstheme="minorHAnsi"/>
        </w:rPr>
        <w:t xml:space="preserve"> oraz równocześnie racjonalny wariant najkorzystniejszy dla środowiska</w:t>
      </w:r>
      <w:r w:rsidRPr="007652E3">
        <w:rPr>
          <w:rFonts w:asciiTheme="minorHAnsi" w:hAnsiTheme="minorHAnsi" w:cstheme="minorHAnsi"/>
        </w:rPr>
        <w:t xml:space="preserve">, </w:t>
      </w:r>
      <w:r w:rsidR="00D577EF" w:rsidRPr="007652E3">
        <w:rPr>
          <w:rFonts w:asciiTheme="minorHAnsi" w:hAnsiTheme="minorHAnsi" w:cstheme="minorHAnsi"/>
        </w:rPr>
        <w:t xml:space="preserve">budowa kotła fluidalnego ze złożem cyrkulacyjnym (wariant 2) oraz budowa kotła parowego zintegrowanego z paleniskiem obrotowym (wariant 3) – jako </w:t>
      </w:r>
      <w:r w:rsidRPr="007652E3">
        <w:rPr>
          <w:rFonts w:asciiTheme="minorHAnsi" w:hAnsiTheme="minorHAnsi" w:cstheme="minorHAnsi"/>
        </w:rPr>
        <w:t>racjonaln</w:t>
      </w:r>
      <w:r w:rsidR="00D577EF" w:rsidRPr="007652E3">
        <w:rPr>
          <w:rFonts w:asciiTheme="minorHAnsi" w:hAnsiTheme="minorHAnsi" w:cstheme="minorHAnsi"/>
        </w:rPr>
        <w:t>e</w:t>
      </w:r>
      <w:r w:rsidRPr="007652E3">
        <w:rPr>
          <w:rFonts w:asciiTheme="minorHAnsi" w:hAnsiTheme="minorHAnsi" w:cstheme="minorHAnsi"/>
        </w:rPr>
        <w:t xml:space="preserve"> wariant</w:t>
      </w:r>
      <w:r w:rsidR="00D577EF" w:rsidRPr="007652E3">
        <w:rPr>
          <w:rFonts w:asciiTheme="minorHAnsi" w:hAnsiTheme="minorHAnsi" w:cstheme="minorHAnsi"/>
        </w:rPr>
        <w:t>y</w:t>
      </w:r>
      <w:r w:rsidRPr="007652E3">
        <w:rPr>
          <w:rFonts w:asciiTheme="minorHAnsi" w:hAnsiTheme="minorHAnsi" w:cstheme="minorHAnsi"/>
        </w:rPr>
        <w:t xml:space="preserve"> alternatywn</w:t>
      </w:r>
      <w:r w:rsidR="00D577EF" w:rsidRPr="007652E3">
        <w:rPr>
          <w:rFonts w:asciiTheme="minorHAnsi" w:hAnsiTheme="minorHAnsi" w:cstheme="minorHAnsi"/>
        </w:rPr>
        <w:t>e</w:t>
      </w:r>
      <w:r w:rsidRPr="007652E3">
        <w:rPr>
          <w:rFonts w:asciiTheme="minorHAnsi" w:hAnsiTheme="minorHAnsi" w:cstheme="minorHAnsi"/>
        </w:rPr>
        <w:t xml:space="preserve"> </w:t>
      </w:r>
      <w:r w:rsidR="00D577EF" w:rsidRPr="007652E3">
        <w:rPr>
          <w:rFonts w:asciiTheme="minorHAnsi" w:hAnsiTheme="minorHAnsi" w:cstheme="minorHAnsi"/>
        </w:rPr>
        <w:t>nie zostały poddane ocenie w</w:t>
      </w:r>
      <w:r w:rsidRPr="007652E3">
        <w:rPr>
          <w:rStyle w:val="info-list-value-uzasadnienie"/>
          <w:rFonts w:asciiTheme="minorHAnsi" w:hAnsiTheme="minorHAnsi" w:cstheme="minorHAnsi"/>
        </w:rPr>
        <w:t xml:space="preserve"> postępowani</w:t>
      </w:r>
      <w:r w:rsidR="00D577EF" w:rsidRPr="007652E3">
        <w:rPr>
          <w:rStyle w:val="info-list-value-uzasadnienie"/>
          <w:rFonts w:asciiTheme="minorHAnsi" w:hAnsiTheme="minorHAnsi" w:cstheme="minorHAnsi"/>
        </w:rPr>
        <w:t>u</w:t>
      </w:r>
      <w:r w:rsidRPr="007652E3">
        <w:rPr>
          <w:rStyle w:val="info-list-value-uzasadnienie"/>
          <w:rFonts w:asciiTheme="minorHAnsi" w:hAnsiTheme="minorHAnsi" w:cstheme="minorHAnsi"/>
        </w:rPr>
        <w:t xml:space="preserve"> prowadzon</w:t>
      </w:r>
      <w:r w:rsidR="00D577EF" w:rsidRPr="007652E3">
        <w:rPr>
          <w:rStyle w:val="info-list-value-uzasadnienie"/>
          <w:rFonts w:asciiTheme="minorHAnsi" w:hAnsiTheme="minorHAnsi" w:cstheme="minorHAnsi"/>
        </w:rPr>
        <w:t>ym</w:t>
      </w:r>
      <w:r w:rsidRPr="007652E3">
        <w:rPr>
          <w:rStyle w:val="info-list-value-uzasadnienie"/>
          <w:rFonts w:asciiTheme="minorHAnsi" w:hAnsiTheme="minorHAnsi" w:cstheme="minorHAnsi"/>
        </w:rPr>
        <w:t xml:space="preserve"> przez organ </w:t>
      </w:r>
      <w:r w:rsidR="00D577EF" w:rsidRPr="007652E3">
        <w:rPr>
          <w:rStyle w:val="info-list-value-uzasadnienie"/>
          <w:rFonts w:asciiTheme="minorHAnsi" w:hAnsiTheme="minorHAnsi" w:cstheme="minorHAnsi"/>
        </w:rPr>
        <w:t>pierwszej</w:t>
      </w:r>
      <w:r w:rsidRPr="007652E3">
        <w:rPr>
          <w:rStyle w:val="info-list-value-uzasadnienie"/>
          <w:rFonts w:asciiTheme="minorHAnsi" w:hAnsiTheme="minorHAnsi" w:cstheme="minorHAnsi"/>
        </w:rPr>
        <w:t xml:space="preserve"> instancji</w:t>
      </w:r>
      <w:r w:rsidR="00D577EF" w:rsidRPr="007652E3">
        <w:rPr>
          <w:rStyle w:val="info-list-value-uzasadnienie"/>
          <w:rFonts w:asciiTheme="minorHAnsi" w:hAnsiTheme="minorHAnsi" w:cstheme="minorHAnsi"/>
        </w:rPr>
        <w:t xml:space="preserve">. </w:t>
      </w:r>
      <w:r w:rsidR="0094402B" w:rsidRPr="007652E3">
        <w:rPr>
          <w:rStyle w:val="info-list-value-uzasadnienie"/>
          <w:rFonts w:asciiTheme="minorHAnsi" w:hAnsiTheme="minorHAnsi" w:cstheme="minorHAnsi"/>
        </w:rPr>
        <w:t xml:space="preserve"> </w:t>
      </w:r>
    </w:p>
    <w:p w14:paraId="0A6089E7" w14:textId="1ED6A730" w:rsidR="002F10C8" w:rsidRPr="007652E3" w:rsidRDefault="002627BA" w:rsidP="007652E3">
      <w:pPr>
        <w:spacing w:line="312" w:lineRule="auto"/>
        <w:rPr>
          <w:rFonts w:asciiTheme="minorHAnsi" w:hAnsiTheme="minorHAnsi" w:cstheme="minorHAnsi"/>
        </w:rPr>
      </w:pPr>
      <w:r w:rsidRPr="007652E3">
        <w:rPr>
          <w:rStyle w:val="info-list-value-uzasadnienie"/>
          <w:rFonts w:asciiTheme="minorHAnsi" w:hAnsiTheme="minorHAnsi" w:cstheme="minorHAnsi"/>
        </w:rPr>
        <w:t>W</w:t>
      </w:r>
      <w:r w:rsidR="002F10C8" w:rsidRPr="007652E3">
        <w:rPr>
          <w:rFonts w:asciiTheme="minorHAnsi" w:hAnsiTheme="minorHAnsi" w:cstheme="minorHAnsi"/>
        </w:rPr>
        <w:t>skazan</w:t>
      </w:r>
      <w:r w:rsidRPr="007652E3">
        <w:rPr>
          <w:rFonts w:asciiTheme="minorHAnsi" w:hAnsiTheme="minorHAnsi" w:cstheme="minorHAnsi"/>
        </w:rPr>
        <w:t>e wyżej</w:t>
      </w:r>
      <w:r w:rsidR="002F10C8" w:rsidRPr="007652E3">
        <w:rPr>
          <w:rFonts w:asciiTheme="minorHAnsi" w:hAnsiTheme="minorHAnsi" w:cstheme="minorHAnsi"/>
        </w:rPr>
        <w:t xml:space="preserve"> </w:t>
      </w:r>
      <w:r w:rsidRPr="007652E3">
        <w:rPr>
          <w:rFonts w:asciiTheme="minorHAnsi" w:hAnsiTheme="minorHAnsi" w:cstheme="minorHAnsi"/>
        </w:rPr>
        <w:t xml:space="preserve">okoliczności sprawy oraz naruszenia przepisów postępowania mają istotny wpływ na rozstrzygnięcie analizowanej sprawy, przez co </w:t>
      </w:r>
      <w:r w:rsidR="002F10C8" w:rsidRPr="007652E3">
        <w:rPr>
          <w:rFonts w:asciiTheme="minorHAnsi" w:hAnsiTheme="minorHAnsi" w:cstheme="minorHAnsi"/>
        </w:rPr>
        <w:t>wykraczają poza dopuszczalność przeprowadzenia dodatkowego postępowania wyjaśniającego przez organ drugiej instancji</w:t>
      </w:r>
      <w:r w:rsidRPr="007652E3">
        <w:rPr>
          <w:rFonts w:asciiTheme="minorHAnsi" w:hAnsiTheme="minorHAnsi" w:cstheme="minorHAnsi"/>
        </w:rPr>
        <w:t>.</w:t>
      </w:r>
      <w:r w:rsidR="002F10C8" w:rsidRPr="007652E3">
        <w:rPr>
          <w:rFonts w:asciiTheme="minorHAnsi" w:hAnsiTheme="minorHAnsi" w:cstheme="minorHAnsi"/>
        </w:rPr>
        <w:t xml:space="preserve"> </w:t>
      </w:r>
      <w:r w:rsidRPr="007652E3">
        <w:rPr>
          <w:rFonts w:asciiTheme="minorHAnsi" w:hAnsiTheme="minorHAnsi" w:cstheme="minorHAnsi"/>
        </w:rPr>
        <w:t>Z</w:t>
      </w:r>
      <w:r w:rsidR="002F10C8" w:rsidRPr="007652E3">
        <w:rPr>
          <w:rFonts w:asciiTheme="minorHAnsi" w:hAnsiTheme="minorHAnsi" w:cstheme="minorHAnsi"/>
        </w:rPr>
        <w:t xml:space="preserve"> tego też względu GDOŚ </w:t>
      </w:r>
      <w:r w:rsidR="002F10C8" w:rsidRPr="007652E3">
        <w:rPr>
          <w:rStyle w:val="info-list-value-uzasadnienie"/>
          <w:rFonts w:asciiTheme="minorHAnsi" w:hAnsiTheme="minorHAnsi" w:cstheme="minorHAnsi"/>
        </w:rPr>
        <w:t xml:space="preserve">nie mógł skorzystać z uprawnień wynikających z przepisu art. 136 </w:t>
      </w:r>
      <w:r w:rsidR="0094402B" w:rsidRPr="007652E3">
        <w:rPr>
          <w:rStyle w:val="info-list-value-uzasadnienie"/>
          <w:rFonts w:asciiTheme="minorHAnsi" w:hAnsiTheme="minorHAnsi" w:cstheme="minorHAnsi"/>
        </w:rPr>
        <w:t>k</w:t>
      </w:r>
      <w:r w:rsidR="002F10C8" w:rsidRPr="007652E3">
        <w:rPr>
          <w:rStyle w:val="info-list-value-uzasadnienie"/>
          <w:rFonts w:asciiTheme="minorHAnsi" w:hAnsiTheme="minorHAnsi" w:cstheme="minorHAnsi"/>
        </w:rPr>
        <w:t>pa</w:t>
      </w:r>
      <w:r w:rsidRPr="007652E3">
        <w:rPr>
          <w:rStyle w:val="info-list-value-uzasadnienie"/>
          <w:rFonts w:asciiTheme="minorHAnsi" w:hAnsiTheme="minorHAnsi" w:cstheme="minorHAnsi"/>
        </w:rPr>
        <w:t xml:space="preserve"> oraz wydać decyzji rozstrzygającej sprawę merytorycznie, poprzez określenie środowiskowych uwarunkowań realizacji przedsięwzięcia w wariancie polegającym na </w:t>
      </w:r>
      <w:r w:rsidR="0095681C" w:rsidRPr="007652E3">
        <w:rPr>
          <w:rStyle w:val="info-list-value-uzasadnienie"/>
          <w:rFonts w:asciiTheme="minorHAnsi" w:hAnsiTheme="minorHAnsi" w:cstheme="minorHAnsi"/>
        </w:rPr>
        <w:t xml:space="preserve">budowie </w:t>
      </w:r>
      <w:r w:rsidRPr="007652E3">
        <w:rPr>
          <w:rFonts w:asciiTheme="minorHAnsi" w:hAnsiTheme="minorHAnsi" w:cstheme="minorHAnsi"/>
        </w:rPr>
        <w:t>kotła parowego zintegrowanego z paleniskiem rusztowym</w:t>
      </w:r>
      <w:r w:rsidR="002F10C8" w:rsidRPr="007652E3">
        <w:rPr>
          <w:rStyle w:val="info-list-value-uzasadnienie"/>
          <w:rFonts w:asciiTheme="minorHAnsi" w:hAnsiTheme="minorHAnsi" w:cstheme="minorHAnsi"/>
        </w:rPr>
        <w:t xml:space="preserve">. </w:t>
      </w:r>
      <w:r w:rsidR="002271B6" w:rsidRPr="007652E3">
        <w:rPr>
          <w:rFonts w:asciiTheme="minorHAnsi" w:hAnsiTheme="minorHAnsi" w:cstheme="minorHAnsi"/>
        </w:rPr>
        <w:t xml:space="preserve">Prowadziłoby to bowiem do rozpatrzenia sprawy co do istoty w całym jej kształcie wyłącznie przez organ odwoławczy, a tym samym skutkowało naruszeniem zasady dwuinstancyjności postępowania administracyjnego. </w:t>
      </w:r>
      <w:r w:rsidR="003C5E79" w:rsidRPr="007652E3">
        <w:rPr>
          <w:rFonts w:asciiTheme="minorHAnsi" w:hAnsiTheme="minorHAnsi" w:cstheme="minorHAnsi"/>
        </w:rPr>
        <w:t xml:space="preserve">Takim działaniem organu odwoławczego strony postępowania zostałyby </w:t>
      </w:r>
      <w:r w:rsidR="0095681C" w:rsidRPr="007652E3">
        <w:rPr>
          <w:rFonts w:asciiTheme="minorHAnsi" w:hAnsiTheme="minorHAnsi" w:cstheme="minorHAnsi"/>
        </w:rPr>
        <w:t xml:space="preserve">bowiem </w:t>
      </w:r>
      <w:r w:rsidR="003C5E79" w:rsidRPr="007652E3">
        <w:rPr>
          <w:rFonts w:asciiTheme="minorHAnsi" w:hAnsiTheme="minorHAnsi" w:cstheme="minorHAnsi"/>
        </w:rPr>
        <w:t>pozbawione prawa do dwukrotnego rozstrzygnięcia sprawy</w:t>
      </w:r>
      <w:r w:rsidR="002F10C8" w:rsidRPr="007652E3">
        <w:rPr>
          <w:rFonts w:asciiTheme="minorHAnsi" w:hAnsiTheme="minorHAnsi" w:cstheme="minorHAnsi"/>
        </w:rPr>
        <w:t xml:space="preserve">, raz przez organ pierwszej instancji, a następnie przez organ odwoławczy. </w:t>
      </w:r>
    </w:p>
    <w:p w14:paraId="6B7AB61A" w14:textId="70A1250B" w:rsidR="00620BB4" w:rsidRPr="007652E3" w:rsidRDefault="0094402B" w:rsidP="007652E3">
      <w:pPr>
        <w:spacing w:line="312" w:lineRule="auto"/>
        <w:rPr>
          <w:rFonts w:asciiTheme="minorHAnsi" w:hAnsiTheme="minorHAnsi" w:cstheme="minorHAnsi"/>
        </w:rPr>
      </w:pPr>
      <w:r w:rsidRPr="007652E3">
        <w:rPr>
          <w:rFonts w:asciiTheme="minorHAnsi" w:hAnsiTheme="minorHAnsi" w:cstheme="minorHAnsi"/>
        </w:rPr>
        <w:t>Należy podkreślić, że z</w:t>
      </w:r>
      <w:r w:rsidR="00620BB4" w:rsidRPr="007652E3">
        <w:rPr>
          <w:rFonts w:asciiTheme="minorHAnsi" w:hAnsiTheme="minorHAnsi" w:cstheme="minorHAnsi"/>
        </w:rPr>
        <w:t xml:space="preserve">awarta w art. 15 </w:t>
      </w:r>
      <w:r w:rsidRPr="007652E3">
        <w:rPr>
          <w:rFonts w:asciiTheme="minorHAnsi" w:hAnsiTheme="minorHAnsi" w:cstheme="minorHAnsi"/>
        </w:rPr>
        <w:t>kpa</w:t>
      </w:r>
      <w:r w:rsidR="00620BB4" w:rsidRPr="007652E3">
        <w:rPr>
          <w:rFonts w:asciiTheme="minorHAnsi" w:hAnsiTheme="minorHAnsi" w:cstheme="minorHAnsi"/>
        </w:rPr>
        <w:t xml:space="preserve"> zasada dwuinstancyjności postępowania administracyjnego jest jedną z podstawowych zasad procedury administracyjnej. Jej istota polega na dwukrotnym rozpatrzeniu i rozstrzygnięciu przez dwa różne organy </w:t>
      </w:r>
      <w:r w:rsidR="00620BB4" w:rsidRPr="007652E3">
        <w:rPr>
          <w:rFonts w:asciiTheme="minorHAnsi" w:hAnsiTheme="minorHAnsi" w:cstheme="minorHAnsi"/>
        </w:rPr>
        <w:lastRenderedPageBreak/>
        <w:t>administracji sprawy tożsamej pod względem przedmiotowym i podmiotowym. Zachowanie zasady dwuinstancyjności wymaga więc nie tylko podjęcia dwóch kolejnych rozstrzygnięć przez dwa właściwe w sprawie organy, ale konieczne jest, aby rozstrzygnięcia te zapadły w wyniku przeprowadzenia przez każdy z tych organów postępowania merytorycznego tak, aby dwukrotnie oceni</w:t>
      </w:r>
      <w:r w:rsidR="00674EFD" w:rsidRPr="007652E3">
        <w:rPr>
          <w:rFonts w:asciiTheme="minorHAnsi" w:hAnsiTheme="minorHAnsi" w:cstheme="minorHAnsi"/>
        </w:rPr>
        <w:t>ć</w:t>
      </w:r>
      <w:r w:rsidR="00620BB4" w:rsidRPr="007652E3">
        <w:rPr>
          <w:rFonts w:asciiTheme="minorHAnsi" w:hAnsiTheme="minorHAnsi" w:cstheme="minorHAnsi"/>
        </w:rPr>
        <w:t xml:space="preserve"> dowody i przeanalizowa</w:t>
      </w:r>
      <w:r w:rsidR="00674EFD" w:rsidRPr="007652E3">
        <w:rPr>
          <w:rFonts w:asciiTheme="minorHAnsi" w:hAnsiTheme="minorHAnsi" w:cstheme="minorHAnsi"/>
        </w:rPr>
        <w:t>ć</w:t>
      </w:r>
      <w:r w:rsidR="00620BB4" w:rsidRPr="007652E3">
        <w:rPr>
          <w:rFonts w:asciiTheme="minorHAnsi" w:hAnsiTheme="minorHAnsi" w:cstheme="minorHAnsi"/>
        </w:rPr>
        <w:t xml:space="preserve"> wszystkie istotne okoliczności sprawy</w:t>
      </w:r>
      <w:r w:rsidRPr="007652E3">
        <w:rPr>
          <w:rFonts w:asciiTheme="minorHAnsi" w:hAnsiTheme="minorHAnsi" w:cstheme="minorHAnsi"/>
        </w:rPr>
        <w:t xml:space="preserve"> (por. wyrok NSA z 22 lutego 2022 r.</w:t>
      </w:r>
      <w:r w:rsidR="00B533AA" w:rsidRPr="007652E3">
        <w:rPr>
          <w:rFonts w:asciiTheme="minorHAnsi" w:hAnsiTheme="minorHAnsi" w:cstheme="minorHAnsi"/>
        </w:rPr>
        <w:t>,</w:t>
      </w:r>
      <w:r w:rsidRPr="007652E3">
        <w:rPr>
          <w:rFonts w:asciiTheme="minorHAnsi" w:hAnsiTheme="minorHAnsi" w:cstheme="minorHAnsi"/>
        </w:rPr>
        <w:t xml:space="preserve"> sygn. akt II OSK 540/19).</w:t>
      </w:r>
    </w:p>
    <w:p w14:paraId="68FF1AA2" w14:textId="445BBCE2" w:rsidR="00B33A88" w:rsidRPr="007652E3" w:rsidRDefault="00B33A88" w:rsidP="007652E3">
      <w:pPr>
        <w:spacing w:line="312" w:lineRule="auto"/>
        <w:rPr>
          <w:rFonts w:asciiTheme="minorHAnsi" w:hAnsiTheme="minorHAnsi" w:cstheme="minorHAnsi"/>
        </w:rPr>
      </w:pPr>
      <w:r w:rsidRPr="007652E3">
        <w:rPr>
          <w:rFonts w:asciiTheme="minorHAnsi" w:hAnsiTheme="minorHAnsi" w:cstheme="minorHAnsi"/>
          <w:color w:val="000000"/>
        </w:rPr>
        <w:t>GDOŚ</w:t>
      </w:r>
      <w:r w:rsidR="00674EFD" w:rsidRPr="007652E3">
        <w:rPr>
          <w:rFonts w:asciiTheme="minorHAnsi" w:hAnsiTheme="minorHAnsi" w:cstheme="minorHAnsi"/>
          <w:color w:val="000000"/>
        </w:rPr>
        <w:t>,</w:t>
      </w:r>
      <w:r w:rsidR="00866EEC" w:rsidRPr="007652E3">
        <w:rPr>
          <w:rFonts w:asciiTheme="minorHAnsi" w:hAnsiTheme="minorHAnsi" w:cstheme="minorHAnsi"/>
        </w:rPr>
        <w:t xml:space="preserve"> wykonując wyrok WSA w Warszawie</w:t>
      </w:r>
      <w:r w:rsidR="00866EEC" w:rsidRPr="007652E3">
        <w:rPr>
          <w:rFonts w:asciiTheme="minorHAnsi" w:hAnsiTheme="minorHAnsi" w:cstheme="minorHAnsi"/>
          <w:color w:val="000000"/>
        </w:rPr>
        <w:t xml:space="preserve"> </w:t>
      </w:r>
      <w:r w:rsidR="00866EEC" w:rsidRPr="007652E3">
        <w:rPr>
          <w:rFonts w:asciiTheme="minorHAnsi" w:hAnsiTheme="minorHAnsi" w:cstheme="minorHAnsi"/>
        </w:rPr>
        <w:t xml:space="preserve">z dnia 3 października 2019 r., </w:t>
      </w:r>
      <w:r w:rsidR="002536A6" w:rsidRPr="007652E3">
        <w:rPr>
          <w:rFonts w:asciiTheme="minorHAnsi" w:hAnsiTheme="minorHAnsi" w:cstheme="minorHAnsi"/>
          <w:color w:val="000000"/>
        </w:rPr>
        <w:t>w ramach postępowania odwoławczego</w:t>
      </w:r>
      <w:r w:rsidR="006E0AE1" w:rsidRPr="007652E3">
        <w:rPr>
          <w:rFonts w:asciiTheme="minorHAnsi" w:hAnsiTheme="minorHAnsi" w:cstheme="minorHAnsi"/>
          <w:color w:val="000000"/>
        </w:rPr>
        <w:t xml:space="preserve"> </w:t>
      </w:r>
      <w:r w:rsidRPr="007652E3">
        <w:rPr>
          <w:rFonts w:asciiTheme="minorHAnsi" w:hAnsiTheme="minorHAnsi" w:cstheme="minorHAnsi"/>
          <w:color w:val="000000"/>
        </w:rPr>
        <w:t xml:space="preserve">dokonał analizy zgromadzonego materiału dowodowego, w tym wniosku </w:t>
      </w:r>
      <w:r w:rsidR="00866EEC" w:rsidRPr="007652E3">
        <w:rPr>
          <w:rFonts w:asciiTheme="minorHAnsi" w:hAnsiTheme="minorHAnsi" w:cstheme="minorHAnsi"/>
          <w:color w:val="000000"/>
        </w:rPr>
        <w:t>o wydanie</w:t>
      </w:r>
      <w:r w:rsidRPr="007652E3">
        <w:rPr>
          <w:rFonts w:asciiTheme="minorHAnsi" w:hAnsiTheme="minorHAnsi" w:cstheme="minorHAnsi"/>
          <w:color w:val="000000"/>
        </w:rPr>
        <w:t xml:space="preserve"> decyzji</w:t>
      </w:r>
      <w:r w:rsidR="00866EEC" w:rsidRPr="007652E3">
        <w:rPr>
          <w:rFonts w:asciiTheme="minorHAnsi" w:hAnsiTheme="minorHAnsi" w:cstheme="minorHAnsi"/>
          <w:color w:val="000000"/>
        </w:rPr>
        <w:t xml:space="preserve"> o środowiskowych uwarunkowaniach</w:t>
      </w:r>
      <w:r w:rsidRPr="007652E3">
        <w:rPr>
          <w:rFonts w:asciiTheme="minorHAnsi" w:hAnsiTheme="minorHAnsi" w:cstheme="minorHAnsi"/>
          <w:color w:val="000000"/>
        </w:rPr>
        <w:t>, zaskarżonej decyzji</w:t>
      </w:r>
      <w:r w:rsidR="00866EEC" w:rsidRPr="007652E3">
        <w:rPr>
          <w:rFonts w:asciiTheme="minorHAnsi" w:hAnsiTheme="minorHAnsi" w:cstheme="minorHAnsi"/>
          <w:color w:val="000000"/>
        </w:rPr>
        <w:t>,</w:t>
      </w:r>
      <w:r w:rsidRPr="007652E3">
        <w:rPr>
          <w:rFonts w:asciiTheme="minorHAnsi" w:hAnsiTheme="minorHAnsi" w:cstheme="minorHAnsi"/>
          <w:color w:val="000000"/>
        </w:rPr>
        <w:t xml:space="preserve"> wniesionego odwołania</w:t>
      </w:r>
      <w:r w:rsidR="00866EEC" w:rsidRPr="007652E3">
        <w:rPr>
          <w:rFonts w:asciiTheme="minorHAnsi" w:hAnsiTheme="minorHAnsi" w:cstheme="minorHAnsi"/>
          <w:color w:val="000000"/>
        </w:rPr>
        <w:t xml:space="preserve"> oraz raportu wraz z jego uzupełnieniami oraz uwagami </w:t>
      </w:r>
      <w:r w:rsidR="00866EEC" w:rsidRPr="007652E3">
        <w:rPr>
          <w:rFonts w:asciiTheme="minorHAnsi" w:eastAsia="Garamond" w:hAnsiTheme="minorHAnsi" w:cstheme="minorHAnsi"/>
        </w:rPr>
        <w:t xml:space="preserve">stron wniesionymi na etapie postępowania obydwu instancji. </w:t>
      </w:r>
      <w:r w:rsidRPr="007652E3">
        <w:rPr>
          <w:rFonts w:asciiTheme="minorHAnsi" w:hAnsiTheme="minorHAnsi" w:cstheme="minorHAnsi"/>
        </w:rPr>
        <w:t xml:space="preserve">W opinii organu odwoławczego wskazane w treści niniejszej decyzji okoliczności uzasadniają uchylenie decyzji RDOŚ w </w:t>
      </w:r>
      <w:r w:rsidR="00170679" w:rsidRPr="007652E3">
        <w:rPr>
          <w:rFonts w:asciiTheme="minorHAnsi" w:hAnsiTheme="minorHAnsi" w:cstheme="minorHAnsi"/>
        </w:rPr>
        <w:t xml:space="preserve">Krakowie </w:t>
      </w:r>
      <w:r w:rsidRPr="007652E3">
        <w:rPr>
          <w:rFonts w:asciiTheme="minorHAnsi" w:hAnsiTheme="minorHAnsi" w:cstheme="minorHAnsi"/>
        </w:rPr>
        <w:t xml:space="preserve">z dnia </w:t>
      </w:r>
      <w:r w:rsidR="00170679" w:rsidRPr="007652E3">
        <w:rPr>
          <w:rFonts w:asciiTheme="minorHAnsi" w:hAnsiTheme="minorHAnsi" w:cstheme="minorHAnsi"/>
        </w:rPr>
        <w:t>13 czerwca 2018 r.</w:t>
      </w:r>
      <w:r w:rsidRPr="007652E3">
        <w:rPr>
          <w:rFonts w:asciiTheme="minorHAnsi" w:hAnsiTheme="minorHAnsi" w:cstheme="minorHAnsi"/>
        </w:rPr>
        <w:t xml:space="preserve"> oraz przekazanie sprawy do ponownego rozpatrzenia organowi pierwszej instancji. </w:t>
      </w:r>
    </w:p>
    <w:p w14:paraId="1DADAE91" w14:textId="77777777" w:rsidR="00B33A88" w:rsidRPr="007652E3" w:rsidRDefault="00B33A88" w:rsidP="007652E3">
      <w:pPr>
        <w:spacing w:after="240" w:line="312" w:lineRule="auto"/>
        <w:rPr>
          <w:rFonts w:asciiTheme="minorHAnsi" w:hAnsiTheme="minorHAnsi" w:cstheme="minorHAnsi"/>
        </w:rPr>
      </w:pPr>
      <w:r w:rsidRPr="007652E3">
        <w:rPr>
          <w:rFonts w:asciiTheme="minorHAnsi" w:hAnsiTheme="minorHAnsi" w:cstheme="minorHAnsi"/>
        </w:rPr>
        <w:t>Wobec powyższego orzeczono jak w sentencji.</w:t>
      </w:r>
    </w:p>
    <w:p w14:paraId="2B0EB1DD" w14:textId="77777777" w:rsidR="00B33A88" w:rsidRPr="007652E3" w:rsidRDefault="00B33A88" w:rsidP="007652E3">
      <w:pPr>
        <w:spacing w:after="120" w:line="312" w:lineRule="auto"/>
        <w:rPr>
          <w:rFonts w:asciiTheme="minorHAnsi" w:hAnsiTheme="minorHAnsi" w:cstheme="minorHAnsi"/>
          <w:color w:val="000000"/>
        </w:rPr>
      </w:pPr>
      <w:r w:rsidRPr="007652E3">
        <w:rPr>
          <w:rFonts w:asciiTheme="minorHAnsi" w:hAnsiTheme="minorHAnsi" w:cstheme="minorHAnsi"/>
          <w:color w:val="000000"/>
        </w:rPr>
        <w:t>Pouczenie</w:t>
      </w:r>
    </w:p>
    <w:p w14:paraId="6DCA462C" w14:textId="77777777" w:rsidR="00B33A88" w:rsidRPr="007652E3" w:rsidRDefault="00B33A88" w:rsidP="00CB0854">
      <w:pPr>
        <w:pStyle w:val="NormalnyWeb"/>
        <w:numPr>
          <w:ilvl w:val="0"/>
          <w:numId w:val="51"/>
        </w:numPr>
        <w:spacing w:before="0" w:beforeAutospacing="0" w:after="0" w:afterAutospacing="0" w:line="312" w:lineRule="auto"/>
        <w:ind w:left="426" w:hanging="284"/>
        <w:rPr>
          <w:rFonts w:asciiTheme="minorHAnsi" w:hAnsiTheme="minorHAnsi" w:cstheme="minorHAnsi"/>
        </w:rPr>
      </w:pPr>
      <w:r w:rsidRPr="007652E3">
        <w:rPr>
          <w:rFonts w:asciiTheme="minorHAnsi" w:hAnsiTheme="minorHAnsi" w:cstheme="minorHAnsi"/>
        </w:rPr>
        <w:t xml:space="preserve">niniejsza decyzja jest ostateczna w administracyjnym toku instancji. Od decyzji, zgodnie z art. 64a i 64c ustawy z dnia 30 sierpnia 2002 r. – </w:t>
      </w:r>
      <w:r w:rsidRPr="007652E3">
        <w:rPr>
          <w:rFonts w:asciiTheme="minorHAnsi" w:hAnsiTheme="minorHAnsi" w:cstheme="minorHAnsi"/>
          <w:iCs/>
        </w:rPr>
        <w:t>Prawo o postępowaniu przed sądami administracyjnymi</w:t>
      </w:r>
      <w:r w:rsidRPr="007652E3">
        <w:rPr>
          <w:rFonts w:asciiTheme="minorHAnsi" w:hAnsiTheme="minorHAnsi" w:cstheme="minorHAnsi"/>
        </w:rPr>
        <w:t xml:space="preserve"> (Dz. U. z 2022 r. poz. 329, ze zm.), dalej Ppsa, służy sprzeciw wnoszony na piśmie do Wojewódzkiego Sądu Administracyjnego w Warszawie, za pośrednictwem GDOŚ, w terminie 14 dni od dnia otrzymania decyzji;</w:t>
      </w:r>
    </w:p>
    <w:p w14:paraId="03F2EC7E" w14:textId="77777777" w:rsidR="00B33A88" w:rsidRPr="007652E3" w:rsidRDefault="00B33A88" w:rsidP="00CB0854">
      <w:pPr>
        <w:pStyle w:val="NormalnyWeb"/>
        <w:numPr>
          <w:ilvl w:val="0"/>
          <w:numId w:val="51"/>
        </w:numPr>
        <w:spacing w:before="0" w:beforeAutospacing="0" w:after="0" w:line="312" w:lineRule="auto"/>
        <w:ind w:left="426" w:hanging="284"/>
        <w:rPr>
          <w:rFonts w:asciiTheme="minorHAnsi" w:hAnsiTheme="minorHAnsi" w:cstheme="minorHAnsi"/>
        </w:rPr>
      </w:pPr>
      <w:r w:rsidRPr="007652E3">
        <w:rPr>
          <w:rFonts w:asciiTheme="minorHAnsi" w:hAnsiTheme="minorHAnsi" w:cstheme="minorHAnsi"/>
        </w:rPr>
        <w:lastRenderedPageBreak/>
        <w:t>wnoszący sprzeciw, zgodnie z art. 230 Ppsa w związku z § 2 ust. 1 pkt 6a rozporządzenia Rady Ministrów z dnia 16 grudnia 2003 r. w sprawie wysokości oraz szczegółowych zasad pobierania wpisu w postępowaniu przed sądami administracyjnymi (Dz. U. z 2021 r. poz. 535), obowiązany jest do uiszczenia opłaty w kwocie 100 zł;</w:t>
      </w:r>
    </w:p>
    <w:p w14:paraId="4329C36A" w14:textId="28FDFC54" w:rsidR="00216926" w:rsidRPr="007652E3" w:rsidRDefault="00B33A88" w:rsidP="00CB0854">
      <w:pPr>
        <w:pStyle w:val="NormalnyWeb"/>
        <w:numPr>
          <w:ilvl w:val="0"/>
          <w:numId w:val="51"/>
        </w:numPr>
        <w:spacing w:before="0" w:beforeAutospacing="0" w:after="0" w:line="312" w:lineRule="auto"/>
        <w:ind w:left="426" w:hanging="284"/>
        <w:rPr>
          <w:rFonts w:asciiTheme="minorHAnsi" w:hAnsiTheme="minorHAnsi" w:cstheme="minorHAnsi"/>
        </w:rPr>
      </w:pPr>
      <w:r w:rsidRPr="007652E3">
        <w:rPr>
          <w:rFonts w:asciiTheme="minorHAnsi" w:hAnsiTheme="minorHAnsi" w:cstheme="minorHAnsi"/>
        </w:rPr>
        <w:t>wnoszącemu sprzeciw, zgodnie z art. 243 Ppsa, może być przyznane, na jego wniosek, prawo pomocy. Wniosek ten wolny jest od opłat sądowych.</w:t>
      </w:r>
    </w:p>
    <w:p w14:paraId="77708B79" w14:textId="226D6942" w:rsidR="007652E3" w:rsidRPr="007652E3" w:rsidRDefault="007652E3" w:rsidP="00CB0854">
      <w:pPr>
        <w:spacing w:line="312" w:lineRule="auto"/>
        <w:rPr>
          <w:rFonts w:asciiTheme="minorHAnsi" w:hAnsiTheme="minorHAnsi" w:cstheme="minorHAnsi"/>
        </w:rPr>
      </w:pPr>
      <w:r w:rsidRPr="007652E3">
        <w:rPr>
          <w:rFonts w:asciiTheme="minorHAnsi" w:hAnsiTheme="minorHAnsi" w:cstheme="minorHAnsi"/>
          <w:color w:val="000000"/>
        </w:rPr>
        <w:t>Z upoważnienia Generalnego Dyrektora Ochrony Środowiska</w:t>
      </w:r>
      <w:r w:rsidRPr="007652E3">
        <w:rPr>
          <w:rFonts w:asciiTheme="minorHAnsi" w:hAnsiTheme="minorHAnsi" w:cstheme="minorHAnsi"/>
          <w:color w:val="000000"/>
        </w:rPr>
        <w:br/>
        <w:t xml:space="preserve">Zastępca Generalnego Dyrektora Ochrony Środowiska Marek Kajs  </w:t>
      </w:r>
    </w:p>
    <w:p w14:paraId="4104B474" w14:textId="2B46DD8D" w:rsidR="000C4A99" w:rsidRPr="007652E3" w:rsidRDefault="000C4A99" w:rsidP="00CB0854">
      <w:pPr>
        <w:spacing w:line="312" w:lineRule="auto"/>
        <w:rPr>
          <w:rFonts w:asciiTheme="minorHAnsi" w:hAnsiTheme="minorHAnsi" w:cstheme="minorHAnsi"/>
        </w:rPr>
      </w:pPr>
      <w:r w:rsidRPr="007652E3">
        <w:rPr>
          <w:rFonts w:asciiTheme="minorHAnsi" w:hAnsiTheme="minorHAnsi" w:cstheme="minorHAnsi"/>
        </w:rPr>
        <w:t>Otrzymują:</w:t>
      </w:r>
    </w:p>
    <w:p w14:paraId="6C8B8D52" w14:textId="77777777" w:rsidR="000C4A99" w:rsidRPr="007652E3" w:rsidRDefault="000C4A99" w:rsidP="00CB0854">
      <w:pPr>
        <w:pStyle w:val="Akapitzlist1"/>
        <w:numPr>
          <w:ilvl w:val="0"/>
          <w:numId w:val="41"/>
        </w:numPr>
        <w:tabs>
          <w:tab w:val="clear" w:pos="0"/>
        </w:tabs>
        <w:suppressAutoHyphens/>
        <w:spacing w:line="312" w:lineRule="auto"/>
        <w:ind w:left="714" w:hanging="357"/>
        <w:rPr>
          <w:rFonts w:asciiTheme="minorHAnsi" w:hAnsiTheme="minorHAnsi" w:cstheme="minorHAnsi"/>
          <w:color w:val="000000"/>
        </w:rPr>
      </w:pPr>
      <w:r w:rsidRPr="007652E3">
        <w:rPr>
          <w:rFonts w:asciiTheme="minorHAnsi" w:hAnsiTheme="minorHAnsi" w:cstheme="minorHAnsi"/>
          <w:color w:val="000000"/>
        </w:rPr>
        <w:t>Miejskie Przedsiębiorstwo Energetyki Cieplnej S.A., ul. Sienna 4, 33-100 Tarnów</w:t>
      </w:r>
    </w:p>
    <w:p w14:paraId="40B9720F" w14:textId="77777777" w:rsidR="000C4A99" w:rsidRPr="007652E3" w:rsidRDefault="000C4A99" w:rsidP="00CB0854">
      <w:pPr>
        <w:pStyle w:val="Akapitzlist1"/>
        <w:numPr>
          <w:ilvl w:val="0"/>
          <w:numId w:val="41"/>
        </w:numPr>
        <w:tabs>
          <w:tab w:val="clear" w:pos="0"/>
        </w:tabs>
        <w:suppressAutoHyphens/>
        <w:spacing w:line="312" w:lineRule="auto"/>
        <w:ind w:left="714" w:hanging="357"/>
        <w:rPr>
          <w:rFonts w:asciiTheme="minorHAnsi" w:hAnsiTheme="minorHAnsi" w:cstheme="minorHAnsi"/>
          <w:color w:val="000000"/>
        </w:rPr>
      </w:pPr>
      <w:r w:rsidRPr="007652E3">
        <w:rPr>
          <w:rFonts w:asciiTheme="minorHAnsi" w:hAnsiTheme="minorHAnsi" w:cstheme="minorHAnsi"/>
          <w:color w:val="000000"/>
        </w:rPr>
        <w:t>Prezydent Miasta Tarnowa, ul. Mickiewicza 2, 33-100 Tarnów</w:t>
      </w:r>
    </w:p>
    <w:p w14:paraId="25597940" w14:textId="77777777" w:rsidR="000C4A99" w:rsidRPr="007652E3" w:rsidRDefault="000C4A99" w:rsidP="00CB0854">
      <w:pPr>
        <w:pStyle w:val="Akapitzlist1"/>
        <w:numPr>
          <w:ilvl w:val="0"/>
          <w:numId w:val="41"/>
        </w:numPr>
        <w:tabs>
          <w:tab w:val="clear" w:pos="0"/>
        </w:tabs>
        <w:suppressAutoHyphens/>
        <w:spacing w:line="312" w:lineRule="auto"/>
        <w:ind w:left="714" w:hanging="357"/>
        <w:rPr>
          <w:rFonts w:asciiTheme="minorHAnsi" w:hAnsiTheme="minorHAnsi" w:cstheme="minorHAnsi"/>
          <w:color w:val="000000"/>
        </w:rPr>
      </w:pPr>
      <w:r w:rsidRPr="007652E3">
        <w:rPr>
          <w:rFonts w:asciiTheme="minorHAnsi" w:hAnsiTheme="minorHAnsi" w:cstheme="minorHAnsi"/>
          <w:color w:val="000000"/>
        </w:rPr>
        <w:t>Zarząd Dróg i Komunikacji w Tarnowie ul. Bernardyńska 24, 33-100 Tarnów</w:t>
      </w:r>
    </w:p>
    <w:p w14:paraId="748D50E2" w14:textId="77777777" w:rsidR="000C4A99" w:rsidRPr="007652E3" w:rsidRDefault="000C4A99" w:rsidP="00CB0854">
      <w:pPr>
        <w:pStyle w:val="Akapitzlist1"/>
        <w:numPr>
          <w:ilvl w:val="0"/>
          <w:numId w:val="41"/>
        </w:numPr>
        <w:tabs>
          <w:tab w:val="clear" w:pos="0"/>
        </w:tabs>
        <w:suppressAutoHyphens/>
        <w:spacing w:line="312" w:lineRule="auto"/>
        <w:ind w:left="714" w:hanging="357"/>
        <w:rPr>
          <w:rFonts w:asciiTheme="minorHAnsi" w:hAnsiTheme="minorHAnsi" w:cstheme="minorHAnsi"/>
          <w:color w:val="000000"/>
        </w:rPr>
      </w:pPr>
      <w:r w:rsidRPr="007652E3">
        <w:rPr>
          <w:rFonts w:asciiTheme="minorHAnsi" w:hAnsiTheme="minorHAnsi" w:cstheme="minorHAnsi"/>
          <w:color w:val="000000"/>
        </w:rPr>
        <w:t>Fundacja Ekologiczna „Wspólna Europa”, ul. Limanowskiego 6, 33-100 Tarnów, adres do korespondencji: ul. Westerplatte 15/57, 33-100 Tarnów</w:t>
      </w:r>
    </w:p>
    <w:p w14:paraId="6C64D6A0" w14:textId="77777777" w:rsidR="000C4A99" w:rsidRPr="007652E3" w:rsidRDefault="000C4A99" w:rsidP="00CB0854">
      <w:pPr>
        <w:pStyle w:val="Akapitzlist1"/>
        <w:numPr>
          <w:ilvl w:val="0"/>
          <w:numId w:val="41"/>
        </w:numPr>
        <w:tabs>
          <w:tab w:val="clear" w:pos="0"/>
        </w:tabs>
        <w:suppressAutoHyphens/>
        <w:spacing w:line="312" w:lineRule="auto"/>
        <w:ind w:left="714" w:hanging="357"/>
        <w:rPr>
          <w:rFonts w:asciiTheme="minorHAnsi" w:hAnsiTheme="minorHAnsi" w:cstheme="minorHAnsi"/>
          <w:color w:val="000000"/>
        </w:rPr>
      </w:pPr>
      <w:r w:rsidRPr="007652E3">
        <w:rPr>
          <w:rFonts w:asciiTheme="minorHAnsi" w:hAnsiTheme="minorHAnsi" w:cstheme="minorHAnsi"/>
          <w:color w:val="000000"/>
        </w:rPr>
        <w:t xml:space="preserve">Towarzystwo Na Rzecz Ziemi, ul. Leszczyńskiej 7, 32-600 Oświęcim </w:t>
      </w:r>
    </w:p>
    <w:p w14:paraId="738AA0F2" w14:textId="77777777" w:rsidR="000C4A99" w:rsidRPr="007652E3" w:rsidRDefault="000C4A99" w:rsidP="00CB0854">
      <w:pPr>
        <w:spacing w:line="312" w:lineRule="auto"/>
        <w:rPr>
          <w:rFonts w:asciiTheme="minorHAnsi" w:hAnsiTheme="minorHAnsi" w:cstheme="minorHAnsi"/>
        </w:rPr>
      </w:pPr>
      <w:r w:rsidRPr="007652E3">
        <w:rPr>
          <w:rFonts w:asciiTheme="minorHAnsi" w:hAnsiTheme="minorHAnsi" w:cstheme="minorHAnsi"/>
        </w:rPr>
        <w:t>Do wiadomości:</w:t>
      </w:r>
    </w:p>
    <w:p w14:paraId="284D689D" w14:textId="53FB50A8" w:rsidR="000C4A99" w:rsidRPr="007652E3" w:rsidRDefault="004C2AE6" w:rsidP="00CB0854">
      <w:pPr>
        <w:pStyle w:val="Akapitzlist1"/>
        <w:numPr>
          <w:ilvl w:val="0"/>
          <w:numId w:val="59"/>
        </w:numPr>
        <w:suppressAutoHyphens/>
        <w:spacing w:line="312" w:lineRule="auto"/>
        <w:rPr>
          <w:rFonts w:asciiTheme="minorHAnsi" w:hAnsiTheme="minorHAnsi" w:cstheme="minorHAnsi"/>
          <w:color w:val="000000"/>
        </w:rPr>
      </w:pPr>
      <w:r w:rsidRPr="007652E3">
        <w:rPr>
          <w:rFonts w:asciiTheme="minorHAnsi" w:hAnsiTheme="minorHAnsi" w:cstheme="minorHAnsi"/>
          <w:color w:val="000000"/>
        </w:rPr>
        <w:t>Regionalny Dyrektor Ochrony Środowiska w Krakowie</w:t>
      </w:r>
    </w:p>
    <w:sectPr w:rsidR="000C4A99" w:rsidRPr="007652E3" w:rsidSect="00484F7C">
      <w:footerReference w:type="even" r:id="rId18"/>
      <w:footerReference w:type="default" r:id="rId19"/>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DD84C" w14:textId="77777777" w:rsidR="009228A9" w:rsidRDefault="009228A9">
      <w:r>
        <w:separator/>
      </w:r>
    </w:p>
  </w:endnote>
  <w:endnote w:type="continuationSeparator" w:id="0">
    <w:p w14:paraId="0890F3D0" w14:textId="77777777" w:rsidR="009228A9" w:rsidRDefault="0092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EEFE" w14:textId="77777777" w:rsidR="00431128" w:rsidRDefault="00431128"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7D6270" w14:textId="77777777" w:rsidR="00431128" w:rsidRDefault="00431128" w:rsidP="00344807">
    <w:pPr>
      <w:pStyle w:val="Stopka"/>
      <w:ind w:right="360"/>
    </w:pPr>
  </w:p>
  <w:p w14:paraId="42362633" w14:textId="77777777" w:rsidR="00431128" w:rsidRDefault="0043112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669"/>
      <w:docPartObj>
        <w:docPartGallery w:val="Page Numbers (Bottom of Page)"/>
        <w:docPartUnique/>
      </w:docPartObj>
    </w:sdtPr>
    <w:sdtEndPr/>
    <w:sdtContent>
      <w:p w14:paraId="4ADB85EA" w14:textId="55A9F48A" w:rsidR="00431128" w:rsidRDefault="00431128">
        <w:pPr>
          <w:pStyle w:val="Stopka"/>
          <w:jc w:val="right"/>
        </w:pPr>
        <w:r>
          <w:fldChar w:fldCharType="begin"/>
        </w:r>
        <w:r>
          <w:instrText xml:space="preserve"> PAGE   \* MERGEFORMAT </w:instrText>
        </w:r>
        <w:r>
          <w:fldChar w:fldCharType="separate"/>
        </w:r>
        <w:r w:rsidR="001E28C3">
          <w:rPr>
            <w:noProof/>
          </w:rPr>
          <w:t>13</w:t>
        </w:r>
        <w:r>
          <w:rPr>
            <w:noProof/>
          </w:rPr>
          <w:fldChar w:fldCharType="end"/>
        </w:r>
      </w:p>
    </w:sdtContent>
  </w:sdt>
  <w:p w14:paraId="62AD5206" w14:textId="77777777" w:rsidR="00431128" w:rsidRDefault="00431128" w:rsidP="00344807">
    <w:pPr>
      <w:pStyle w:val="Stopka"/>
      <w:ind w:right="360"/>
    </w:pPr>
  </w:p>
  <w:p w14:paraId="2E309F3A" w14:textId="77777777" w:rsidR="00431128" w:rsidRDefault="004311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DC7CA" w14:textId="77777777" w:rsidR="009228A9" w:rsidRDefault="009228A9">
      <w:r>
        <w:separator/>
      </w:r>
    </w:p>
  </w:footnote>
  <w:footnote w:type="continuationSeparator" w:id="0">
    <w:p w14:paraId="13E6B1C8" w14:textId="77777777" w:rsidR="009228A9" w:rsidRDefault="009228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C224FE"/>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AF4723E"/>
    <w:name w:val="WWNum1"/>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31"/>
    <w:multiLevelType w:val="multilevel"/>
    <w:tmpl w:val="00000031"/>
    <w:name w:val="WWNum50"/>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D46D8"/>
    <w:multiLevelType w:val="hybridMultilevel"/>
    <w:tmpl w:val="45F09D6E"/>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652B56"/>
    <w:multiLevelType w:val="hybridMultilevel"/>
    <w:tmpl w:val="93662F5C"/>
    <w:lvl w:ilvl="0" w:tplc="5A46B01A">
      <w:start w:val="1"/>
      <w:numFmt w:val="bullet"/>
      <w:lvlText w:val=""/>
      <w:lvlJc w:val="left"/>
      <w:pPr>
        <w:ind w:left="720" w:hanging="360"/>
      </w:pPr>
      <w:rPr>
        <w:rFonts w:ascii="Symbol" w:hAnsi="Symbol"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695460"/>
    <w:multiLevelType w:val="hybridMultilevel"/>
    <w:tmpl w:val="677C8A9E"/>
    <w:lvl w:ilvl="0" w:tplc="58B6C33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11450F"/>
    <w:multiLevelType w:val="hybridMultilevel"/>
    <w:tmpl w:val="0B226310"/>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2344D4"/>
    <w:multiLevelType w:val="multilevel"/>
    <w:tmpl w:val="C27480B0"/>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D1517CE"/>
    <w:multiLevelType w:val="hybridMultilevel"/>
    <w:tmpl w:val="D520B056"/>
    <w:lvl w:ilvl="0" w:tplc="3420F74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D565182"/>
    <w:multiLevelType w:val="hybridMultilevel"/>
    <w:tmpl w:val="6D327B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37DFC"/>
    <w:multiLevelType w:val="hybridMultilevel"/>
    <w:tmpl w:val="E87A36F8"/>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0104FD"/>
    <w:multiLevelType w:val="hybridMultilevel"/>
    <w:tmpl w:val="370C2202"/>
    <w:lvl w:ilvl="0" w:tplc="1338B5DA">
      <w:start w:val="1"/>
      <w:numFmt w:val="decimal"/>
      <w:lvlText w:val="%1."/>
      <w:lvlJc w:val="left"/>
      <w:pPr>
        <w:ind w:left="720" w:hanging="360"/>
      </w:pPr>
      <w:rPr>
        <w:b/>
        <w:color w:val="auto"/>
      </w:rPr>
    </w:lvl>
    <w:lvl w:ilvl="1" w:tplc="4BC64D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2826BF"/>
    <w:multiLevelType w:val="hybridMultilevel"/>
    <w:tmpl w:val="3AFC2D8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4BC20D0"/>
    <w:multiLevelType w:val="hybridMultilevel"/>
    <w:tmpl w:val="FB7208BC"/>
    <w:lvl w:ilvl="0" w:tplc="3B6E74E0">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6432C1C"/>
    <w:multiLevelType w:val="hybridMultilevel"/>
    <w:tmpl w:val="E248A210"/>
    <w:lvl w:ilvl="0" w:tplc="F9AE4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3F1168"/>
    <w:multiLevelType w:val="hybridMultilevel"/>
    <w:tmpl w:val="0FFA5ED6"/>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FD59A0"/>
    <w:multiLevelType w:val="hybridMultilevel"/>
    <w:tmpl w:val="417248A4"/>
    <w:lvl w:ilvl="0" w:tplc="4314B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41070B"/>
    <w:multiLevelType w:val="hybridMultilevel"/>
    <w:tmpl w:val="A3569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553466"/>
    <w:multiLevelType w:val="hybridMultilevel"/>
    <w:tmpl w:val="B31CC2C2"/>
    <w:lvl w:ilvl="0" w:tplc="C53E9284">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21" w15:restartNumberingAfterBreak="0">
    <w:nsid w:val="22305016"/>
    <w:multiLevelType w:val="hybridMultilevel"/>
    <w:tmpl w:val="580C1F4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603013"/>
    <w:multiLevelType w:val="hybridMultilevel"/>
    <w:tmpl w:val="0E60E26E"/>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540E0D"/>
    <w:multiLevelType w:val="hybridMultilevel"/>
    <w:tmpl w:val="68B0A71A"/>
    <w:lvl w:ilvl="0" w:tplc="23421A7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C35BAA"/>
    <w:multiLevelType w:val="hybridMultilevel"/>
    <w:tmpl w:val="93DCDEDA"/>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685D66"/>
    <w:multiLevelType w:val="hybridMultilevel"/>
    <w:tmpl w:val="BBD0BCDE"/>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350174"/>
    <w:multiLevelType w:val="hybridMultilevel"/>
    <w:tmpl w:val="C652E522"/>
    <w:lvl w:ilvl="0" w:tplc="ED406316">
      <w:start w:val="1"/>
      <w:numFmt w:val="bullet"/>
      <w:lvlText w:val=""/>
      <w:lvlJc w:val="left"/>
      <w:pPr>
        <w:tabs>
          <w:tab w:val="num" w:pos="1724"/>
        </w:tabs>
        <w:ind w:left="1724"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097416"/>
    <w:multiLevelType w:val="hybridMultilevel"/>
    <w:tmpl w:val="83860A28"/>
    <w:lvl w:ilvl="0" w:tplc="3420F7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75490C"/>
    <w:multiLevelType w:val="hybridMultilevel"/>
    <w:tmpl w:val="0EC8845C"/>
    <w:lvl w:ilvl="0" w:tplc="63D43F7E">
      <w:start w:val="1"/>
      <w:numFmt w:val="decimal"/>
      <w:lvlText w:val="%1."/>
      <w:lvlJc w:val="left"/>
      <w:pPr>
        <w:ind w:left="720" w:hanging="360"/>
      </w:pPr>
      <w:rPr>
        <w:rFonts w:ascii="Garamond" w:eastAsiaTheme="minorHAnsi" w:hAnsi="Garamond" w:cstheme="minorBidi"/>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352D2"/>
    <w:multiLevelType w:val="hybridMultilevel"/>
    <w:tmpl w:val="06B6EC80"/>
    <w:lvl w:ilvl="0" w:tplc="BB54F63C">
      <w:start w:val="1"/>
      <w:numFmt w:val="decimal"/>
      <w:lvlText w:val="%1)"/>
      <w:lvlJc w:val="left"/>
      <w:pPr>
        <w:ind w:left="360" w:hanging="360"/>
      </w:pPr>
      <w:rPr>
        <w:rFonts w:ascii="Garamond" w:eastAsia="Calibri" w:hAnsi="Garamond"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F736B43"/>
    <w:multiLevelType w:val="hybridMultilevel"/>
    <w:tmpl w:val="53765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F24504"/>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3343F8"/>
    <w:multiLevelType w:val="hybridMultilevel"/>
    <w:tmpl w:val="8176071A"/>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8A7706"/>
    <w:multiLevelType w:val="hybridMultilevel"/>
    <w:tmpl w:val="B39873C4"/>
    <w:lvl w:ilvl="0" w:tplc="4634A126">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D6421"/>
    <w:multiLevelType w:val="hybridMultilevel"/>
    <w:tmpl w:val="F2DC852A"/>
    <w:lvl w:ilvl="0" w:tplc="3420F746">
      <w:start w:val="1"/>
      <w:numFmt w:val="bullet"/>
      <w:lvlText w:val=""/>
      <w:lvlJc w:val="left"/>
      <w:pPr>
        <w:ind w:left="720" w:hanging="360"/>
      </w:pPr>
      <w:rPr>
        <w:rFonts w:ascii="Symbol" w:hAnsi="Symbol" w:hint="default"/>
      </w:rPr>
    </w:lvl>
    <w:lvl w:ilvl="1" w:tplc="3AD2EF14">
      <w:start w:val="23"/>
      <w:numFmt w:val="bullet"/>
      <w:lvlText w:val=""/>
      <w:lvlJc w:val="left"/>
      <w:pPr>
        <w:ind w:left="1440" w:hanging="360"/>
      </w:pPr>
      <w:rPr>
        <w:rFonts w:ascii="Symbol" w:eastAsia="Times New Roman" w:hAnsi="Symbol" w:cs="Open San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B0B1C9C"/>
    <w:multiLevelType w:val="hybridMultilevel"/>
    <w:tmpl w:val="4BCAD36C"/>
    <w:lvl w:ilvl="0" w:tplc="84760B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2A043E"/>
    <w:multiLevelType w:val="hybridMultilevel"/>
    <w:tmpl w:val="DA7EA552"/>
    <w:lvl w:ilvl="0" w:tplc="A140BE80">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DEB6AB7"/>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393C0A"/>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93358F"/>
    <w:multiLevelType w:val="hybridMultilevel"/>
    <w:tmpl w:val="FA94A6B4"/>
    <w:lvl w:ilvl="0" w:tplc="109A4250">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5944763"/>
    <w:multiLevelType w:val="hybridMultilevel"/>
    <w:tmpl w:val="CA76AE74"/>
    <w:lvl w:ilvl="0" w:tplc="4314B964">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1" w15:restartNumberingAfterBreak="0">
    <w:nsid w:val="55A901B3"/>
    <w:multiLevelType w:val="hybridMultilevel"/>
    <w:tmpl w:val="B966EEB4"/>
    <w:lvl w:ilvl="0" w:tplc="11FA012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A908A8"/>
    <w:multiLevelType w:val="hybridMultilevel"/>
    <w:tmpl w:val="6FFEBC3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947C0"/>
    <w:multiLevelType w:val="hybridMultilevel"/>
    <w:tmpl w:val="B288C236"/>
    <w:lvl w:ilvl="0" w:tplc="3420F74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71023D"/>
    <w:multiLevelType w:val="hybridMultilevel"/>
    <w:tmpl w:val="38A0E4B6"/>
    <w:lvl w:ilvl="0" w:tplc="04150011">
      <w:start w:val="1"/>
      <w:numFmt w:val="decimal"/>
      <w:lvlText w:val="%1)"/>
      <w:lvlJc w:val="left"/>
      <w:pPr>
        <w:ind w:left="1429" w:hanging="360"/>
      </w:pPr>
      <w:rPr>
        <w:rFonts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5AF07981"/>
    <w:multiLevelType w:val="hybridMultilevel"/>
    <w:tmpl w:val="8A1245D0"/>
    <w:lvl w:ilvl="0" w:tplc="0409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DF6AC4"/>
    <w:multiLevelType w:val="hybridMultilevel"/>
    <w:tmpl w:val="2604E084"/>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100B3D"/>
    <w:multiLevelType w:val="hybridMultilevel"/>
    <w:tmpl w:val="BD4CC6EC"/>
    <w:lvl w:ilvl="0" w:tplc="C34CF3CC">
      <w:start w:val="1"/>
      <w:numFmt w:val="decimal"/>
      <w:lvlText w:val="%1)"/>
      <w:lvlJc w:val="left"/>
      <w:pPr>
        <w:tabs>
          <w:tab w:val="num" w:pos="785"/>
        </w:tabs>
        <w:ind w:left="785" w:hanging="360"/>
      </w:pPr>
      <w:rPr>
        <w:rFonts w:ascii="Garamond" w:hAnsi="Garamond" w:hint="default"/>
      </w:rPr>
    </w:lvl>
    <w:lvl w:ilvl="1" w:tplc="ED406316">
      <w:start w:val="1"/>
      <w:numFmt w:val="bullet"/>
      <w:lvlText w:val=""/>
      <w:lvlJc w:val="left"/>
      <w:pPr>
        <w:tabs>
          <w:tab w:val="num" w:pos="1505"/>
        </w:tabs>
        <w:ind w:left="1505" w:hanging="360"/>
      </w:pPr>
      <w:rPr>
        <w:rFonts w:ascii="Symbol" w:hAnsi="Symbol" w:hint="default"/>
        <w:sz w:val="16"/>
        <w:szCs w:val="16"/>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8" w15:restartNumberingAfterBreak="0">
    <w:nsid w:val="6C942E0C"/>
    <w:multiLevelType w:val="hybridMultilevel"/>
    <w:tmpl w:val="868ACE02"/>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AF0864"/>
    <w:multiLevelType w:val="hybridMultilevel"/>
    <w:tmpl w:val="4588EB26"/>
    <w:lvl w:ilvl="0" w:tplc="F9AE4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9545D5"/>
    <w:multiLevelType w:val="hybridMultilevel"/>
    <w:tmpl w:val="649E61C6"/>
    <w:lvl w:ilvl="0" w:tplc="B3C29B30">
      <w:start w:val="1"/>
      <w:numFmt w:val="decimal"/>
      <w:lvlText w:val="%1."/>
      <w:lvlJc w:val="left"/>
      <w:pPr>
        <w:ind w:left="1069" w:hanging="360"/>
      </w:pPr>
      <w:rPr>
        <w:rFonts w:ascii="Garamond" w:hAnsi="Garamond"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60F6B93"/>
    <w:multiLevelType w:val="hybridMultilevel"/>
    <w:tmpl w:val="1CF89A96"/>
    <w:lvl w:ilvl="0" w:tplc="617060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57B4B"/>
    <w:multiLevelType w:val="hybridMultilevel"/>
    <w:tmpl w:val="7180CFB2"/>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B5B1941"/>
    <w:multiLevelType w:val="hybridMultilevel"/>
    <w:tmpl w:val="0660041E"/>
    <w:lvl w:ilvl="0" w:tplc="4314B96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CB332F3"/>
    <w:multiLevelType w:val="hybridMultilevel"/>
    <w:tmpl w:val="A61638DE"/>
    <w:lvl w:ilvl="0" w:tplc="5A46B01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49"/>
  </w:num>
  <w:num w:numId="2">
    <w:abstractNumId w:val="46"/>
  </w:num>
  <w:num w:numId="3">
    <w:abstractNumId w:val="8"/>
  </w:num>
  <w:num w:numId="4">
    <w:abstractNumId w:val="55"/>
  </w:num>
  <w:num w:numId="5">
    <w:abstractNumId w:val="30"/>
  </w:num>
  <w:num w:numId="6">
    <w:abstractNumId w:val="21"/>
  </w:num>
  <w:num w:numId="7">
    <w:abstractNumId w:val="16"/>
  </w:num>
  <w:num w:numId="8">
    <w:abstractNumId w:val="22"/>
  </w:num>
  <w:num w:numId="9">
    <w:abstractNumId w:val="19"/>
  </w:num>
  <w:num w:numId="10">
    <w:abstractNumId w:val="50"/>
  </w:num>
  <w:num w:numId="11">
    <w:abstractNumId w:val="51"/>
  </w:num>
  <w:num w:numId="12">
    <w:abstractNumId w:val="6"/>
  </w:num>
  <w:num w:numId="13">
    <w:abstractNumId w:val="42"/>
  </w:num>
  <w:num w:numId="14">
    <w:abstractNumId w:val="4"/>
  </w:num>
  <w:num w:numId="15">
    <w:abstractNumId w:val="31"/>
  </w:num>
  <w:num w:numId="16">
    <w:abstractNumId w:val="36"/>
  </w:num>
  <w:num w:numId="17">
    <w:abstractNumId w:val="44"/>
  </w:num>
  <w:num w:numId="18">
    <w:abstractNumId w:val="23"/>
  </w:num>
  <w:num w:numId="19">
    <w:abstractNumId w:val="5"/>
  </w:num>
  <w:num w:numId="20">
    <w:abstractNumId w:val="12"/>
  </w:num>
  <w:num w:numId="21">
    <w:abstractNumId w:val="25"/>
  </w:num>
  <w:num w:numId="22">
    <w:abstractNumId w:val="41"/>
  </w:num>
  <w:num w:numId="23">
    <w:abstractNumId w:val="32"/>
  </w:num>
  <w:num w:numId="24">
    <w:abstractNumId w:val="17"/>
  </w:num>
  <w:num w:numId="25">
    <w:abstractNumId w:val="24"/>
  </w:num>
  <w:num w:numId="26">
    <w:abstractNumId w:val="11"/>
  </w:num>
  <w:num w:numId="27">
    <w:abstractNumId w:val="53"/>
  </w:num>
  <w:num w:numId="28">
    <w:abstractNumId w:val="15"/>
  </w:num>
  <w:num w:numId="29">
    <w:abstractNumId w:val="13"/>
  </w:num>
  <w:num w:numId="30">
    <w:abstractNumId w:val="48"/>
  </w:num>
  <w:num w:numId="31">
    <w:abstractNumId w:val="38"/>
  </w:num>
  <w:num w:numId="32">
    <w:abstractNumId w:val="3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num>
  <w:num w:numId="37">
    <w:abstractNumId w:val="26"/>
  </w:num>
  <w:num w:numId="38">
    <w:abstractNumId w:val="47"/>
  </w:num>
  <w:num w:numId="39">
    <w:abstractNumId w:val="29"/>
  </w:num>
  <w:num w:numId="40">
    <w:abstractNumId w:val="40"/>
  </w:num>
  <w:num w:numId="41">
    <w:abstractNumId w:val="0"/>
  </w:num>
  <w:num w:numId="42">
    <w:abstractNumId w:val="39"/>
  </w:num>
  <w:num w:numId="43">
    <w:abstractNumId w:val="43"/>
  </w:num>
  <w:num w:numId="44">
    <w:abstractNumId w:val="3"/>
  </w:num>
  <w:num w:numId="45">
    <w:abstractNumId w:val="7"/>
  </w:num>
  <w:num w:numId="46">
    <w:abstractNumId w:val="20"/>
  </w:num>
  <w:num w:numId="47">
    <w:abstractNumId w:val="33"/>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14"/>
  </w:num>
  <w:num w:numId="51">
    <w:abstractNumId w:val="10"/>
  </w:num>
  <w:num w:numId="52">
    <w:abstractNumId w:val="52"/>
  </w:num>
  <w:num w:numId="53">
    <w:abstractNumId w:val="28"/>
  </w:num>
  <w:num w:numId="54">
    <w:abstractNumId w:val="18"/>
  </w:num>
  <w:num w:numId="55">
    <w:abstractNumId w:val="45"/>
  </w:num>
  <w:num w:numId="56">
    <w:abstractNumId w:val="54"/>
  </w:num>
  <w:num w:numId="57">
    <w:abstractNumId w:val="35"/>
  </w:num>
  <w:num w:numId="58">
    <w:abstractNumId w:val="34"/>
  </w:num>
  <w:num w:numId="5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06DC"/>
    <w:rsid w:val="000015E8"/>
    <w:rsid w:val="00001FFF"/>
    <w:rsid w:val="00002060"/>
    <w:rsid w:val="00004D18"/>
    <w:rsid w:val="00004E74"/>
    <w:rsid w:val="000053A6"/>
    <w:rsid w:val="00005E80"/>
    <w:rsid w:val="0000621B"/>
    <w:rsid w:val="0000623A"/>
    <w:rsid w:val="00006383"/>
    <w:rsid w:val="00007675"/>
    <w:rsid w:val="00007923"/>
    <w:rsid w:val="00007C7C"/>
    <w:rsid w:val="00007ECB"/>
    <w:rsid w:val="00007EF0"/>
    <w:rsid w:val="00010DFC"/>
    <w:rsid w:val="00010E45"/>
    <w:rsid w:val="00011004"/>
    <w:rsid w:val="0001169E"/>
    <w:rsid w:val="000118E6"/>
    <w:rsid w:val="00012245"/>
    <w:rsid w:val="0001278B"/>
    <w:rsid w:val="0001285E"/>
    <w:rsid w:val="0001308E"/>
    <w:rsid w:val="00013255"/>
    <w:rsid w:val="00013591"/>
    <w:rsid w:val="00013D2B"/>
    <w:rsid w:val="000140C4"/>
    <w:rsid w:val="00014500"/>
    <w:rsid w:val="000145BE"/>
    <w:rsid w:val="000148FD"/>
    <w:rsid w:val="00015F29"/>
    <w:rsid w:val="000162D4"/>
    <w:rsid w:val="0001667F"/>
    <w:rsid w:val="00016BA1"/>
    <w:rsid w:val="0001795E"/>
    <w:rsid w:val="00017C77"/>
    <w:rsid w:val="00020185"/>
    <w:rsid w:val="000202BB"/>
    <w:rsid w:val="0002056B"/>
    <w:rsid w:val="00020946"/>
    <w:rsid w:val="000209C9"/>
    <w:rsid w:val="00021100"/>
    <w:rsid w:val="000215FD"/>
    <w:rsid w:val="000222BE"/>
    <w:rsid w:val="000225CD"/>
    <w:rsid w:val="00022DD0"/>
    <w:rsid w:val="00023D05"/>
    <w:rsid w:val="00023D85"/>
    <w:rsid w:val="00023F56"/>
    <w:rsid w:val="000245BC"/>
    <w:rsid w:val="00024C68"/>
    <w:rsid w:val="00025275"/>
    <w:rsid w:val="00025717"/>
    <w:rsid w:val="00025AD0"/>
    <w:rsid w:val="000260E9"/>
    <w:rsid w:val="0002671A"/>
    <w:rsid w:val="00026E1C"/>
    <w:rsid w:val="00026F5E"/>
    <w:rsid w:val="0002748B"/>
    <w:rsid w:val="0002775C"/>
    <w:rsid w:val="000279EC"/>
    <w:rsid w:val="00027FCB"/>
    <w:rsid w:val="000303C3"/>
    <w:rsid w:val="00030AB7"/>
    <w:rsid w:val="00030E2E"/>
    <w:rsid w:val="000312AC"/>
    <w:rsid w:val="00031B0C"/>
    <w:rsid w:val="00031E70"/>
    <w:rsid w:val="00032140"/>
    <w:rsid w:val="00032A63"/>
    <w:rsid w:val="000338B4"/>
    <w:rsid w:val="00033A61"/>
    <w:rsid w:val="0003429D"/>
    <w:rsid w:val="000348ED"/>
    <w:rsid w:val="00034DCA"/>
    <w:rsid w:val="00035417"/>
    <w:rsid w:val="00035512"/>
    <w:rsid w:val="00035BD0"/>
    <w:rsid w:val="00036116"/>
    <w:rsid w:val="00036690"/>
    <w:rsid w:val="0003676C"/>
    <w:rsid w:val="00036ECD"/>
    <w:rsid w:val="00037222"/>
    <w:rsid w:val="00037561"/>
    <w:rsid w:val="00037E97"/>
    <w:rsid w:val="0004068E"/>
    <w:rsid w:val="000409CC"/>
    <w:rsid w:val="00040EB6"/>
    <w:rsid w:val="00040F6E"/>
    <w:rsid w:val="00041158"/>
    <w:rsid w:val="00041430"/>
    <w:rsid w:val="00041B8F"/>
    <w:rsid w:val="00043038"/>
    <w:rsid w:val="00043836"/>
    <w:rsid w:val="00043ACE"/>
    <w:rsid w:val="00043E66"/>
    <w:rsid w:val="00044D35"/>
    <w:rsid w:val="00044DFC"/>
    <w:rsid w:val="000463CE"/>
    <w:rsid w:val="00051C18"/>
    <w:rsid w:val="000520B3"/>
    <w:rsid w:val="000523D5"/>
    <w:rsid w:val="000523F2"/>
    <w:rsid w:val="00052580"/>
    <w:rsid w:val="00052972"/>
    <w:rsid w:val="00052F8A"/>
    <w:rsid w:val="00052FCA"/>
    <w:rsid w:val="00054191"/>
    <w:rsid w:val="00054F55"/>
    <w:rsid w:val="000576B3"/>
    <w:rsid w:val="000605B1"/>
    <w:rsid w:val="000611B2"/>
    <w:rsid w:val="000611C6"/>
    <w:rsid w:val="00061D29"/>
    <w:rsid w:val="00061DB4"/>
    <w:rsid w:val="000641FF"/>
    <w:rsid w:val="00064D7B"/>
    <w:rsid w:val="00064DC7"/>
    <w:rsid w:val="00065511"/>
    <w:rsid w:val="000656E4"/>
    <w:rsid w:val="0006695F"/>
    <w:rsid w:val="00067CE1"/>
    <w:rsid w:val="00067CF0"/>
    <w:rsid w:val="0007018E"/>
    <w:rsid w:val="00070A9A"/>
    <w:rsid w:val="00070ECF"/>
    <w:rsid w:val="00071245"/>
    <w:rsid w:val="00071F72"/>
    <w:rsid w:val="0007211C"/>
    <w:rsid w:val="00072CDB"/>
    <w:rsid w:val="0007320C"/>
    <w:rsid w:val="0007399D"/>
    <w:rsid w:val="000739B9"/>
    <w:rsid w:val="00073DA9"/>
    <w:rsid w:val="00073F44"/>
    <w:rsid w:val="00075256"/>
    <w:rsid w:val="00075B1B"/>
    <w:rsid w:val="00075B2D"/>
    <w:rsid w:val="000760F4"/>
    <w:rsid w:val="00076650"/>
    <w:rsid w:val="0007668C"/>
    <w:rsid w:val="00077B1A"/>
    <w:rsid w:val="00080601"/>
    <w:rsid w:val="0008060E"/>
    <w:rsid w:val="00080621"/>
    <w:rsid w:val="00080761"/>
    <w:rsid w:val="000808E8"/>
    <w:rsid w:val="00080910"/>
    <w:rsid w:val="00080B2F"/>
    <w:rsid w:val="00080E7E"/>
    <w:rsid w:val="000824A7"/>
    <w:rsid w:val="000828F0"/>
    <w:rsid w:val="00082E3F"/>
    <w:rsid w:val="00082F7D"/>
    <w:rsid w:val="00083029"/>
    <w:rsid w:val="0008331B"/>
    <w:rsid w:val="00084232"/>
    <w:rsid w:val="00084BC4"/>
    <w:rsid w:val="00085296"/>
    <w:rsid w:val="00085533"/>
    <w:rsid w:val="00085AFF"/>
    <w:rsid w:val="00085B7F"/>
    <w:rsid w:val="00086DB8"/>
    <w:rsid w:val="000873CE"/>
    <w:rsid w:val="0009079C"/>
    <w:rsid w:val="000908C8"/>
    <w:rsid w:val="0009199B"/>
    <w:rsid w:val="00092036"/>
    <w:rsid w:val="00092594"/>
    <w:rsid w:val="00092845"/>
    <w:rsid w:val="000929A7"/>
    <w:rsid w:val="00092A6A"/>
    <w:rsid w:val="000930CB"/>
    <w:rsid w:val="00093A7F"/>
    <w:rsid w:val="0009565C"/>
    <w:rsid w:val="0009567B"/>
    <w:rsid w:val="000958D5"/>
    <w:rsid w:val="00096589"/>
    <w:rsid w:val="00097E0D"/>
    <w:rsid w:val="000A0D8C"/>
    <w:rsid w:val="000A138E"/>
    <w:rsid w:val="000A1805"/>
    <w:rsid w:val="000A37BB"/>
    <w:rsid w:val="000A3F50"/>
    <w:rsid w:val="000A4293"/>
    <w:rsid w:val="000A4358"/>
    <w:rsid w:val="000A4360"/>
    <w:rsid w:val="000A446E"/>
    <w:rsid w:val="000A51CA"/>
    <w:rsid w:val="000A586D"/>
    <w:rsid w:val="000A60CD"/>
    <w:rsid w:val="000A6800"/>
    <w:rsid w:val="000A6AC0"/>
    <w:rsid w:val="000A6D07"/>
    <w:rsid w:val="000A7C11"/>
    <w:rsid w:val="000B0B3D"/>
    <w:rsid w:val="000B0C07"/>
    <w:rsid w:val="000B10C0"/>
    <w:rsid w:val="000B1963"/>
    <w:rsid w:val="000B1F92"/>
    <w:rsid w:val="000B215C"/>
    <w:rsid w:val="000B2CC5"/>
    <w:rsid w:val="000B3869"/>
    <w:rsid w:val="000B3D5B"/>
    <w:rsid w:val="000B453B"/>
    <w:rsid w:val="000B4AC7"/>
    <w:rsid w:val="000B575F"/>
    <w:rsid w:val="000B577F"/>
    <w:rsid w:val="000B64D9"/>
    <w:rsid w:val="000B711F"/>
    <w:rsid w:val="000B76E8"/>
    <w:rsid w:val="000B79FB"/>
    <w:rsid w:val="000B7A24"/>
    <w:rsid w:val="000C01D1"/>
    <w:rsid w:val="000C066E"/>
    <w:rsid w:val="000C0692"/>
    <w:rsid w:val="000C06F5"/>
    <w:rsid w:val="000C1137"/>
    <w:rsid w:val="000C18C5"/>
    <w:rsid w:val="000C193D"/>
    <w:rsid w:val="000C1B4E"/>
    <w:rsid w:val="000C1C52"/>
    <w:rsid w:val="000C2FE8"/>
    <w:rsid w:val="000C37D0"/>
    <w:rsid w:val="000C41C7"/>
    <w:rsid w:val="000C4A99"/>
    <w:rsid w:val="000C4CDA"/>
    <w:rsid w:val="000C4D88"/>
    <w:rsid w:val="000C60BD"/>
    <w:rsid w:val="000C6706"/>
    <w:rsid w:val="000C6968"/>
    <w:rsid w:val="000C710C"/>
    <w:rsid w:val="000C711C"/>
    <w:rsid w:val="000C769D"/>
    <w:rsid w:val="000C7FA0"/>
    <w:rsid w:val="000D04E0"/>
    <w:rsid w:val="000D068B"/>
    <w:rsid w:val="000D18F3"/>
    <w:rsid w:val="000D191D"/>
    <w:rsid w:val="000D1BCC"/>
    <w:rsid w:val="000D2976"/>
    <w:rsid w:val="000D3BCB"/>
    <w:rsid w:val="000D3D7E"/>
    <w:rsid w:val="000D4358"/>
    <w:rsid w:val="000D4477"/>
    <w:rsid w:val="000D4B3D"/>
    <w:rsid w:val="000D547C"/>
    <w:rsid w:val="000D5531"/>
    <w:rsid w:val="000D63F7"/>
    <w:rsid w:val="000D65A6"/>
    <w:rsid w:val="000D6CB9"/>
    <w:rsid w:val="000D6EE9"/>
    <w:rsid w:val="000D70D2"/>
    <w:rsid w:val="000D7435"/>
    <w:rsid w:val="000D79AE"/>
    <w:rsid w:val="000E08D5"/>
    <w:rsid w:val="000E0DA9"/>
    <w:rsid w:val="000E0FEA"/>
    <w:rsid w:val="000E1164"/>
    <w:rsid w:val="000E1364"/>
    <w:rsid w:val="000E154F"/>
    <w:rsid w:val="000E1A08"/>
    <w:rsid w:val="000E299C"/>
    <w:rsid w:val="000E2A9C"/>
    <w:rsid w:val="000E3723"/>
    <w:rsid w:val="000E38DD"/>
    <w:rsid w:val="000E445B"/>
    <w:rsid w:val="000E4631"/>
    <w:rsid w:val="000E4853"/>
    <w:rsid w:val="000E538F"/>
    <w:rsid w:val="000E5629"/>
    <w:rsid w:val="000E6C04"/>
    <w:rsid w:val="000E7748"/>
    <w:rsid w:val="000F0333"/>
    <w:rsid w:val="000F0E07"/>
    <w:rsid w:val="000F1266"/>
    <w:rsid w:val="000F12AB"/>
    <w:rsid w:val="000F1698"/>
    <w:rsid w:val="000F2A3A"/>
    <w:rsid w:val="000F37A5"/>
    <w:rsid w:val="000F48C9"/>
    <w:rsid w:val="000F5F74"/>
    <w:rsid w:val="000F60E8"/>
    <w:rsid w:val="000F796B"/>
    <w:rsid w:val="001013A1"/>
    <w:rsid w:val="00101C4C"/>
    <w:rsid w:val="0010215B"/>
    <w:rsid w:val="00103910"/>
    <w:rsid w:val="00105B75"/>
    <w:rsid w:val="00105C65"/>
    <w:rsid w:val="00106D97"/>
    <w:rsid w:val="00106F35"/>
    <w:rsid w:val="001079B7"/>
    <w:rsid w:val="00107DE7"/>
    <w:rsid w:val="00110278"/>
    <w:rsid w:val="001105AC"/>
    <w:rsid w:val="001106B4"/>
    <w:rsid w:val="00110994"/>
    <w:rsid w:val="00110C7F"/>
    <w:rsid w:val="00111422"/>
    <w:rsid w:val="001126C9"/>
    <w:rsid w:val="00112AB3"/>
    <w:rsid w:val="001133D8"/>
    <w:rsid w:val="0011425C"/>
    <w:rsid w:val="00114343"/>
    <w:rsid w:val="001151E3"/>
    <w:rsid w:val="0011577F"/>
    <w:rsid w:val="00116451"/>
    <w:rsid w:val="00116806"/>
    <w:rsid w:val="00117229"/>
    <w:rsid w:val="0011733B"/>
    <w:rsid w:val="00117DF0"/>
    <w:rsid w:val="001204B2"/>
    <w:rsid w:val="00120AA7"/>
    <w:rsid w:val="00120FDE"/>
    <w:rsid w:val="001211EE"/>
    <w:rsid w:val="00121350"/>
    <w:rsid w:val="00122061"/>
    <w:rsid w:val="00122400"/>
    <w:rsid w:val="001228C8"/>
    <w:rsid w:val="00122F53"/>
    <w:rsid w:val="001236E0"/>
    <w:rsid w:val="0012372E"/>
    <w:rsid w:val="00123B75"/>
    <w:rsid w:val="001245CF"/>
    <w:rsid w:val="0012467C"/>
    <w:rsid w:val="001246FF"/>
    <w:rsid w:val="00125C89"/>
    <w:rsid w:val="00125E0F"/>
    <w:rsid w:val="00126A5C"/>
    <w:rsid w:val="00126BAB"/>
    <w:rsid w:val="00126BED"/>
    <w:rsid w:val="001279D7"/>
    <w:rsid w:val="00130044"/>
    <w:rsid w:val="00130DF2"/>
    <w:rsid w:val="00130F1A"/>
    <w:rsid w:val="001312B0"/>
    <w:rsid w:val="0013134A"/>
    <w:rsid w:val="001315FF"/>
    <w:rsid w:val="00131736"/>
    <w:rsid w:val="00131ACE"/>
    <w:rsid w:val="00131EB7"/>
    <w:rsid w:val="0013282F"/>
    <w:rsid w:val="00132CB4"/>
    <w:rsid w:val="00132DD2"/>
    <w:rsid w:val="0013339C"/>
    <w:rsid w:val="00133DB8"/>
    <w:rsid w:val="00134084"/>
    <w:rsid w:val="001350E4"/>
    <w:rsid w:val="001352C5"/>
    <w:rsid w:val="00136030"/>
    <w:rsid w:val="001368A9"/>
    <w:rsid w:val="00136935"/>
    <w:rsid w:val="00137338"/>
    <w:rsid w:val="001377F3"/>
    <w:rsid w:val="00140682"/>
    <w:rsid w:val="0014212B"/>
    <w:rsid w:val="00142595"/>
    <w:rsid w:val="0014291C"/>
    <w:rsid w:val="00142A42"/>
    <w:rsid w:val="001431A1"/>
    <w:rsid w:val="001435FC"/>
    <w:rsid w:val="00143895"/>
    <w:rsid w:val="00143A42"/>
    <w:rsid w:val="00143E6B"/>
    <w:rsid w:val="00144FE8"/>
    <w:rsid w:val="00145691"/>
    <w:rsid w:val="00145C3F"/>
    <w:rsid w:val="00147A66"/>
    <w:rsid w:val="00150DCA"/>
    <w:rsid w:val="0015105E"/>
    <w:rsid w:val="00151173"/>
    <w:rsid w:val="00151330"/>
    <w:rsid w:val="001513DE"/>
    <w:rsid w:val="0015205D"/>
    <w:rsid w:val="001522DF"/>
    <w:rsid w:val="00152376"/>
    <w:rsid w:val="0015252E"/>
    <w:rsid w:val="0015253F"/>
    <w:rsid w:val="00152ACC"/>
    <w:rsid w:val="001535A1"/>
    <w:rsid w:val="0015385E"/>
    <w:rsid w:val="0015413A"/>
    <w:rsid w:val="0015459B"/>
    <w:rsid w:val="00154B7F"/>
    <w:rsid w:val="00154FB5"/>
    <w:rsid w:val="0015570D"/>
    <w:rsid w:val="0015594D"/>
    <w:rsid w:val="00155A7A"/>
    <w:rsid w:val="00155A8D"/>
    <w:rsid w:val="00155C23"/>
    <w:rsid w:val="00156292"/>
    <w:rsid w:val="00156784"/>
    <w:rsid w:val="00156AD2"/>
    <w:rsid w:val="00156F35"/>
    <w:rsid w:val="0015741A"/>
    <w:rsid w:val="00161876"/>
    <w:rsid w:val="001622EF"/>
    <w:rsid w:val="00162486"/>
    <w:rsid w:val="00162EFA"/>
    <w:rsid w:val="00163136"/>
    <w:rsid w:val="00163EE0"/>
    <w:rsid w:val="00164CD1"/>
    <w:rsid w:val="00164E44"/>
    <w:rsid w:val="00164F15"/>
    <w:rsid w:val="00165963"/>
    <w:rsid w:val="00165C8F"/>
    <w:rsid w:val="00165DAA"/>
    <w:rsid w:val="00166026"/>
    <w:rsid w:val="001670B6"/>
    <w:rsid w:val="001705D8"/>
    <w:rsid w:val="00170679"/>
    <w:rsid w:val="001706B3"/>
    <w:rsid w:val="00170771"/>
    <w:rsid w:val="00170960"/>
    <w:rsid w:val="00170AB7"/>
    <w:rsid w:val="00170B1D"/>
    <w:rsid w:val="00170B61"/>
    <w:rsid w:val="001714B4"/>
    <w:rsid w:val="00171582"/>
    <w:rsid w:val="001716BB"/>
    <w:rsid w:val="00171C2F"/>
    <w:rsid w:val="00171E67"/>
    <w:rsid w:val="00171FFE"/>
    <w:rsid w:val="001726EA"/>
    <w:rsid w:val="00173371"/>
    <w:rsid w:val="001742ED"/>
    <w:rsid w:val="0017664D"/>
    <w:rsid w:val="001768A5"/>
    <w:rsid w:val="00176AEA"/>
    <w:rsid w:val="00176F8E"/>
    <w:rsid w:val="00177171"/>
    <w:rsid w:val="00177B01"/>
    <w:rsid w:val="001802A0"/>
    <w:rsid w:val="001804FE"/>
    <w:rsid w:val="001805EE"/>
    <w:rsid w:val="00180DB3"/>
    <w:rsid w:val="001814DF"/>
    <w:rsid w:val="0018185C"/>
    <w:rsid w:val="001822F5"/>
    <w:rsid w:val="00183522"/>
    <w:rsid w:val="001838E1"/>
    <w:rsid w:val="00184325"/>
    <w:rsid w:val="001858CA"/>
    <w:rsid w:val="00185BF1"/>
    <w:rsid w:val="0018676F"/>
    <w:rsid w:val="00190067"/>
    <w:rsid w:val="00190EDC"/>
    <w:rsid w:val="00190EEB"/>
    <w:rsid w:val="001911C6"/>
    <w:rsid w:val="0019183F"/>
    <w:rsid w:val="00191E8A"/>
    <w:rsid w:val="001920CB"/>
    <w:rsid w:val="00192E97"/>
    <w:rsid w:val="00193F9E"/>
    <w:rsid w:val="00194C32"/>
    <w:rsid w:val="00194F7E"/>
    <w:rsid w:val="001963FE"/>
    <w:rsid w:val="001975CC"/>
    <w:rsid w:val="00197BC6"/>
    <w:rsid w:val="001A0725"/>
    <w:rsid w:val="001A0AB9"/>
    <w:rsid w:val="001A1274"/>
    <w:rsid w:val="001A1381"/>
    <w:rsid w:val="001A19F2"/>
    <w:rsid w:val="001A2B0B"/>
    <w:rsid w:val="001A2B15"/>
    <w:rsid w:val="001A45E0"/>
    <w:rsid w:val="001A496F"/>
    <w:rsid w:val="001A5935"/>
    <w:rsid w:val="001A6218"/>
    <w:rsid w:val="001A7051"/>
    <w:rsid w:val="001B191C"/>
    <w:rsid w:val="001B1EF9"/>
    <w:rsid w:val="001B374B"/>
    <w:rsid w:val="001B3C4A"/>
    <w:rsid w:val="001B4430"/>
    <w:rsid w:val="001B455F"/>
    <w:rsid w:val="001B4A25"/>
    <w:rsid w:val="001B4CAC"/>
    <w:rsid w:val="001B503D"/>
    <w:rsid w:val="001B538E"/>
    <w:rsid w:val="001B570F"/>
    <w:rsid w:val="001B5EB2"/>
    <w:rsid w:val="001B5FEC"/>
    <w:rsid w:val="001B743A"/>
    <w:rsid w:val="001B77BD"/>
    <w:rsid w:val="001B7A8F"/>
    <w:rsid w:val="001C01D6"/>
    <w:rsid w:val="001C0334"/>
    <w:rsid w:val="001C08F7"/>
    <w:rsid w:val="001C0CF1"/>
    <w:rsid w:val="001C1175"/>
    <w:rsid w:val="001C11C2"/>
    <w:rsid w:val="001C1243"/>
    <w:rsid w:val="001C19C3"/>
    <w:rsid w:val="001C1AF3"/>
    <w:rsid w:val="001C1CFC"/>
    <w:rsid w:val="001C1FE4"/>
    <w:rsid w:val="001C2141"/>
    <w:rsid w:val="001C24D3"/>
    <w:rsid w:val="001C2B11"/>
    <w:rsid w:val="001C318C"/>
    <w:rsid w:val="001C50F3"/>
    <w:rsid w:val="001C571B"/>
    <w:rsid w:val="001C5F33"/>
    <w:rsid w:val="001C6FFC"/>
    <w:rsid w:val="001C7353"/>
    <w:rsid w:val="001D02A4"/>
    <w:rsid w:val="001D1EE7"/>
    <w:rsid w:val="001D22FE"/>
    <w:rsid w:val="001D2F20"/>
    <w:rsid w:val="001D339A"/>
    <w:rsid w:val="001D3631"/>
    <w:rsid w:val="001D3AA4"/>
    <w:rsid w:val="001D476C"/>
    <w:rsid w:val="001D4C26"/>
    <w:rsid w:val="001D50FA"/>
    <w:rsid w:val="001D5802"/>
    <w:rsid w:val="001D5AE0"/>
    <w:rsid w:val="001D5FA5"/>
    <w:rsid w:val="001D6109"/>
    <w:rsid w:val="001D754A"/>
    <w:rsid w:val="001E012A"/>
    <w:rsid w:val="001E05DA"/>
    <w:rsid w:val="001E0868"/>
    <w:rsid w:val="001E0D24"/>
    <w:rsid w:val="001E1B77"/>
    <w:rsid w:val="001E1D64"/>
    <w:rsid w:val="001E23E8"/>
    <w:rsid w:val="001E28C3"/>
    <w:rsid w:val="001E34BC"/>
    <w:rsid w:val="001E43A4"/>
    <w:rsid w:val="001E44DD"/>
    <w:rsid w:val="001E452F"/>
    <w:rsid w:val="001E5676"/>
    <w:rsid w:val="001E6031"/>
    <w:rsid w:val="001E661E"/>
    <w:rsid w:val="001E6D88"/>
    <w:rsid w:val="001F02B2"/>
    <w:rsid w:val="001F0310"/>
    <w:rsid w:val="001F08FD"/>
    <w:rsid w:val="001F0AB2"/>
    <w:rsid w:val="001F108F"/>
    <w:rsid w:val="001F3739"/>
    <w:rsid w:val="001F3752"/>
    <w:rsid w:val="001F375F"/>
    <w:rsid w:val="001F3EF0"/>
    <w:rsid w:val="001F4082"/>
    <w:rsid w:val="001F4164"/>
    <w:rsid w:val="001F4955"/>
    <w:rsid w:val="001F4EC5"/>
    <w:rsid w:val="001F4F69"/>
    <w:rsid w:val="001F5308"/>
    <w:rsid w:val="001F571A"/>
    <w:rsid w:val="001F5AE7"/>
    <w:rsid w:val="001F5B9D"/>
    <w:rsid w:val="001F642D"/>
    <w:rsid w:val="001F69E4"/>
    <w:rsid w:val="001F6B74"/>
    <w:rsid w:val="001F707C"/>
    <w:rsid w:val="001F7868"/>
    <w:rsid w:val="0020053D"/>
    <w:rsid w:val="002005CC"/>
    <w:rsid w:val="002005CD"/>
    <w:rsid w:val="0020098E"/>
    <w:rsid w:val="00200D8F"/>
    <w:rsid w:val="00200DB2"/>
    <w:rsid w:val="00200ED7"/>
    <w:rsid w:val="00201172"/>
    <w:rsid w:val="00201531"/>
    <w:rsid w:val="00201A2A"/>
    <w:rsid w:val="00201FD0"/>
    <w:rsid w:val="002023D8"/>
    <w:rsid w:val="00202C2E"/>
    <w:rsid w:val="00202C90"/>
    <w:rsid w:val="002030CC"/>
    <w:rsid w:val="002036C8"/>
    <w:rsid w:val="002037CC"/>
    <w:rsid w:val="00203AB5"/>
    <w:rsid w:val="002047FA"/>
    <w:rsid w:val="00204801"/>
    <w:rsid w:val="0020545F"/>
    <w:rsid w:val="00206034"/>
    <w:rsid w:val="00206073"/>
    <w:rsid w:val="0020618A"/>
    <w:rsid w:val="00206301"/>
    <w:rsid w:val="00206FA8"/>
    <w:rsid w:val="00207564"/>
    <w:rsid w:val="002106D4"/>
    <w:rsid w:val="00211826"/>
    <w:rsid w:val="00212017"/>
    <w:rsid w:val="00212814"/>
    <w:rsid w:val="002130DB"/>
    <w:rsid w:val="002136B0"/>
    <w:rsid w:val="002137A4"/>
    <w:rsid w:val="00213993"/>
    <w:rsid w:val="00213BA8"/>
    <w:rsid w:val="00213C8E"/>
    <w:rsid w:val="00214A4D"/>
    <w:rsid w:val="00214AF0"/>
    <w:rsid w:val="00214B8C"/>
    <w:rsid w:val="0021584F"/>
    <w:rsid w:val="00216549"/>
    <w:rsid w:val="002168C4"/>
    <w:rsid w:val="00216926"/>
    <w:rsid w:val="00216D38"/>
    <w:rsid w:val="00217442"/>
    <w:rsid w:val="002177A0"/>
    <w:rsid w:val="0022057C"/>
    <w:rsid w:val="00221914"/>
    <w:rsid w:val="00222449"/>
    <w:rsid w:val="00222EE4"/>
    <w:rsid w:val="00223005"/>
    <w:rsid w:val="002230C8"/>
    <w:rsid w:val="00224833"/>
    <w:rsid w:val="00225A7D"/>
    <w:rsid w:val="002265C4"/>
    <w:rsid w:val="002271B6"/>
    <w:rsid w:val="00227838"/>
    <w:rsid w:val="00227BD4"/>
    <w:rsid w:val="00230709"/>
    <w:rsid w:val="002317CD"/>
    <w:rsid w:val="00231C0B"/>
    <w:rsid w:val="00231FC4"/>
    <w:rsid w:val="0023266D"/>
    <w:rsid w:val="00232A0A"/>
    <w:rsid w:val="00232FA8"/>
    <w:rsid w:val="00233EB1"/>
    <w:rsid w:val="002341BC"/>
    <w:rsid w:val="00234367"/>
    <w:rsid w:val="00234F17"/>
    <w:rsid w:val="00235066"/>
    <w:rsid w:val="002369F1"/>
    <w:rsid w:val="00236D2A"/>
    <w:rsid w:val="00237CDA"/>
    <w:rsid w:val="00237EC2"/>
    <w:rsid w:val="002407B1"/>
    <w:rsid w:val="002412C7"/>
    <w:rsid w:val="00241FA4"/>
    <w:rsid w:val="002421EF"/>
    <w:rsid w:val="00242D8D"/>
    <w:rsid w:val="00243FE3"/>
    <w:rsid w:val="002451D4"/>
    <w:rsid w:val="002452AD"/>
    <w:rsid w:val="00245436"/>
    <w:rsid w:val="00245949"/>
    <w:rsid w:val="00245A02"/>
    <w:rsid w:val="00245C78"/>
    <w:rsid w:val="00246EF2"/>
    <w:rsid w:val="00247237"/>
    <w:rsid w:val="002475C1"/>
    <w:rsid w:val="0024780C"/>
    <w:rsid w:val="00250F87"/>
    <w:rsid w:val="00251063"/>
    <w:rsid w:val="00251279"/>
    <w:rsid w:val="0025188F"/>
    <w:rsid w:val="00251D59"/>
    <w:rsid w:val="0025202E"/>
    <w:rsid w:val="0025272A"/>
    <w:rsid w:val="00252C80"/>
    <w:rsid w:val="00252D2C"/>
    <w:rsid w:val="00253152"/>
    <w:rsid w:val="002532C7"/>
    <w:rsid w:val="002536A6"/>
    <w:rsid w:val="00253ACA"/>
    <w:rsid w:val="00253D74"/>
    <w:rsid w:val="0025436D"/>
    <w:rsid w:val="00254D79"/>
    <w:rsid w:val="0025530B"/>
    <w:rsid w:val="00255413"/>
    <w:rsid w:val="00255715"/>
    <w:rsid w:val="00255A2B"/>
    <w:rsid w:val="002568BA"/>
    <w:rsid w:val="002571E4"/>
    <w:rsid w:val="002572BB"/>
    <w:rsid w:val="00257DB6"/>
    <w:rsid w:val="0026034A"/>
    <w:rsid w:val="0026051C"/>
    <w:rsid w:val="0026104E"/>
    <w:rsid w:val="00261067"/>
    <w:rsid w:val="002622FA"/>
    <w:rsid w:val="00262491"/>
    <w:rsid w:val="002627BA"/>
    <w:rsid w:val="00262A95"/>
    <w:rsid w:val="00262FCB"/>
    <w:rsid w:val="00263314"/>
    <w:rsid w:val="002635D2"/>
    <w:rsid w:val="00263B7C"/>
    <w:rsid w:val="00263C52"/>
    <w:rsid w:val="002645D7"/>
    <w:rsid w:val="002651D9"/>
    <w:rsid w:val="0026526C"/>
    <w:rsid w:val="0026533D"/>
    <w:rsid w:val="00265A25"/>
    <w:rsid w:val="00265CA2"/>
    <w:rsid w:val="002661EC"/>
    <w:rsid w:val="00266320"/>
    <w:rsid w:val="002664CD"/>
    <w:rsid w:val="00266DE2"/>
    <w:rsid w:val="0026726E"/>
    <w:rsid w:val="00267B06"/>
    <w:rsid w:val="00267E49"/>
    <w:rsid w:val="0027002D"/>
    <w:rsid w:val="0027020D"/>
    <w:rsid w:val="00270789"/>
    <w:rsid w:val="00270AEE"/>
    <w:rsid w:val="0027104E"/>
    <w:rsid w:val="0027186A"/>
    <w:rsid w:val="00271DB1"/>
    <w:rsid w:val="00271EA5"/>
    <w:rsid w:val="00273706"/>
    <w:rsid w:val="00273CFC"/>
    <w:rsid w:val="00273D89"/>
    <w:rsid w:val="00274059"/>
    <w:rsid w:val="00274781"/>
    <w:rsid w:val="00274A6F"/>
    <w:rsid w:val="00274FA7"/>
    <w:rsid w:val="002761E9"/>
    <w:rsid w:val="00276D26"/>
    <w:rsid w:val="002770A0"/>
    <w:rsid w:val="002808A1"/>
    <w:rsid w:val="00280E11"/>
    <w:rsid w:val="002820C1"/>
    <w:rsid w:val="00282FE1"/>
    <w:rsid w:val="00283340"/>
    <w:rsid w:val="00283AC1"/>
    <w:rsid w:val="0028486E"/>
    <w:rsid w:val="002849A0"/>
    <w:rsid w:val="0028523E"/>
    <w:rsid w:val="00285956"/>
    <w:rsid w:val="002859B7"/>
    <w:rsid w:val="00285D62"/>
    <w:rsid w:val="00286455"/>
    <w:rsid w:val="002867B4"/>
    <w:rsid w:val="00286A09"/>
    <w:rsid w:val="00286FBD"/>
    <w:rsid w:val="002875AD"/>
    <w:rsid w:val="00287711"/>
    <w:rsid w:val="00287B3C"/>
    <w:rsid w:val="00287B4C"/>
    <w:rsid w:val="00290520"/>
    <w:rsid w:val="002906B5"/>
    <w:rsid w:val="00291189"/>
    <w:rsid w:val="00291C5B"/>
    <w:rsid w:val="00292218"/>
    <w:rsid w:val="00292F14"/>
    <w:rsid w:val="00293FAE"/>
    <w:rsid w:val="002944F8"/>
    <w:rsid w:val="002946B0"/>
    <w:rsid w:val="0029479E"/>
    <w:rsid w:val="00294ED9"/>
    <w:rsid w:val="00295905"/>
    <w:rsid w:val="002963C7"/>
    <w:rsid w:val="0029662B"/>
    <w:rsid w:val="0029710B"/>
    <w:rsid w:val="00297B3C"/>
    <w:rsid w:val="002A0390"/>
    <w:rsid w:val="002A14AA"/>
    <w:rsid w:val="002A18FD"/>
    <w:rsid w:val="002A2E52"/>
    <w:rsid w:val="002A31EC"/>
    <w:rsid w:val="002A3571"/>
    <w:rsid w:val="002A5615"/>
    <w:rsid w:val="002A57B7"/>
    <w:rsid w:val="002A5FFD"/>
    <w:rsid w:val="002A62C0"/>
    <w:rsid w:val="002A66EA"/>
    <w:rsid w:val="002A6BE9"/>
    <w:rsid w:val="002A7375"/>
    <w:rsid w:val="002A7C15"/>
    <w:rsid w:val="002B0517"/>
    <w:rsid w:val="002B0805"/>
    <w:rsid w:val="002B0C68"/>
    <w:rsid w:val="002B1082"/>
    <w:rsid w:val="002B1E10"/>
    <w:rsid w:val="002B2335"/>
    <w:rsid w:val="002B30C9"/>
    <w:rsid w:val="002B47F4"/>
    <w:rsid w:val="002B5220"/>
    <w:rsid w:val="002B5679"/>
    <w:rsid w:val="002B5F14"/>
    <w:rsid w:val="002B6268"/>
    <w:rsid w:val="002B6F18"/>
    <w:rsid w:val="002B7827"/>
    <w:rsid w:val="002B7A72"/>
    <w:rsid w:val="002B7B5E"/>
    <w:rsid w:val="002B7D6D"/>
    <w:rsid w:val="002C0A4B"/>
    <w:rsid w:val="002C1DD4"/>
    <w:rsid w:val="002C1E84"/>
    <w:rsid w:val="002C228F"/>
    <w:rsid w:val="002C2674"/>
    <w:rsid w:val="002C2DFE"/>
    <w:rsid w:val="002C3411"/>
    <w:rsid w:val="002C3ADC"/>
    <w:rsid w:val="002C3CFE"/>
    <w:rsid w:val="002C48C6"/>
    <w:rsid w:val="002C4D53"/>
    <w:rsid w:val="002C520C"/>
    <w:rsid w:val="002C534C"/>
    <w:rsid w:val="002C54FC"/>
    <w:rsid w:val="002C58B9"/>
    <w:rsid w:val="002C71BC"/>
    <w:rsid w:val="002C74C0"/>
    <w:rsid w:val="002C76F9"/>
    <w:rsid w:val="002C7E06"/>
    <w:rsid w:val="002D05A2"/>
    <w:rsid w:val="002D0CAF"/>
    <w:rsid w:val="002D10B3"/>
    <w:rsid w:val="002D174E"/>
    <w:rsid w:val="002D198E"/>
    <w:rsid w:val="002D1D06"/>
    <w:rsid w:val="002D2330"/>
    <w:rsid w:val="002D2AF6"/>
    <w:rsid w:val="002D2DBE"/>
    <w:rsid w:val="002D3B80"/>
    <w:rsid w:val="002D46D1"/>
    <w:rsid w:val="002D48A2"/>
    <w:rsid w:val="002D4C55"/>
    <w:rsid w:val="002D53D2"/>
    <w:rsid w:val="002D56D8"/>
    <w:rsid w:val="002D579E"/>
    <w:rsid w:val="002D5A1E"/>
    <w:rsid w:val="002D5AD7"/>
    <w:rsid w:val="002D5C0E"/>
    <w:rsid w:val="002D5E0B"/>
    <w:rsid w:val="002D6387"/>
    <w:rsid w:val="002D6943"/>
    <w:rsid w:val="002E0ED0"/>
    <w:rsid w:val="002E0FD2"/>
    <w:rsid w:val="002E26D9"/>
    <w:rsid w:val="002E341C"/>
    <w:rsid w:val="002E35DD"/>
    <w:rsid w:val="002E3829"/>
    <w:rsid w:val="002E433F"/>
    <w:rsid w:val="002E4735"/>
    <w:rsid w:val="002E481F"/>
    <w:rsid w:val="002E496F"/>
    <w:rsid w:val="002E4FE6"/>
    <w:rsid w:val="002E6395"/>
    <w:rsid w:val="002E63B1"/>
    <w:rsid w:val="002E6BAF"/>
    <w:rsid w:val="002E6C5C"/>
    <w:rsid w:val="002F06EA"/>
    <w:rsid w:val="002F0CD5"/>
    <w:rsid w:val="002F10C8"/>
    <w:rsid w:val="002F124A"/>
    <w:rsid w:val="002F15F1"/>
    <w:rsid w:val="002F1748"/>
    <w:rsid w:val="002F1CD2"/>
    <w:rsid w:val="002F244C"/>
    <w:rsid w:val="002F273B"/>
    <w:rsid w:val="002F2CBA"/>
    <w:rsid w:val="002F2EF4"/>
    <w:rsid w:val="002F30A4"/>
    <w:rsid w:val="002F31EB"/>
    <w:rsid w:val="002F3370"/>
    <w:rsid w:val="002F3EF4"/>
    <w:rsid w:val="002F3F09"/>
    <w:rsid w:val="002F4A9E"/>
    <w:rsid w:val="002F5435"/>
    <w:rsid w:val="002F544B"/>
    <w:rsid w:val="002F59E5"/>
    <w:rsid w:val="002F6789"/>
    <w:rsid w:val="002F74A3"/>
    <w:rsid w:val="00300158"/>
    <w:rsid w:val="00300572"/>
    <w:rsid w:val="00301392"/>
    <w:rsid w:val="003014A3"/>
    <w:rsid w:val="003029B4"/>
    <w:rsid w:val="00303137"/>
    <w:rsid w:val="0030395B"/>
    <w:rsid w:val="0030450E"/>
    <w:rsid w:val="00304609"/>
    <w:rsid w:val="00304901"/>
    <w:rsid w:val="003051AD"/>
    <w:rsid w:val="003058A2"/>
    <w:rsid w:val="003062A4"/>
    <w:rsid w:val="00306730"/>
    <w:rsid w:val="00306BAA"/>
    <w:rsid w:val="0030796F"/>
    <w:rsid w:val="00307A1E"/>
    <w:rsid w:val="00307E4B"/>
    <w:rsid w:val="00311B57"/>
    <w:rsid w:val="00311E89"/>
    <w:rsid w:val="00311F55"/>
    <w:rsid w:val="0031263F"/>
    <w:rsid w:val="00312928"/>
    <w:rsid w:val="003130B7"/>
    <w:rsid w:val="00313FC9"/>
    <w:rsid w:val="00315F63"/>
    <w:rsid w:val="0031625B"/>
    <w:rsid w:val="00316916"/>
    <w:rsid w:val="00316B1D"/>
    <w:rsid w:val="00317657"/>
    <w:rsid w:val="003176C5"/>
    <w:rsid w:val="00317BB5"/>
    <w:rsid w:val="003201C9"/>
    <w:rsid w:val="003202FF"/>
    <w:rsid w:val="0032062F"/>
    <w:rsid w:val="00320B8F"/>
    <w:rsid w:val="0032197E"/>
    <w:rsid w:val="00321AE4"/>
    <w:rsid w:val="00321BD9"/>
    <w:rsid w:val="00321F5A"/>
    <w:rsid w:val="003247CF"/>
    <w:rsid w:val="00325CA2"/>
    <w:rsid w:val="00326903"/>
    <w:rsid w:val="00326EF0"/>
    <w:rsid w:val="00327408"/>
    <w:rsid w:val="0032797C"/>
    <w:rsid w:val="00327A0B"/>
    <w:rsid w:val="00327C95"/>
    <w:rsid w:val="00327D34"/>
    <w:rsid w:val="00330360"/>
    <w:rsid w:val="0033108C"/>
    <w:rsid w:val="003317A3"/>
    <w:rsid w:val="00331CF6"/>
    <w:rsid w:val="00331F3E"/>
    <w:rsid w:val="00332420"/>
    <w:rsid w:val="0033267C"/>
    <w:rsid w:val="0033286C"/>
    <w:rsid w:val="00332A8A"/>
    <w:rsid w:val="00332CCA"/>
    <w:rsid w:val="00334476"/>
    <w:rsid w:val="00334525"/>
    <w:rsid w:val="003348CC"/>
    <w:rsid w:val="00334C7C"/>
    <w:rsid w:val="00334D3E"/>
    <w:rsid w:val="00336000"/>
    <w:rsid w:val="003363CF"/>
    <w:rsid w:val="003373DA"/>
    <w:rsid w:val="00337E68"/>
    <w:rsid w:val="003402CA"/>
    <w:rsid w:val="0034056E"/>
    <w:rsid w:val="00340DC3"/>
    <w:rsid w:val="00341A41"/>
    <w:rsid w:val="00341E76"/>
    <w:rsid w:val="0034249E"/>
    <w:rsid w:val="003429D0"/>
    <w:rsid w:val="00342C64"/>
    <w:rsid w:val="00342E3A"/>
    <w:rsid w:val="00342E6B"/>
    <w:rsid w:val="003430B0"/>
    <w:rsid w:val="00343DDD"/>
    <w:rsid w:val="00343E3F"/>
    <w:rsid w:val="00344806"/>
    <w:rsid w:val="00344807"/>
    <w:rsid w:val="003456A7"/>
    <w:rsid w:val="00345987"/>
    <w:rsid w:val="00345D0F"/>
    <w:rsid w:val="00345F3E"/>
    <w:rsid w:val="003464DE"/>
    <w:rsid w:val="00346B4C"/>
    <w:rsid w:val="00347989"/>
    <w:rsid w:val="00350161"/>
    <w:rsid w:val="003512DA"/>
    <w:rsid w:val="003517BA"/>
    <w:rsid w:val="00351F18"/>
    <w:rsid w:val="00352204"/>
    <w:rsid w:val="0035257B"/>
    <w:rsid w:val="00353245"/>
    <w:rsid w:val="003557DA"/>
    <w:rsid w:val="003562FB"/>
    <w:rsid w:val="00356436"/>
    <w:rsid w:val="00356988"/>
    <w:rsid w:val="00356B9A"/>
    <w:rsid w:val="00357297"/>
    <w:rsid w:val="00357EA8"/>
    <w:rsid w:val="00357EC0"/>
    <w:rsid w:val="00360AA5"/>
    <w:rsid w:val="00360F25"/>
    <w:rsid w:val="00360FD5"/>
    <w:rsid w:val="00361530"/>
    <w:rsid w:val="00362751"/>
    <w:rsid w:val="0036277C"/>
    <w:rsid w:val="00363257"/>
    <w:rsid w:val="00363E1A"/>
    <w:rsid w:val="0036427D"/>
    <w:rsid w:val="003643E2"/>
    <w:rsid w:val="00364673"/>
    <w:rsid w:val="003648FD"/>
    <w:rsid w:val="00364B0D"/>
    <w:rsid w:val="00365DDB"/>
    <w:rsid w:val="00365E86"/>
    <w:rsid w:val="003670E3"/>
    <w:rsid w:val="003674E7"/>
    <w:rsid w:val="003675AA"/>
    <w:rsid w:val="00367B89"/>
    <w:rsid w:val="0037369C"/>
    <w:rsid w:val="003736CD"/>
    <w:rsid w:val="0037370B"/>
    <w:rsid w:val="003739C6"/>
    <w:rsid w:val="00373C78"/>
    <w:rsid w:val="00373D4C"/>
    <w:rsid w:val="00375556"/>
    <w:rsid w:val="003762EE"/>
    <w:rsid w:val="003766AA"/>
    <w:rsid w:val="003767A7"/>
    <w:rsid w:val="00376A32"/>
    <w:rsid w:val="00376FAD"/>
    <w:rsid w:val="00377BC6"/>
    <w:rsid w:val="00377D95"/>
    <w:rsid w:val="003802C5"/>
    <w:rsid w:val="003803F4"/>
    <w:rsid w:val="003810CA"/>
    <w:rsid w:val="003816B0"/>
    <w:rsid w:val="003817D8"/>
    <w:rsid w:val="00381846"/>
    <w:rsid w:val="003819FE"/>
    <w:rsid w:val="00382615"/>
    <w:rsid w:val="0038268F"/>
    <w:rsid w:val="0038308D"/>
    <w:rsid w:val="00383C15"/>
    <w:rsid w:val="003840EF"/>
    <w:rsid w:val="00384617"/>
    <w:rsid w:val="003857F5"/>
    <w:rsid w:val="00385935"/>
    <w:rsid w:val="0038594A"/>
    <w:rsid w:val="00385DD9"/>
    <w:rsid w:val="00385E09"/>
    <w:rsid w:val="00385E64"/>
    <w:rsid w:val="00385F3A"/>
    <w:rsid w:val="00386033"/>
    <w:rsid w:val="00386A39"/>
    <w:rsid w:val="00386D57"/>
    <w:rsid w:val="00386DF6"/>
    <w:rsid w:val="00387A65"/>
    <w:rsid w:val="00387B96"/>
    <w:rsid w:val="003903FA"/>
    <w:rsid w:val="0039078D"/>
    <w:rsid w:val="003907F5"/>
    <w:rsid w:val="003908E5"/>
    <w:rsid w:val="00390EB1"/>
    <w:rsid w:val="0039149C"/>
    <w:rsid w:val="00391721"/>
    <w:rsid w:val="00391F35"/>
    <w:rsid w:val="00391F53"/>
    <w:rsid w:val="00392B30"/>
    <w:rsid w:val="00392D60"/>
    <w:rsid w:val="00393207"/>
    <w:rsid w:val="0039335D"/>
    <w:rsid w:val="00393474"/>
    <w:rsid w:val="00394689"/>
    <w:rsid w:val="003957A9"/>
    <w:rsid w:val="00395F58"/>
    <w:rsid w:val="00396F07"/>
    <w:rsid w:val="00397AD9"/>
    <w:rsid w:val="00397C6A"/>
    <w:rsid w:val="003A093A"/>
    <w:rsid w:val="003A15D6"/>
    <w:rsid w:val="003A1708"/>
    <w:rsid w:val="003A1C6E"/>
    <w:rsid w:val="003A2468"/>
    <w:rsid w:val="003A3CD4"/>
    <w:rsid w:val="003A481A"/>
    <w:rsid w:val="003A484B"/>
    <w:rsid w:val="003A5237"/>
    <w:rsid w:val="003A5531"/>
    <w:rsid w:val="003A55AB"/>
    <w:rsid w:val="003A6350"/>
    <w:rsid w:val="003A638B"/>
    <w:rsid w:val="003A6628"/>
    <w:rsid w:val="003A6EE7"/>
    <w:rsid w:val="003A74D3"/>
    <w:rsid w:val="003A757B"/>
    <w:rsid w:val="003A7A34"/>
    <w:rsid w:val="003A7EAB"/>
    <w:rsid w:val="003B010B"/>
    <w:rsid w:val="003B0612"/>
    <w:rsid w:val="003B07D4"/>
    <w:rsid w:val="003B0B54"/>
    <w:rsid w:val="003B1AF1"/>
    <w:rsid w:val="003B2108"/>
    <w:rsid w:val="003B2264"/>
    <w:rsid w:val="003B22EA"/>
    <w:rsid w:val="003B37EC"/>
    <w:rsid w:val="003B3ACA"/>
    <w:rsid w:val="003B3B63"/>
    <w:rsid w:val="003B3FAC"/>
    <w:rsid w:val="003B4257"/>
    <w:rsid w:val="003B4526"/>
    <w:rsid w:val="003B4DFE"/>
    <w:rsid w:val="003B5823"/>
    <w:rsid w:val="003B5DE5"/>
    <w:rsid w:val="003B5E06"/>
    <w:rsid w:val="003B5E7D"/>
    <w:rsid w:val="003B6730"/>
    <w:rsid w:val="003B6740"/>
    <w:rsid w:val="003B67F3"/>
    <w:rsid w:val="003B749F"/>
    <w:rsid w:val="003B79A2"/>
    <w:rsid w:val="003C0A13"/>
    <w:rsid w:val="003C109B"/>
    <w:rsid w:val="003C1963"/>
    <w:rsid w:val="003C270B"/>
    <w:rsid w:val="003C385F"/>
    <w:rsid w:val="003C3C31"/>
    <w:rsid w:val="003C4BDF"/>
    <w:rsid w:val="003C5E79"/>
    <w:rsid w:val="003C6709"/>
    <w:rsid w:val="003C6AB9"/>
    <w:rsid w:val="003C6B42"/>
    <w:rsid w:val="003C705E"/>
    <w:rsid w:val="003C738C"/>
    <w:rsid w:val="003C7471"/>
    <w:rsid w:val="003C7756"/>
    <w:rsid w:val="003C77BD"/>
    <w:rsid w:val="003D03A2"/>
    <w:rsid w:val="003D0559"/>
    <w:rsid w:val="003D124E"/>
    <w:rsid w:val="003D1430"/>
    <w:rsid w:val="003D1F24"/>
    <w:rsid w:val="003D2262"/>
    <w:rsid w:val="003D243D"/>
    <w:rsid w:val="003D2823"/>
    <w:rsid w:val="003D3856"/>
    <w:rsid w:val="003D43CE"/>
    <w:rsid w:val="003D46A3"/>
    <w:rsid w:val="003D46C3"/>
    <w:rsid w:val="003D4889"/>
    <w:rsid w:val="003D4F7F"/>
    <w:rsid w:val="003D529F"/>
    <w:rsid w:val="003D564B"/>
    <w:rsid w:val="003D5B19"/>
    <w:rsid w:val="003D5F3F"/>
    <w:rsid w:val="003D78EA"/>
    <w:rsid w:val="003E06BD"/>
    <w:rsid w:val="003E0783"/>
    <w:rsid w:val="003E2581"/>
    <w:rsid w:val="003E2A61"/>
    <w:rsid w:val="003E2C64"/>
    <w:rsid w:val="003E3C84"/>
    <w:rsid w:val="003E3E6D"/>
    <w:rsid w:val="003E465D"/>
    <w:rsid w:val="003E48FC"/>
    <w:rsid w:val="003E4A00"/>
    <w:rsid w:val="003E4CFC"/>
    <w:rsid w:val="003E4E7F"/>
    <w:rsid w:val="003E5D95"/>
    <w:rsid w:val="003E6020"/>
    <w:rsid w:val="003E695D"/>
    <w:rsid w:val="003E7393"/>
    <w:rsid w:val="003E79BB"/>
    <w:rsid w:val="003F0235"/>
    <w:rsid w:val="003F02C1"/>
    <w:rsid w:val="003F0399"/>
    <w:rsid w:val="003F05A2"/>
    <w:rsid w:val="003F08FC"/>
    <w:rsid w:val="003F0988"/>
    <w:rsid w:val="003F0CDC"/>
    <w:rsid w:val="003F12F2"/>
    <w:rsid w:val="003F1C5E"/>
    <w:rsid w:val="003F1CAA"/>
    <w:rsid w:val="003F20A7"/>
    <w:rsid w:val="003F23D8"/>
    <w:rsid w:val="003F2D0F"/>
    <w:rsid w:val="003F301E"/>
    <w:rsid w:val="003F3510"/>
    <w:rsid w:val="003F3D59"/>
    <w:rsid w:val="003F446C"/>
    <w:rsid w:val="003F4CBD"/>
    <w:rsid w:val="003F5CAE"/>
    <w:rsid w:val="003F5FEE"/>
    <w:rsid w:val="003F66B1"/>
    <w:rsid w:val="003F6F42"/>
    <w:rsid w:val="00400DB6"/>
    <w:rsid w:val="00400EED"/>
    <w:rsid w:val="004017B8"/>
    <w:rsid w:val="00401ED8"/>
    <w:rsid w:val="00401F29"/>
    <w:rsid w:val="00402347"/>
    <w:rsid w:val="00402B17"/>
    <w:rsid w:val="004035F2"/>
    <w:rsid w:val="004037D5"/>
    <w:rsid w:val="00403911"/>
    <w:rsid w:val="0040394B"/>
    <w:rsid w:val="00403DDB"/>
    <w:rsid w:val="00403E01"/>
    <w:rsid w:val="00403F35"/>
    <w:rsid w:val="00404325"/>
    <w:rsid w:val="004044E5"/>
    <w:rsid w:val="004047D3"/>
    <w:rsid w:val="004050BA"/>
    <w:rsid w:val="00406E45"/>
    <w:rsid w:val="0040708A"/>
    <w:rsid w:val="004071D7"/>
    <w:rsid w:val="00407669"/>
    <w:rsid w:val="00407687"/>
    <w:rsid w:val="00407C1F"/>
    <w:rsid w:val="00407CC4"/>
    <w:rsid w:val="00407E27"/>
    <w:rsid w:val="00410309"/>
    <w:rsid w:val="00410972"/>
    <w:rsid w:val="00410C50"/>
    <w:rsid w:val="00410F63"/>
    <w:rsid w:val="00411264"/>
    <w:rsid w:val="00411597"/>
    <w:rsid w:val="00411646"/>
    <w:rsid w:val="00411B70"/>
    <w:rsid w:val="004124BB"/>
    <w:rsid w:val="00412D98"/>
    <w:rsid w:val="0041351E"/>
    <w:rsid w:val="00413AC7"/>
    <w:rsid w:val="004140F2"/>
    <w:rsid w:val="00414539"/>
    <w:rsid w:val="00414A22"/>
    <w:rsid w:val="00416AEF"/>
    <w:rsid w:val="00416D79"/>
    <w:rsid w:val="00417982"/>
    <w:rsid w:val="00417F33"/>
    <w:rsid w:val="004211C6"/>
    <w:rsid w:val="00421547"/>
    <w:rsid w:val="00422A07"/>
    <w:rsid w:val="004234D2"/>
    <w:rsid w:val="004237FF"/>
    <w:rsid w:val="004245F0"/>
    <w:rsid w:val="00424F7A"/>
    <w:rsid w:val="00425170"/>
    <w:rsid w:val="004251AE"/>
    <w:rsid w:val="00425DAD"/>
    <w:rsid w:val="004269A7"/>
    <w:rsid w:val="00426A8C"/>
    <w:rsid w:val="00426B96"/>
    <w:rsid w:val="004271CD"/>
    <w:rsid w:val="00427A8A"/>
    <w:rsid w:val="00430514"/>
    <w:rsid w:val="00430C58"/>
    <w:rsid w:val="00431128"/>
    <w:rsid w:val="00431168"/>
    <w:rsid w:val="0043119E"/>
    <w:rsid w:val="00431770"/>
    <w:rsid w:val="00431BC0"/>
    <w:rsid w:val="00431D6F"/>
    <w:rsid w:val="00432E9A"/>
    <w:rsid w:val="004333CD"/>
    <w:rsid w:val="00433EB3"/>
    <w:rsid w:val="00434474"/>
    <w:rsid w:val="004349C3"/>
    <w:rsid w:val="00435653"/>
    <w:rsid w:val="00435D91"/>
    <w:rsid w:val="00436CAA"/>
    <w:rsid w:val="00436F27"/>
    <w:rsid w:val="00436FFC"/>
    <w:rsid w:val="00437BEF"/>
    <w:rsid w:val="0044161F"/>
    <w:rsid w:val="00441D4F"/>
    <w:rsid w:val="00441F8A"/>
    <w:rsid w:val="00442236"/>
    <w:rsid w:val="00442873"/>
    <w:rsid w:val="00442ECB"/>
    <w:rsid w:val="0044331C"/>
    <w:rsid w:val="00443539"/>
    <w:rsid w:val="00443696"/>
    <w:rsid w:val="004446E9"/>
    <w:rsid w:val="0044494B"/>
    <w:rsid w:val="00444B7B"/>
    <w:rsid w:val="004454C0"/>
    <w:rsid w:val="00445A38"/>
    <w:rsid w:val="00445A77"/>
    <w:rsid w:val="00445FA5"/>
    <w:rsid w:val="0044619B"/>
    <w:rsid w:val="00446337"/>
    <w:rsid w:val="00446B58"/>
    <w:rsid w:val="00446BCC"/>
    <w:rsid w:val="004470DD"/>
    <w:rsid w:val="004471D7"/>
    <w:rsid w:val="00447722"/>
    <w:rsid w:val="00447ECE"/>
    <w:rsid w:val="00451CC3"/>
    <w:rsid w:val="00451EF3"/>
    <w:rsid w:val="00451FAE"/>
    <w:rsid w:val="0045330E"/>
    <w:rsid w:val="004546E1"/>
    <w:rsid w:val="004547FB"/>
    <w:rsid w:val="00454964"/>
    <w:rsid w:val="0045498E"/>
    <w:rsid w:val="00454DD8"/>
    <w:rsid w:val="00454FFB"/>
    <w:rsid w:val="00455997"/>
    <w:rsid w:val="00455E1D"/>
    <w:rsid w:val="00456B10"/>
    <w:rsid w:val="00456BC7"/>
    <w:rsid w:val="00457337"/>
    <w:rsid w:val="004575F4"/>
    <w:rsid w:val="004576D3"/>
    <w:rsid w:val="004606BB"/>
    <w:rsid w:val="00460D1B"/>
    <w:rsid w:val="00460D96"/>
    <w:rsid w:val="00461018"/>
    <w:rsid w:val="0046107B"/>
    <w:rsid w:val="00461355"/>
    <w:rsid w:val="00461394"/>
    <w:rsid w:val="00461610"/>
    <w:rsid w:val="004616BB"/>
    <w:rsid w:val="004619FE"/>
    <w:rsid w:val="00461FDB"/>
    <w:rsid w:val="00461FDC"/>
    <w:rsid w:val="00462D05"/>
    <w:rsid w:val="00463087"/>
    <w:rsid w:val="0046369B"/>
    <w:rsid w:val="00463B60"/>
    <w:rsid w:val="00464165"/>
    <w:rsid w:val="004642B2"/>
    <w:rsid w:val="0046465A"/>
    <w:rsid w:val="004651DB"/>
    <w:rsid w:val="00465319"/>
    <w:rsid w:val="00466A4D"/>
    <w:rsid w:val="00467435"/>
    <w:rsid w:val="004701D3"/>
    <w:rsid w:val="00470C62"/>
    <w:rsid w:val="00471064"/>
    <w:rsid w:val="004711CD"/>
    <w:rsid w:val="004729F9"/>
    <w:rsid w:val="00472B67"/>
    <w:rsid w:val="00472CC4"/>
    <w:rsid w:val="0047375D"/>
    <w:rsid w:val="00473D8A"/>
    <w:rsid w:val="00473EDD"/>
    <w:rsid w:val="0047422F"/>
    <w:rsid w:val="004746D6"/>
    <w:rsid w:val="004751D5"/>
    <w:rsid w:val="00480330"/>
    <w:rsid w:val="00482298"/>
    <w:rsid w:val="00482329"/>
    <w:rsid w:val="00483A8B"/>
    <w:rsid w:val="00484189"/>
    <w:rsid w:val="00484A2B"/>
    <w:rsid w:val="00484D6F"/>
    <w:rsid w:val="00484F7C"/>
    <w:rsid w:val="00485802"/>
    <w:rsid w:val="00486DA7"/>
    <w:rsid w:val="00487582"/>
    <w:rsid w:val="004877E7"/>
    <w:rsid w:val="004878EE"/>
    <w:rsid w:val="00487970"/>
    <w:rsid w:val="00487B2C"/>
    <w:rsid w:val="00487D50"/>
    <w:rsid w:val="00490077"/>
    <w:rsid w:val="00490164"/>
    <w:rsid w:val="00490ED2"/>
    <w:rsid w:val="00490F96"/>
    <w:rsid w:val="00490FC2"/>
    <w:rsid w:val="00491614"/>
    <w:rsid w:val="00491E73"/>
    <w:rsid w:val="00491F61"/>
    <w:rsid w:val="00492100"/>
    <w:rsid w:val="00492C5B"/>
    <w:rsid w:val="00492D24"/>
    <w:rsid w:val="00493031"/>
    <w:rsid w:val="00493356"/>
    <w:rsid w:val="00493B61"/>
    <w:rsid w:val="00493C8F"/>
    <w:rsid w:val="00493DB0"/>
    <w:rsid w:val="00493F1D"/>
    <w:rsid w:val="00494634"/>
    <w:rsid w:val="0049464C"/>
    <w:rsid w:val="0049499D"/>
    <w:rsid w:val="00494D78"/>
    <w:rsid w:val="004952F2"/>
    <w:rsid w:val="004957D1"/>
    <w:rsid w:val="0049584A"/>
    <w:rsid w:val="00495C71"/>
    <w:rsid w:val="004960B7"/>
    <w:rsid w:val="0049613B"/>
    <w:rsid w:val="0049646D"/>
    <w:rsid w:val="004972CC"/>
    <w:rsid w:val="004973E9"/>
    <w:rsid w:val="004A0B02"/>
    <w:rsid w:val="004A10C4"/>
    <w:rsid w:val="004A1F7A"/>
    <w:rsid w:val="004A2042"/>
    <w:rsid w:val="004A2422"/>
    <w:rsid w:val="004A2CF4"/>
    <w:rsid w:val="004A2F1A"/>
    <w:rsid w:val="004A3411"/>
    <w:rsid w:val="004A34AE"/>
    <w:rsid w:val="004A389B"/>
    <w:rsid w:val="004A3C87"/>
    <w:rsid w:val="004A5295"/>
    <w:rsid w:val="004A543E"/>
    <w:rsid w:val="004A5F19"/>
    <w:rsid w:val="004A6268"/>
    <w:rsid w:val="004A626C"/>
    <w:rsid w:val="004A62CA"/>
    <w:rsid w:val="004A7469"/>
    <w:rsid w:val="004A78EF"/>
    <w:rsid w:val="004B0094"/>
    <w:rsid w:val="004B0BE7"/>
    <w:rsid w:val="004B0CB3"/>
    <w:rsid w:val="004B1945"/>
    <w:rsid w:val="004B1996"/>
    <w:rsid w:val="004B2951"/>
    <w:rsid w:val="004B2B69"/>
    <w:rsid w:val="004B3177"/>
    <w:rsid w:val="004B31CB"/>
    <w:rsid w:val="004B3633"/>
    <w:rsid w:val="004B44B5"/>
    <w:rsid w:val="004B4561"/>
    <w:rsid w:val="004B4D4D"/>
    <w:rsid w:val="004B50F2"/>
    <w:rsid w:val="004B5179"/>
    <w:rsid w:val="004B59BF"/>
    <w:rsid w:val="004B69CC"/>
    <w:rsid w:val="004B6D83"/>
    <w:rsid w:val="004B6D85"/>
    <w:rsid w:val="004B6EC6"/>
    <w:rsid w:val="004B6F27"/>
    <w:rsid w:val="004B7148"/>
    <w:rsid w:val="004B7B7A"/>
    <w:rsid w:val="004C0732"/>
    <w:rsid w:val="004C165E"/>
    <w:rsid w:val="004C18AF"/>
    <w:rsid w:val="004C2AE6"/>
    <w:rsid w:val="004C44C5"/>
    <w:rsid w:val="004C44D8"/>
    <w:rsid w:val="004C4A44"/>
    <w:rsid w:val="004C4E85"/>
    <w:rsid w:val="004C5571"/>
    <w:rsid w:val="004C558A"/>
    <w:rsid w:val="004C5ED6"/>
    <w:rsid w:val="004C5F74"/>
    <w:rsid w:val="004C6966"/>
    <w:rsid w:val="004C6A1C"/>
    <w:rsid w:val="004C6C2F"/>
    <w:rsid w:val="004C7151"/>
    <w:rsid w:val="004C7509"/>
    <w:rsid w:val="004D14B5"/>
    <w:rsid w:val="004D2093"/>
    <w:rsid w:val="004D247F"/>
    <w:rsid w:val="004D2D91"/>
    <w:rsid w:val="004D3892"/>
    <w:rsid w:val="004D3BBB"/>
    <w:rsid w:val="004D3D25"/>
    <w:rsid w:val="004D4096"/>
    <w:rsid w:val="004D4F4B"/>
    <w:rsid w:val="004D5796"/>
    <w:rsid w:val="004D5F08"/>
    <w:rsid w:val="004D6137"/>
    <w:rsid w:val="004D6416"/>
    <w:rsid w:val="004D67B0"/>
    <w:rsid w:val="004D693A"/>
    <w:rsid w:val="004D708B"/>
    <w:rsid w:val="004D735F"/>
    <w:rsid w:val="004D7B3A"/>
    <w:rsid w:val="004E0BD0"/>
    <w:rsid w:val="004E0EB0"/>
    <w:rsid w:val="004E121C"/>
    <w:rsid w:val="004E1385"/>
    <w:rsid w:val="004E13FB"/>
    <w:rsid w:val="004E18AF"/>
    <w:rsid w:val="004E19F7"/>
    <w:rsid w:val="004E2EEC"/>
    <w:rsid w:val="004E318D"/>
    <w:rsid w:val="004E3596"/>
    <w:rsid w:val="004E398F"/>
    <w:rsid w:val="004E39C3"/>
    <w:rsid w:val="004E4027"/>
    <w:rsid w:val="004E4F40"/>
    <w:rsid w:val="004E5DA4"/>
    <w:rsid w:val="004E5ECA"/>
    <w:rsid w:val="004E6080"/>
    <w:rsid w:val="004E669E"/>
    <w:rsid w:val="004E69A3"/>
    <w:rsid w:val="004E74FA"/>
    <w:rsid w:val="004F1639"/>
    <w:rsid w:val="004F1C18"/>
    <w:rsid w:val="004F1DAD"/>
    <w:rsid w:val="004F2D7E"/>
    <w:rsid w:val="004F316A"/>
    <w:rsid w:val="004F4974"/>
    <w:rsid w:val="004F4C81"/>
    <w:rsid w:val="004F4D89"/>
    <w:rsid w:val="004F4FC1"/>
    <w:rsid w:val="004F5637"/>
    <w:rsid w:val="004F5D10"/>
    <w:rsid w:val="004F6676"/>
    <w:rsid w:val="004F67CE"/>
    <w:rsid w:val="004F69E6"/>
    <w:rsid w:val="004F7411"/>
    <w:rsid w:val="004F7844"/>
    <w:rsid w:val="004F7B91"/>
    <w:rsid w:val="005003A4"/>
    <w:rsid w:val="00500532"/>
    <w:rsid w:val="005005B3"/>
    <w:rsid w:val="0050083B"/>
    <w:rsid w:val="00500938"/>
    <w:rsid w:val="00500A5C"/>
    <w:rsid w:val="00500C21"/>
    <w:rsid w:val="00500DDD"/>
    <w:rsid w:val="00501725"/>
    <w:rsid w:val="005019B4"/>
    <w:rsid w:val="00501B46"/>
    <w:rsid w:val="0050247F"/>
    <w:rsid w:val="00502CF3"/>
    <w:rsid w:val="00505FBE"/>
    <w:rsid w:val="00506DE3"/>
    <w:rsid w:val="00507ABF"/>
    <w:rsid w:val="00510167"/>
    <w:rsid w:val="00510598"/>
    <w:rsid w:val="00510EFF"/>
    <w:rsid w:val="005110C7"/>
    <w:rsid w:val="005118F8"/>
    <w:rsid w:val="00512A57"/>
    <w:rsid w:val="0051329B"/>
    <w:rsid w:val="00513429"/>
    <w:rsid w:val="00513D6D"/>
    <w:rsid w:val="005149DE"/>
    <w:rsid w:val="00514C50"/>
    <w:rsid w:val="00516015"/>
    <w:rsid w:val="00516820"/>
    <w:rsid w:val="00516D89"/>
    <w:rsid w:val="005179A5"/>
    <w:rsid w:val="00517F35"/>
    <w:rsid w:val="00517FA2"/>
    <w:rsid w:val="00520353"/>
    <w:rsid w:val="005203AE"/>
    <w:rsid w:val="0052049D"/>
    <w:rsid w:val="005211BA"/>
    <w:rsid w:val="005220DA"/>
    <w:rsid w:val="005222F3"/>
    <w:rsid w:val="00522800"/>
    <w:rsid w:val="00523031"/>
    <w:rsid w:val="00523B06"/>
    <w:rsid w:val="00524729"/>
    <w:rsid w:val="00525057"/>
    <w:rsid w:val="00525175"/>
    <w:rsid w:val="0052663A"/>
    <w:rsid w:val="00527566"/>
    <w:rsid w:val="0053068B"/>
    <w:rsid w:val="0053074B"/>
    <w:rsid w:val="00531727"/>
    <w:rsid w:val="00531DFD"/>
    <w:rsid w:val="00532DC2"/>
    <w:rsid w:val="00532DF5"/>
    <w:rsid w:val="00533678"/>
    <w:rsid w:val="00533A6B"/>
    <w:rsid w:val="00533D40"/>
    <w:rsid w:val="00533E54"/>
    <w:rsid w:val="005340F3"/>
    <w:rsid w:val="00534B8B"/>
    <w:rsid w:val="00534ED3"/>
    <w:rsid w:val="005350D7"/>
    <w:rsid w:val="005353FE"/>
    <w:rsid w:val="005355E7"/>
    <w:rsid w:val="00536A06"/>
    <w:rsid w:val="00536C9A"/>
    <w:rsid w:val="005372D7"/>
    <w:rsid w:val="0053730A"/>
    <w:rsid w:val="00537E21"/>
    <w:rsid w:val="005404BD"/>
    <w:rsid w:val="00540C4B"/>
    <w:rsid w:val="00540DE3"/>
    <w:rsid w:val="0054182C"/>
    <w:rsid w:val="00541B82"/>
    <w:rsid w:val="00541D25"/>
    <w:rsid w:val="00541E69"/>
    <w:rsid w:val="00542062"/>
    <w:rsid w:val="005426D3"/>
    <w:rsid w:val="0054295E"/>
    <w:rsid w:val="00542F3C"/>
    <w:rsid w:val="005433F5"/>
    <w:rsid w:val="005434B9"/>
    <w:rsid w:val="00543A66"/>
    <w:rsid w:val="00543CB0"/>
    <w:rsid w:val="00543F30"/>
    <w:rsid w:val="0054595D"/>
    <w:rsid w:val="00545F89"/>
    <w:rsid w:val="00546E17"/>
    <w:rsid w:val="00546E2E"/>
    <w:rsid w:val="00547E24"/>
    <w:rsid w:val="00547F71"/>
    <w:rsid w:val="00550749"/>
    <w:rsid w:val="00551469"/>
    <w:rsid w:val="00551F65"/>
    <w:rsid w:val="005529A5"/>
    <w:rsid w:val="00552AE7"/>
    <w:rsid w:val="00552DC0"/>
    <w:rsid w:val="00552EA2"/>
    <w:rsid w:val="005532E2"/>
    <w:rsid w:val="0055340B"/>
    <w:rsid w:val="00553BF1"/>
    <w:rsid w:val="005542C7"/>
    <w:rsid w:val="005544A0"/>
    <w:rsid w:val="00555457"/>
    <w:rsid w:val="00555D12"/>
    <w:rsid w:val="00556714"/>
    <w:rsid w:val="00557440"/>
    <w:rsid w:val="00557541"/>
    <w:rsid w:val="0055792B"/>
    <w:rsid w:val="00557FB3"/>
    <w:rsid w:val="00560312"/>
    <w:rsid w:val="00560B8F"/>
    <w:rsid w:val="00562440"/>
    <w:rsid w:val="0056296B"/>
    <w:rsid w:val="00563852"/>
    <w:rsid w:val="00563E98"/>
    <w:rsid w:val="00565513"/>
    <w:rsid w:val="005668D6"/>
    <w:rsid w:val="00566BBB"/>
    <w:rsid w:val="005671C6"/>
    <w:rsid w:val="0056779D"/>
    <w:rsid w:val="00567B15"/>
    <w:rsid w:val="005705EB"/>
    <w:rsid w:val="00570C24"/>
    <w:rsid w:val="0057139C"/>
    <w:rsid w:val="005714F0"/>
    <w:rsid w:val="005718BE"/>
    <w:rsid w:val="00571CBE"/>
    <w:rsid w:val="00571EBE"/>
    <w:rsid w:val="005723C3"/>
    <w:rsid w:val="005724B7"/>
    <w:rsid w:val="005731F3"/>
    <w:rsid w:val="005733B6"/>
    <w:rsid w:val="00573676"/>
    <w:rsid w:val="00573869"/>
    <w:rsid w:val="00573AAB"/>
    <w:rsid w:val="00573BEC"/>
    <w:rsid w:val="00573F0A"/>
    <w:rsid w:val="00574138"/>
    <w:rsid w:val="0057558D"/>
    <w:rsid w:val="00575D62"/>
    <w:rsid w:val="00575DE7"/>
    <w:rsid w:val="005761D6"/>
    <w:rsid w:val="0057625E"/>
    <w:rsid w:val="00576419"/>
    <w:rsid w:val="0057646B"/>
    <w:rsid w:val="00576990"/>
    <w:rsid w:val="00577556"/>
    <w:rsid w:val="005777B4"/>
    <w:rsid w:val="00577A16"/>
    <w:rsid w:val="00580111"/>
    <w:rsid w:val="00580DA0"/>
    <w:rsid w:val="00581432"/>
    <w:rsid w:val="00581530"/>
    <w:rsid w:val="0058184A"/>
    <w:rsid w:val="0058190F"/>
    <w:rsid w:val="005825AC"/>
    <w:rsid w:val="0058280D"/>
    <w:rsid w:val="00582862"/>
    <w:rsid w:val="00582D87"/>
    <w:rsid w:val="00582EAC"/>
    <w:rsid w:val="00582F16"/>
    <w:rsid w:val="00583BDA"/>
    <w:rsid w:val="00584127"/>
    <w:rsid w:val="00584988"/>
    <w:rsid w:val="00584CD8"/>
    <w:rsid w:val="00585665"/>
    <w:rsid w:val="00585A26"/>
    <w:rsid w:val="00586D6C"/>
    <w:rsid w:val="00587461"/>
    <w:rsid w:val="00590165"/>
    <w:rsid w:val="0059048F"/>
    <w:rsid w:val="005908E2"/>
    <w:rsid w:val="005911F6"/>
    <w:rsid w:val="005918BE"/>
    <w:rsid w:val="00591DE3"/>
    <w:rsid w:val="00592384"/>
    <w:rsid w:val="005935B6"/>
    <w:rsid w:val="005938DA"/>
    <w:rsid w:val="005938E7"/>
    <w:rsid w:val="00593CEA"/>
    <w:rsid w:val="00593CFA"/>
    <w:rsid w:val="0059436F"/>
    <w:rsid w:val="005950F7"/>
    <w:rsid w:val="005A0117"/>
    <w:rsid w:val="005A0E8A"/>
    <w:rsid w:val="005A168C"/>
    <w:rsid w:val="005A1845"/>
    <w:rsid w:val="005A23B2"/>
    <w:rsid w:val="005A25B0"/>
    <w:rsid w:val="005A27C2"/>
    <w:rsid w:val="005A2F53"/>
    <w:rsid w:val="005A30D5"/>
    <w:rsid w:val="005A347E"/>
    <w:rsid w:val="005A380B"/>
    <w:rsid w:val="005A3E9A"/>
    <w:rsid w:val="005A46C2"/>
    <w:rsid w:val="005A488B"/>
    <w:rsid w:val="005A5F7B"/>
    <w:rsid w:val="005A74C7"/>
    <w:rsid w:val="005A75C2"/>
    <w:rsid w:val="005A779A"/>
    <w:rsid w:val="005A79C7"/>
    <w:rsid w:val="005A7FBF"/>
    <w:rsid w:val="005B0716"/>
    <w:rsid w:val="005B0BA3"/>
    <w:rsid w:val="005B1325"/>
    <w:rsid w:val="005B1496"/>
    <w:rsid w:val="005B17FC"/>
    <w:rsid w:val="005B189A"/>
    <w:rsid w:val="005B1B13"/>
    <w:rsid w:val="005B2795"/>
    <w:rsid w:val="005B350F"/>
    <w:rsid w:val="005B3C7F"/>
    <w:rsid w:val="005B47AF"/>
    <w:rsid w:val="005B4904"/>
    <w:rsid w:val="005B5320"/>
    <w:rsid w:val="005B57B9"/>
    <w:rsid w:val="005B5C66"/>
    <w:rsid w:val="005B604C"/>
    <w:rsid w:val="005B6BF3"/>
    <w:rsid w:val="005B6D41"/>
    <w:rsid w:val="005B6DDB"/>
    <w:rsid w:val="005B7136"/>
    <w:rsid w:val="005B7909"/>
    <w:rsid w:val="005B7F24"/>
    <w:rsid w:val="005C0E35"/>
    <w:rsid w:val="005C0E85"/>
    <w:rsid w:val="005C2182"/>
    <w:rsid w:val="005C2307"/>
    <w:rsid w:val="005C281A"/>
    <w:rsid w:val="005C2D03"/>
    <w:rsid w:val="005C2D83"/>
    <w:rsid w:val="005C361B"/>
    <w:rsid w:val="005C4101"/>
    <w:rsid w:val="005C417E"/>
    <w:rsid w:val="005C44C5"/>
    <w:rsid w:val="005C496A"/>
    <w:rsid w:val="005C4FFC"/>
    <w:rsid w:val="005C54CC"/>
    <w:rsid w:val="005C5C7F"/>
    <w:rsid w:val="005C649B"/>
    <w:rsid w:val="005C6CC6"/>
    <w:rsid w:val="005C70D3"/>
    <w:rsid w:val="005C71F8"/>
    <w:rsid w:val="005C72E2"/>
    <w:rsid w:val="005C76C9"/>
    <w:rsid w:val="005C78A6"/>
    <w:rsid w:val="005D020D"/>
    <w:rsid w:val="005D1806"/>
    <w:rsid w:val="005D1816"/>
    <w:rsid w:val="005D1916"/>
    <w:rsid w:val="005D207F"/>
    <w:rsid w:val="005D220C"/>
    <w:rsid w:val="005D22FD"/>
    <w:rsid w:val="005D23EE"/>
    <w:rsid w:val="005D2CBB"/>
    <w:rsid w:val="005D3E19"/>
    <w:rsid w:val="005D4DB1"/>
    <w:rsid w:val="005D601B"/>
    <w:rsid w:val="005D6C6E"/>
    <w:rsid w:val="005D7ABB"/>
    <w:rsid w:val="005E0798"/>
    <w:rsid w:val="005E0F89"/>
    <w:rsid w:val="005E152A"/>
    <w:rsid w:val="005E194F"/>
    <w:rsid w:val="005E2B67"/>
    <w:rsid w:val="005E2F1C"/>
    <w:rsid w:val="005E3653"/>
    <w:rsid w:val="005E3CB5"/>
    <w:rsid w:val="005E3F21"/>
    <w:rsid w:val="005E45AB"/>
    <w:rsid w:val="005E45DE"/>
    <w:rsid w:val="005E5116"/>
    <w:rsid w:val="005E51DC"/>
    <w:rsid w:val="005E5773"/>
    <w:rsid w:val="005E57F4"/>
    <w:rsid w:val="005E59EA"/>
    <w:rsid w:val="005E5A25"/>
    <w:rsid w:val="005E5BDC"/>
    <w:rsid w:val="005E706C"/>
    <w:rsid w:val="005E7434"/>
    <w:rsid w:val="005E7A11"/>
    <w:rsid w:val="005F1A91"/>
    <w:rsid w:val="005F2574"/>
    <w:rsid w:val="005F261A"/>
    <w:rsid w:val="005F3007"/>
    <w:rsid w:val="005F3339"/>
    <w:rsid w:val="005F47E9"/>
    <w:rsid w:val="005F5873"/>
    <w:rsid w:val="005F5FEA"/>
    <w:rsid w:val="005F682E"/>
    <w:rsid w:val="005F7231"/>
    <w:rsid w:val="005F78A4"/>
    <w:rsid w:val="005F7BC6"/>
    <w:rsid w:val="0060176F"/>
    <w:rsid w:val="00601838"/>
    <w:rsid w:val="00601872"/>
    <w:rsid w:val="00601E9E"/>
    <w:rsid w:val="00602444"/>
    <w:rsid w:val="00602C11"/>
    <w:rsid w:val="00603664"/>
    <w:rsid w:val="00604073"/>
    <w:rsid w:val="0060407D"/>
    <w:rsid w:val="006046A6"/>
    <w:rsid w:val="0060484A"/>
    <w:rsid w:val="006048DE"/>
    <w:rsid w:val="00604E4B"/>
    <w:rsid w:val="006051E2"/>
    <w:rsid w:val="00605BCC"/>
    <w:rsid w:val="006068DC"/>
    <w:rsid w:val="00607E38"/>
    <w:rsid w:val="00607F35"/>
    <w:rsid w:val="00607F72"/>
    <w:rsid w:val="0061098E"/>
    <w:rsid w:val="00611CF7"/>
    <w:rsid w:val="00612526"/>
    <w:rsid w:val="006128BC"/>
    <w:rsid w:val="006131A1"/>
    <w:rsid w:val="006132F5"/>
    <w:rsid w:val="00613326"/>
    <w:rsid w:val="006135A6"/>
    <w:rsid w:val="0061431C"/>
    <w:rsid w:val="00614479"/>
    <w:rsid w:val="00614527"/>
    <w:rsid w:val="006148E6"/>
    <w:rsid w:val="00614921"/>
    <w:rsid w:val="0061576D"/>
    <w:rsid w:val="00615B0D"/>
    <w:rsid w:val="0061710A"/>
    <w:rsid w:val="006178E9"/>
    <w:rsid w:val="00617C99"/>
    <w:rsid w:val="00617E0B"/>
    <w:rsid w:val="006202EC"/>
    <w:rsid w:val="00620679"/>
    <w:rsid w:val="00620BB4"/>
    <w:rsid w:val="006210F6"/>
    <w:rsid w:val="00621230"/>
    <w:rsid w:val="0062168E"/>
    <w:rsid w:val="00622501"/>
    <w:rsid w:val="00622D30"/>
    <w:rsid w:val="00622FE7"/>
    <w:rsid w:val="00623D91"/>
    <w:rsid w:val="00623F67"/>
    <w:rsid w:val="00624084"/>
    <w:rsid w:val="00624D75"/>
    <w:rsid w:val="00624E47"/>
    <w:rsid w:val="00625046"/>
    <w:rsid w:val="00625275"/>
    <w:rsid w:val="00625A84"/>
    <w:rsid w:val="00625EF7"/>
    <w:rsid w:val="00626221"/>
    <w:rsid w:val="006301D8"/>
    <w:rsid w:val="006303D4"/>
    <w:rsid w:val="00630694"/>
    <w:rsid w:val="00630D1B"/>
    <w:rsid w:val="00630E34"/>
    <w:rsid w:val="0063121A"/>
    <w:rsid w:val="0063121E"/>
    <w:rsid w:val="00631515"/>
    <w:rsid w:val="00631786"/>
    <w:rsid w:val="00631ADF"/>
    <w:rsid w:val="006325BA"/>
    <w:rsid w:val="006327F3"/>
    <w:rsid w:val="00632823"/>
    <w:rsid w:val="00633D83"/>
    <w:rsid w:val="00635126"/>
    <w:rsid w:val="006354F3"/>
    <w:rsid w:val="006367C3"/>
    <w:rsid w:val="00637962"/>
    <w:rsid w:val="00637E37"/>
    <w:rsid w:val="0064118E"/>
    <w:rsid w:val="006417AA"/>
    <w:rsid w:val="006418AD"/>
    <w:rsid w:val="00641A40"/>
    <w:rsid w:val="0064229D"/>
    <w:rsid w:val="006434BF"/>
    <w:rsid w:val="00643710"/>
    <w:rsid w:val="00644041"/>
    <w:rsid w:val="00644220"/>
    <w:rsid w:val="006445BD"/>
    <w:rsid w:val="0064497C"/>
    <w:rsid w:val="00644EB9"/>
    <w:rsid w:val="00646068"/>
    <w:rsid w:val="006460CB"/>
    <w:rsid w:val="00646119"/>
    <w:rsid w:val="0064649C"/>
    <w:rsid w:val="00647B6F"/>
    <w:rsid w:val="00647C36"/>
    <w:rsid w:val="00647C62"/>
    <w:rsid w:val="00650FCD"/>
    <w:rsid w:val="006514D7"/>
    <w:rsid w:val="006515B0"/>
    <w:rsid w:val="006531F7"/>
    <w:rsid w:val="00653DE6"/>
    <w:rsid w:val="00654C4B"/>
    <w:rsid w:val="00655188"/>
    <w:rsid w:val="00656201"/>
    <w:rsid w:val="00657719"/>
    <w:rsid w:val="0065786E"/>
    <w:rsid w:val="00657CFD"/>
    <w:rsid w:val="00657ED2"/>
    <w:rsid w:val="006603BB"/>
    <w:rsid w:val="00660BAA"/>
    <w:rsid w:val="0066154F"/>
    <w:rsid w:val="00661744"/>
    <w:rsid w:val="006617E9"/>
    <w:rsid w:val="00661A46"/>
    <w:rsid w:val="00661CD8"/>
    <w:rsid w:val="006624CB"/>
    <w:rsid w:val="00662966"/>
    <w:rsid w:val="006634F0"/>
    <w:rsid w:val="00663AAC"/>
    <w:rsid w:val="00664AB3"/>
    <w:rsid w:val="00664C51"/>
    <w:rsid w:val="00664FC9"/>
    <w:rsid w:val="006652B1"/>
    <w:rsid w:val="00665877"/>
    <w:rsid w:val="00665FF9"/>
    <w:rsid w:val="006664B3"/>
    <w:rsid w:val="00666FA8"/>
    <w:rsid w:val="006701ED"/>
    <w:rsid w:val="006705D3"/>
    <w:rsid w:val="00670C32"/>
    <w:rsid w:val="006713CA"/>
    <w:rsid w:val="006715F4"/>
    <w:rsid w:val="00671818"/>
    <w:rsid w:val="006727B2"/>
    <w:rsid w:val="00672986"/>
    <w:rsid w:val="00673053"/>
    <w:rsid w:val="00673791"/>
    <w:rsid w:val="006738DA"/>
    <w:rsid w:val="006738EA"/>
    <w:rsid w:val="00673A0B"/>
    <w:rsid w:val="006740F1"/>
    <w:rsid w:val="00674A9A"/>
    <w:rsid w:val="00674E6B"/>
    <w:rsid w:val="00674EFD"/>
    <w:rsid w:val="006751E1"/>
    <w:rsid w:val="0067537A"/>
    <w:rsid w:val="006754EF"/>
    <w:rsid w:val="0067606E"/>
    <w:rsid w:val="0067650E"/>
    <w:rsid w:val="00676C66"/>
    <w:rsid w:val="00677496"/>
    <w:rsid w:val="00677962"/>
    <w:rsid w:val="00680877"/>
    <w:rsid w:val="0068111D"/>
    <w:rsid w:val="00681169"/>
    <w:rsid w:val="00681841"/>
    <w:rsid w:val="00681893"/>
    <w:rsid w:val="0068216B"/>
    <w:rsid w:val="00682A4E"/>
    <w:rsid w:val="00682FBD"/>
    <w:rsid w:val="00682FF3"/>
    <w:rsid w:val="006831B3"/>
    <w:rsid w:val="00683B63"/>
    <w:rsid w:val="00683D9A"/>
    <w:rsid w:val="00683FC1"/>
    <w:rsid w:val="00684C83"/>
    <w:rsid w:val="00684D65"/>
    <w:rsid w:val="00685799"/>
    <w:rsid w:val="0068650D"/>
    <w:rsid w:val="00686ACB"/>
    <w:rsid w:val="00686FC2"/>
    <w:rsid w:val="00687945"/>
    <w:rsid w:val="00687BE2"/>
    <w:rsid w:val="006900F1"/>
    <w:rsid w:val="00690290"/>
    <w:rsid w:val="00690581"/>
    <w:rsid w:val="006908E8"/>
    <w:rsid w:val="0069109D"/>
    <w:rsid w:val="0069128C"/>
    <w:rsid w:val="0069164E"/>
    <w:rsid w:val="00691CD7"/>
    <w:rsid w:val="00693A36"/>
    <w:rsid w:val="00693B01"/>
    <w:rsid w:val="00694885"/>
    <w:rsid w:val="00694926"/>
    <w:rsid w:val="00695430"/>
    <w:rsid w:val="006962B8"/>
    <w:rsid w:val="00696461"/>
    <w:rsid w:val="0069720D"/>
    <w:rsid w:val="006A01C6"/>
    <w:rsid w:val="006A023C"/>
    <w:rsid w:val="006A0E53"/>
    <w:rsid w:val="006A118F"/>
    <w:rsid w:val="006A1F99"/>
    <w:rsid w:val="006A21A1"/>
    <w:rsid w:val="006A2AB5"/>
    <w:rsid w:val="006A2C15"/>
    <w:rsid w:val="006A35A0"/>
    <w:rsid w:val="006A3932"/>
    <w:rsid w:val="006A39EE"/>
    <w:rsid w:val="006A476D"/>
    <w:rsid w:val="006A4B6D"/>
    <w:rsid w:val="006A5148"/>
    <w:rsid w:val="006A518F"/>
    <w:rsid w:val="006A5A87"/>
    <w:rsid w:val="006A5B16"/>
    <w:rsid w:val="006A5ED3"/>
    <w:rsid w:val="006A66CC"/>
    <w:rsid w:val="006A6DBA"/>
    <w:rsid w:val="006A7F61"/>
    <w:rsid w:val="006B0075"/>
    <w:rsid w:val="006B016F"/>
    <w:rsid w:val="006B020A"/>
    <w:rsid w:val="006B1B37"/>
    <w:rsid w:val="006B24D1"/>
    <w:rsid w:val="006B3F33"/>
    <w:rsid w:val="006B45ED"/>
    <w:rsid w:val="006B47FB"/>
    <w:rsid w:val="006B4DED"/>
    <w:rsid w:val="006B51AF"/>
    <w:rsid w:val="006B594E"/>
    <w:rsid w:val="006B5BCA"/>
    <w:rsid w:val="006B5C6C"/>
    <w:rsid w:val="006B5F86"/>
    <w:rsid w:val="006B6DD3"/>
    <w:rsid w:val="006B7A09"/>
    <w:rsid w:val="006B7BDF"/>
    <w:rsid w:val="006C001B"/>
    <w:rsid w:val="006C02E8"/>
    <w:rsid w:val="006C0306"/>
    <w:rsid w:val="006C084B"/>
    <w:rsid w:val="006C0CA2"/>
    <w:rsid w:val="006C1821"/>
    <w:rsid w:val="006C1A86"/>
    <w:rsid w:val="006C1B63"/>
    <w:rsid w:val="006C1C08"/>
    <w:rsid w:val="006C1C32"/>
    <w:rsid w:val="006C3BD4"/>
    <w:rsid w:val="006C3E61"/>
    <w:rsid w:val="006C409C"/>
    <w:rsid w:val="006C4A33"/>
    <w:rsid w:val="006C4A66"/>
    <w:rsid w:val="006C4E58"/>
    <w:rsid w:val="006C5098"/>
    <w:rsid w:val="006C51B8"/>
    <w:rsid w:val="006C585C"/>
    <w:rsid w:val="006C58EB"/>
    <w:rsid w:val="006C6B97"/>
    <w:rsid w:val="006C7389"/>
    <w:rsid w:val="006C7688"/>
    <w:rsid w:val="006D1A83"/>
    <w:rsid w:val="006D2AEB"/>
    <w:rsid w:val="006D3790"/>
    <w:rsid w:val="006D39C5"/>
    <w:rsid w:val="006D3E92"/>
    <w:rsid w:val="006D3FE7"/>
    <w:rsid w:val="006D40C6"/>
    <w:rsid w:val="006D5098"/>
    <w:rsid w:val="006D5667"/>
    <w:rsid w:val="006D5A0D"/>
    <w:rsid w:val="006D5C4D"/>
    <w:rsid w:val="006D6D68"/>
    <w:rsid w:val="006D71AF"/>
    <w:rsid w:val="006D749C"/>
    <w:rsid w:val="006D7BAB"/>
    <w:rsid w:val="006E0AE1"/>
    <w:rsid w:val="006E12AE"/>
    <w:rsid w:val="006E1438"/>
    <w:rsid w:val="006E1A7F"/>
    <w:rsid w:val="006E1AF2"/>
    <w:rsid w:val="006E2993"/>
    <w:rsid w:val="006E30B9"/>
    <w:rsid w:val="006E3F44"/>
    <w:rsid w:val="006E3FFC"/>
    <w:rsid w:val="006E4056"/>
    <w:rsid w:val="006E4E76"/>
    <w:rsid w:val="006E5A71"/>
    <w:rsid w:val="006E61E4"/>
    <w:rsid w:val="006E6244"/>
    <w:rsid w:val="006E6DE8"/>
    <w:rsid w:val="006E748D"/>
    <w:rsid w:val="006E7BF8"/>
    <w:rsid w:val="006E7DE0"/>
    <w:rsid w:val="006F0333"/>
    <w:rsid w:val="006F03A9"/>
    <w:rsid w:val="006F046C"/>
    <w:rsid w:val="006F04D6"/>
    <w:rsid w:val="006F1153"/>
    <w:rsid w:val="006F12C0"/>
    <w:rsid w:val="006F1311"/>
    <w:rsid w:val="006F1389"/>
    <w:rsid w:val="006F1AAA"/>
    <w:rsid w:val="006F206E"/>
    <w:rsid w:val="006F2385"/>
    <w:rsid w:val="006F2800"/>
    <w:rsid w:val="006F2A58"/>
    <w:rsid w:val="006F34A9"/>
    <w:rsid w:val="006F36A8"/>
    <w:rsid w:val="006F528D"/>
    <w:rsid w:val="006F5B32"/>
    <w:rsid w:val="006F5E33"/>
    <w:rsid w:val="006F7084"/>
    <w:rsid w:val="006F7841"/>
    <w:rsid w:val="00700017"/>
    <w:rsid w:val="00700413"/>
    <w:rsid w:val="00700677"/>
    <w:rsid w:val="0070086E"/>
    <w:rsid w:val="00700A46"/>
    <w:rsid w:val="00700C9A"/>
    <w:rsid w:val="00701060"/>
    <w:rsid w:val="0070177E"/>
    <w:rsid w:val="007029A1"/>
    <w:rsid w:val="00702EF0"/>
    <w:rsid w:val="00703865"/>
    <w:rsid w:val="007045E2"/>
    <w:rsid w:val="0070495B"/>
    <w:rsid w:val="00704FF2"/>
    <w:rsid w:val="00705199"/>
    <w:rsid w:val="007058B3"/>
    <w:rsid w:val="007070DF"/>
    <w:rsid w:val="00707A62"/>
    <w:rsid w:val="00707E86"/>
    <w:rsid w:val="0071021A"/>
    <w:rsid w:val="007102B9"/>
    <w:rsid w:val="007102EE"/>
    <w:rsid w:val="0071055A"/>
    <w:rsid w:val="007105FE"/>
    <w:rsid w:val="00710C14"/>
    <w:rsid w:val="007110AD"/>
    <w:rsid w:val="007112F3"/>
    <w:rsid w:val="007115BA"/>
    <w:rsid w:val="0071169A"/>
    <w:rsid w:val="00711A6B"/>
    <w:rsid w:val="007123F5"/>
    <w:rsid w:val="007133D5"/>
    <w:rsid w:val="00713DD1"/>
    <w:rsid w:val="00714285"/>
    <w:rsid w:val="007152D2"/>
    <w:rsid w:val="00715418"/>
    <w:rsid w:val="007158A1"/>
    <w:rsid w:val="007162AE"/>
    <w:rsid w:val="00717CC1"/>
    <w:rsid w:val="007200FE"/>
    <w:rsid w:val="00721358"/>
    <w:rsid w:val="007223B5"/>
    <w:rsid w:val="00722603"/>
    <w:rsid w:val="00722A12"/>
    <w:rsid w:val="00723690"/>
    <w:rsid w:val="00723F6A"/>
    <w:rsid w:val="00725373"/>
    <w:rsid w:val="007253DA"/>
    <w:rsid w:val="00725441"/>
    <w:rsid w:val="00726304"/>
    <w:rsid w:val="00727118"/>
    <w:rsid w:val="00727425"/>
    <w:rsid w:val="007277F3"/>
    <w:rsid w:val="007278F0"/>
    <w:rsid w:val="0073033C"/>
    <w:rsid w:val="00730685"/>
    <w:rsid w:val="00730EEC"/>
    <w:rsid w:val="00730F7B"/>
    <w:rsid w:val="007311EE"/>
    <w:rsid w:val="007318E8"/>
    <w:rsid w:val="007325A5"/>
    <w:rsid w:val="00732728"/>
    <w:rsid w:val="00732FDF"/>
    <w:rsid w:val="007331A1"/>
    <w:rsid w:val="007331BE"/>
    <w:rsid w:val="0073381F"/>
    <w:rsid w:val="00735A6C"/>
    <w:rsid w:val="00735BE9"/>
    <w:rsid w:val="00736600"/>
    <w:rsid w:val="00737155"/>
    <w:rsid w:val="007372BA"/>
    <w:rsid w:val="00737623"/>
    <w:rsid w:val="0073763E"/>
    <w:rsid w:val="00737DC7"/>
    <w:rsid w:val="007400B1"/>
    <w:rsid w:val="00740A3B"/>
    <w:rsid w:val="00740E31"/>
    <w:rsid w:val="0074127D"/>
    <w:rsid w:val="007415B5"/>
    <w:rsid w:val="007419DB"/>
    <w:rsid w:val="00741BB4"/>
    <w:rsid w:val="00741F1A"/>
    <w:rsid w:val="007432EE"/>
    <w:rsid w:val="007444C0"/>
    <w:rsid w:val="007444E0"/>
    <w:rsid w:val="007447B9"/>
    <w:rsid w:val="00744A62"/>
    <w:rsid w:val="00744BC9"/>
    <w:rsid w:val="00745121"/>
    <w:rsid w:val="00745296"/>
    <w:rsid w:val="00745841"/>
    <w:rsid w:val="00745B0D"/>
    <w:rsid w:val="00747569"/>
    <w:rsid w:val="0074764A"/>
    <w:rsid w:val="00747838"/>
    <w:rsid w:val="007501F3"/>
    <w:rsid w:val="007504E1"/>
    <w:rsid w:val="00750848"/>
    <w:rsid w:val="0075089C"/>
    <w:rsid w:val="007508D8"/>
    <w:rsid w:val="00750ABD"/>
    <w:rsid w:val="00751008"/>
    <w:rsid w:val="007510C8"/>
    <w:rsid w:val="00751311"/>
    <w:rsid w:val="00751816"/>
    <w:rsid w:val="00752201"/>
    <w:rsid w:val="00752523"/>
    <w:rsid w:val="007537B9"/>
    <w:rsid w:val="00753B32"/>
    <w:rsid w:val="00753C94"/>
    <w:rsid w:val="00753EEA"/>
    <w:rsid w:val="00754103"/>
    <w:rsid w:val="007541A9"/>
    <w:rsid w:val="00754D96"/>
    <w:rsid w:val="00754F15"/>
    <w:rsid w:val="0075594A"/>
    <w:rsid w:val="00755DE8"/>
    <w:rsid w:val="007561BD"/>
    <w:rsid w:val="0075644F"/>
    <w:rsid w:val="00757644"/>
    <w:rsid w:val="00757680"/>
    <w:rsid w:val="0075795C"/>
    <w:rsid w:val="00760522"/>
    <w:rsid w:val="0076084C"/>
    <w:rsid w:val="00760BF7"/>
    <w:rsid w:val="0076160B"/>
    <w:rsid w:val="00762A2C"/>
    <w:rsid w:val="00763FD2"/>
    <w:rsid w:val="00764495"/>
    <w:rsid w:val="007652E3"/>
    <w:rsid w:val="00765B10"/>
    <w:rsid w:val="007700B7"/>
    <w:rsid w:val="007701C8"/>
    <w:rsid w:val="0077073C"/>
    <w:rsid w:val="00770CA0"/>
    <w:rsid w:val="00771BF6"/>
    <w:rsid w:val="007722B2"/>
    <w:rsid w:val="0077264B"/>
    <w:rsid w:val="00773C98"/>
    <w:rsid w:val="00773FDD"/>
    <w:rsid w:val="00774C78"/>
    <w:rsid w:val="0077563C"/>
    <w:rsid w:val="007757FD"/>
    <w:rsid w:val="0077597F"/>
    <w:rsid w:val="00775A69"/>
    <w:rsid w:val="00775BFF"/>
    <w:rsid w:val="00776979"/>
    <w:rsid w:val="00776E2D"/>
    <w:rsid w:val="0077706E"/>
    <w:rsid w:val="007773D6"/>
    <w:rsid w:val="007776AD"/>
    <w:rsid w:val="00777964"/>
    <w:rsid w:val="00777D5F"/>
    <w:rsid w:val="007803B5"/>
    <w:rsid w:val="0078072A"/>
    <w:rsid w:val="007812C9"/>
    <w:rsid w:val="007819B8"/>
    <w:rsid w:val="00781EB2"/>
    <w:rsid w:val="007829AE"/>
    <w:rsid w:val="00784293"/>
    <w:rsid w:val="0078466F"/>
    <w:rsid w:val="00784DF2"/>
    <w:rsid w:val="00784FFE"/>
    <w:rsid w:val="007853F6"/>
    <w:rsid w:val="0078544F"/>
    <w:rsid w:val="007856C7"/>
    <w:rsid w:val="00786346"/>
    <w:rsid w:val="00787473"/>
    <w:rsid w:val="00787F11"/>
    <w:rsid w:val="00790224"/>
    <w:rsid w:val="00791120"/>
    <w:rsid w:val="007911C4"/>
    <w:rsid w:val="007921B6"/>
    <w:rsid w:val="007938F6"/>
    <w:rsid w:val="00793AF0"/>
    <w:rsid w:val="00794567"/>
    <w:rsid w:val="007947B8"/>
    <w:rsid w:val="00795C03"/>
    <w:rsid w:val="0079618C"/>
    <w:rsid w:val="007964DA"/>
    <w:rsid w:val="00796A38"/>
    <w:rsid w:val="00796B1C"/>
    <w:rsid w:val="00796E2B"/>
    <w:rsid w:val="00796F03"/>
    <w:rsid w:val="007974D8"/>
    <w:rsid w:val="00797E7A"/>
    <w:rsid w:val="007A0521"/>
    <w:rsid w:val="007A082F"/>
    <w:rsid w:val="007A1CF7"/>
    <w:rsid w:val="007A1FFA"/>
    <w:rsid w:val="007A2F6E"/>
    <w:rsid w:val="007A438A"/>
    <w:rsid w:val="007A447D"/>
    <w:rsid w:val="007A4DB5"/>
    <w:rsid w:val="007A5185"/>
    <w:rsid w:val="007A57BB"/>
    <w:rsid w:val="007A5FE5"/>
    <w:rsid w:val="007A6497"/>
    <w:rsid w:val="007A69AF"/>
    <w:rsid w:val="007A70E4"/>
    <w:rsid w:val="007A7622"/>
    <w:rsid w:val="007B118E"/>
    <w:rsid w:val="007B1515"/>
    <w:rsid w:val="007B20CE"/>
    <w:rsid w:val="007B27E3"/>
    <w:rsid w:val="007B2D3E"/>
    <w:rsid w:val="007B3183"/>
    <w:rsid w:val="007B38EA"/>
    <w:rsid w:val="007B3F83"/>
    <w:rsid w:val="007B4276"/>
    <w:rsid w:val="007B4345"/>
    <w:rsid w:val="007B589E"/>
    <w:rsid w:val="007B5A97"/>
    <w:rsid w:val="007B63F9"/>
    <w:rsid w:val="007B66CC"/>
    <w:rsid w:val="007B7D3C"/>
    <w:rsid w:val="007C05B7"/>
    <w:rsid w:val="007C069E"/>
    <w:rsid w:val="007C0A9D"/>
    <w:rsid w:val="007C1C68"/>
    <w:rsid w:val="007C2CDA"/>
    <w:rsid w:val="007C3964"/>
    <w:rsid w:val="007C410C"/>
    <w:rsid w:val="007C42D5"/>
    <w:rsid w:val="007C4A6A"/>
    <w:rsid w:val="007C4CB9"/>
    <w:rsid w:val="007C6614"/>
    <w:rsid w:val="007C6784"/>
    <w:rsid w:val="007C76D3"/>
    <w:rsid w:val="007D0008"/>
    <w:rsid w:val="007D01EE"/>
    <w:rsid w:val="007D06C1"/>
    <w:rsid w:val="007D09F8"/>
    <w:rsid w:val="007D13FD"/>
    <w:rsid w:val="007D16E0"/>
    <w:rsid w:val="007D1935"/>
    <w:rsid w:val="007D1AAE"/>
    <w:rsid w:val="007D1BC4"/>
    <w:rsid w:val="007D1BF7"/>
    <w:rsid w:val="007D2288"/>
    <w:rsid w:val="007D22D8"/>
    <w:rsid w:val="007D2D5D"/>
    <w:rsid w:val="007D3378"/>
    <w:rsid w:val="007D3A0C"/>
    <w:rsid w:val="007D5773"/>
    <w:rsid w:val="007D5BD5"/>
    <w:rsid w:val="007D6975"/>
    <w:rsid w:val="007D6B9A"/>
    <w:rsid w:val="007D6CEB"/>
    <w:rsid w:val="007D70DA"/>
    <w:rsid w:val="007D76F2"/>
    <w:rsid w:val="007E03CE"/>
    <w:rsid w:val="007E0B85"/>
    <w:rsid w:val="007E133C"/>
    <w:rsid w:val="007E1359"/>
    <w:rsid w:val="007E2707"/>
    <w:rsid w:val="007E3324"/>
    <w:rsid w:val="007E4279"/>
    <w:rsid w:val="007E51BD"/>
    <w:rsid w:val="007E5292"/>
    <w:rsid w:val="007E7677"/>
    <w:rsid w:val="007E7B27"/>
    <w:rsid w:val="007E7B59"/>
    <w:rsid w:val="007E7E33"/>
    <w:rsid w:val="007E7E5A"/>
    <w:rsid w:val="007E7F02"/>
    <w:rsid w:val="007F0334"/>
    <w:rsid w:val="007F0982"/>
    <w:rsid w:val="007F09FD"/>
    <w:rsid w:val="007F0FE4"/>
    <w:rsid w:val="007F1519"/>
    <w:rsid w:val="007F19FD"/>
    <w:rsid w:val="007F1A2D"/>
    <w:rsid w:val="007F2489"/>
    <w:rsid w:val="007F2B77"/>
    <w:rsid w:val="007F2F9A"/>
    <w:rsid w:val="007F4713"/>
    <w:rsid w:val="007F4E51"/>
    <w:rsid w:val="007F4FE0"/>
    <w:rsid w:val="007F53D0"/>
    <w:rsid w:val="007F570D"/>
    <w:rsid w:val="007F596D"/>
    <w:rsid w:val="007F6419"/>
    <w:rsid w:val="007F7473"/>
    <w:rsid w:val="007F75E9"/>
    <w:rsid w:val="007F7F74"/>
    <w:rsid w:val="00801390"/>
    <w:rsid w:val="008015FD"/>
    <w:rsid w:val="0080217C"/>
    <w:rsid w:val="008029DF"/>
    <w:rsid w:val="00802A8F"/>
    <w:rsid w:val="00802CAB"/>
    <w:rsid w:val="00802E43"/>
    <w:rsid w:val="00802F2D"/>
    <w:rsid w:val="008040F3"/>
    <w:rsid w:val="008044F4"/>
    <w:rsid w:val="00805810"/>
    <w:rsid w:val="008060B8"/>
    <w:rsid w:val="0080613D"/>
    <w:rsid w:val="00806C34"/>
    <w:rsid w:val="00806D26"/>
    <w:rsid w:val="00807895"/>
    <w:rsid w:val="00807C20"/>
    <w:rsid w:val="00807D08"/>
    <w:rsid w:val="008100F2"/>
    <w:rsid w:val="008107DF"/>
    <w:rsid w:val="00811598"/>
    <w:rsid w:val="00811A8D"/>
    <w:rsid w:val="00811F7F"/>
    <w:rsid w:val="00812286"/>
    <w:rsid w:val="00812F50"/>
    <w:rsid w:val="0081368D"/>
    <w:rsid w:val="0081376C"/>
    <w:rsid w:val="00813D00"/>
    <w:rsid w:val="00814326"/>
    <w:rsid w:val="008146E9"/>
    <w:rsid w:val="00814933"/>
    <w:rsid w:val="00814B42"/>
    <w:rsid w:val="00815CC5"/>
    <w:rsid w:val="00815F5F"/>
    <w:rsid w:val="00816DA1"/>
    <w:rsid w:val="00816F48"/>
    <w:rsid w:val="00817316"/>
    <w:rsid w:val="00817EFA"/>
    <w:rsid w:val="008200AA"/>
    <w:rsid w:val="008205A5"/>
    <w:rsid w:val="008208E4"/>
    <w:rsid w:val="00820924"/>
    <w:rsid w:val="00822327"/>
    <w:rsid w:val="0082452C"/>
    <w:rsid w:val="0082499E"/>
    <w:rsid w:val="00824DA4"/>
    <w:rsid w:val="008262CA"/>
    <w:rsid w:val="00826575"/>
    <w:rsid w:val="00827195"/>
    <w:rsid w:val="00830A68"/>
    <w:rsid w:val="008313DA"/>
    <w:rsid w:val="008316A8"/>
    <w:rsid w:val="008322F4"/>
    <w:rsid w:val="0083263D"/>
    <w:rsid w:val="00832990"/>
    <w:rsid w:val="00832B5F"/>
    <w:rsid w:val="00833468"/>
    <w:rsid w:val="0083352B"/>
    <w:rsid w:val="008337AA"/>
    <w:rsid w:val="00834218"/>
    <w:rsid w:val="00834339"/>
    <w:rsid w:val="008345F6"/>
    <w:rsid w:val="0083542E"/>
    <w:rsid w:val="008355A5"/>
    <w:rsid w:val="00835844"/>
    <w:rsid w:val="00835C94"/>
    <w:rsid w:val="00835ED9"/>
    <w:rsid w:val="00836FDA"/>
    <w:rsid w:val="00837088"/>
    <w:rsid w:val="00837308"/>
    <w:rsid w:val="008378D1"/>
    <w:rsid w:val="00840B7D"/>
    <w:rsid w:val="00840E50"/>
    <w:rsid w:val="008414B6"/>
    <w:rsid w:val="0084253A"/>
    <w:rsid w:val="00842643"/>
    <w:rsid w:val="008428D7"/>
    <w:rsid w:val="0084292C"/>
    <w:rsid w:val="00842A77"/>
    <w:rsid w:val="00842B9A"/>
    <w:rsid w:val="00842BA2"/>
    <w:rsid w:val="00843651"/>
    <w:rsid w:val="00843AA6"/>
    <w:rsid w:val="00844779"/>
    <w:rsid w:val="008458C2"/>
    <w:rsid w:val="008459EA"/>
    <w:rsid w:val="00846744"/>
    <w:rsid w:val="00846AD9"/>
    <w:rsid w:val="00847240"/>
    <w:rsid w:val="008508DA"/>
    <w:rsid w:val="00850FC1"/>
    <w:rsid w:val="008512D6"/>
    <w:rsid w:val="0085190A"/>
    <w:rsid w:val="00851DA6"/>
    <w:rsid w:val="00851E63"/>
    <w:rsid w:val="008523DA"/>
    <w:rsid w:val="00852564"/>
    <w:rsid w:val="008529D0"/>
    <w:rsid w:val="00852ECA"/>
    <w:rsid w:val="00853303"/>
    <w:rsid w:val="008542B2"/>
    <w:rsid w:val="0085449E"/>
    <w:rsid w:val="00854E35"/>
    <w:rsid w:val="0085555B"/>
    <w:rsid w:val="00855890"/>
    <w:rsid w:val="00856273"/>
    <w:rsid w:val="0085635B"/>
    <w:rsid w:val="00856E47"/>
    <w:rsid w:val="00857126"/>
    <w:rsid w:val="00857225"/>
    <w:rsid w:val="00857641"/>
    <w:rsid w:val="00857A5D"/>
    <w:rsid w:val="008601DB"/>
    <w:rsid w:val="00860B81"/>
    <w:rsid w:val="00860C73"/>
    <w:rsid w:val="00860D96"/>
    <w:rsid w:val="008613CC"/>
    <w:rsid w:val="00861900"/>
    <w:rsid w:val="00861B78"/>
    <w:rsid w:val="0086219C"/>
    <w:rsid w:val="00862232"/>
    <w:rsid w:val="008625BD"/>
    <w:rsid w:val="00862960"/>
    <w:rsid w:val="0086297B"/>
    <w:rsid w:val="00862EDA"/>
    <w:rsid w:val="00863389"/>
    <w:rsid w:val="008633D7"/>
    <w:rsid w:val="00863400"/>
    <w:rsid w:val="00864214"/>
    <w:rsid w:val="008645D4"/>
    <w:rsid w:val="0086477D"/>
    <w:rsid w:val="00864A5E"/>
    <w:rsid w:val="00864C9C"/>
    <w:rsid w:val="00864EDD"/>
    <w:rsid w:val="0086541C"/>
    <w:rsid w:val="0086562F"/>
    <w:rsid w:val="00865CC0"/>
    <w:rsid w:val="00865CCC"/>
    <w:rsid w:val="00865E6E"/>
    <w:rsid w:val="00865FF4"/>
    <w:rsid w:val="008660F5"/>
    <w:rsid w:val="008663C7"/>
    <w:rsid w:val="0086648B"/>
    <w:rsid w:val="00866E24"/>
    <w:rsid w:val="00866EEC"/>
    <w:rsid w:val="00867FB4"/>
    <w:rsid w:val="0087042B"/>
    <w:rsid w:val="0087087D"/>
    <w:rsid w:val="00871401"/>
    <w:rsid w:val="00871415"/>
    <w:rsid w:val="0087177E"/>
    <w:rsid w:val="00871F03"/>
    <w:rsid w:val="00872438"/>
    <w:rsid w:val="0087260A"/>
    <w:rsid w:val="00872901"/>
    <w:rsid w:val="00872BD3"/>
    <w:rsid w:val="00872E41"/>
    <w:rsid w:val="008739EF"/>
    <w:rsid w:val="00873DEA"/>
    <w:rsid w:val="00874129"/>
    <w:rsid w:val="0087425D"/>
    <w:rsid w:val="008742AC"/>
    <w:rsid w:val="008744D7"/>
    <w:rsid w:val="00874C54"/>
    <w:rsid w:val="00874CB8"/>
    <w:rsid w:val="008759EC"/>
    <w:rsid w:val="00875B34"/>
    <w:rsid w:val="008764B5"/>
    <w:rsid w:val="00876A2A"/>
    <w:rsid w:val="00876F42"/>
    <w:rsid w:val="008771A9"/>
    <w:rsid w:val="008806D8"/>
    <w:rsid w:val="008808F1"/>
    <w:rsid w:val="00880D7C"/>
    <w:rsid w:val="008813D9"/>
    <w:rsid w:val="00883365"/>
    <w:rsid w:val="008851D8"/>
    <w:rsid w:val="0088546B"/>
    <w:rsid w:val="008855A5"/>
    <w:rsid w:val="00885BA8"/>
    <w:rsid w:val="008867FA"/>
    <w:rsid w:val="00886CBC"/>
    <w:rsid w:val="008871D8"/>
    <w:rsid w:val="008878E1"/>
    <w:rsid w:val="00887E99"/>
    <w:rsid w:val="00890461"/>
    <w:rsid w:val="00890B7F"/>
    <w:rsid w:val="00891124"/>
    <w:rsid w:val="0089114E"/>
    <w:rsid w:val="008914E0"/>
    <w:rsid w:val="008918E0"/>
    <w:rsid w:val="00892147"/>
    <w:rsid w:val="008929B6"/>
    <w:rsid w:val="0089310C"/>
    <w:rsid w:val="00893734"/>
    <w:rsid w:val="008938E3"/>
    <w:rsid w:val="00893D96"/>
    <w:rsid w:val="00894F1F"/>
    <w:rsid w:val="00895012"/>
    <w:rsid w:val="008951B8"/>
    <w:rsid w:val="0089522E"/>
    <w:rsid w:val="008958CA"/>
    <w:rsid w:val="0089598C"/>
    <w:rsid w:val="00895B6A"/>
    <w:rsid w:val="00895D97"/>
    <w:rsid w:val="00896382"/>
    <w:rsid w:val="008966E7"/>
    <w:rsid w:val="0089751B"/>
    <w:rsid w:val="00897A07"/>
    <w:rsid w:val="008A05B0"/>
    <w:rsid w:val="008A28E4"/>
    <w:rsid w:val="008A32B2"/>
    <w:rsid w:val="008A3911"/>
    <w:rsid w:val="008A49EC"/>
    <w:rsid w:val="008A4BFA"/>
    <w:rsid w:val="008A4D39"/>
    <w:rsid w:val="008A5A2D"/>
    <w:rsid w:val="008A6D4F"/>
    <w:rsid w:val="008A6F04"/>
    <w:rsid w:val="008A71E2"/>
    <w:rsid w:val="008A742B"/>
    <w:rsid w:val="008A7F25"/>
    <w:rsid w:val="008B01B4"/>
    <w:rsid w:val="008B0B09"/>
    <w:rsid w:val="008B0BB3"/>
    <w:rsid w:val="008B0DE5"/>
    <w:rsid w:val="008B168C"/>
    <w:rsid w:val="008B191B"/>
    <w:rsid w:val="008B1BBA"/>
    <w:rsid w:val="008B1CCE"/>
    <w:rsid w:val="008B2529"/>
    <w:rsid w:val="008B3950"/>
    <w:rsid w:val="008B3B5B"/>
    <w:rsid w:val="008B43E2"/>
    <w:rsid w:val="008B47B8"/>
    <w:rsid w:val="008B4A9A"/>
    <w:rsid w:val="008B4BDA"/>
    <w:rsid w:val="008B4CF5"/>
    <w:rsid w:val="008B534B"/>
    <w:rsid w:val="008B67BB"/>
    <w:rsid w:val="008B6E40"/>
    <w:rsid w:val="008B6F87"/>
    <w:rsid w:val="008B7E42"/>
    <w:rsid w:val="008C017E"/>
    <w:rsid w:val="008C0557"/>
    <w:rsid w:val="008C087E"/>
    <w:rsid w:val="008C089D"/>
    <w:rsid w:val="008C0E38"/>
    <w:rsid w:val="008C123D"/>
    <w:rsid w:val="008C1EDA"/>
    <w:rsid w:val="008C2A30"/>
    <w:rsid w:val="008C2E19"/>
    <w:rsid w:val="008C3257"/>
    <w:rsid w:val="008C5038"/>
    <w:rsid w:val="008C5A1F"/>
    <w:rsid w:val="008C5DAE"/>
    <w:rsid w:val="008C6712"/>
    <w:rsid w:val="008C6835"/>
    <w:rsid w:val="008C6B40"/>
    <w:rsid w:val="008C6CFB"/>
    <w:rsid w:val="008C6E76"/>
    <w:rsid w:val="008C7310"/>
    <w:rsid w:val="008C7ADF"/>
    <w:rsid w:val="008D0659"/>
    <w:rsid w:val="008D093E"/>
    <w:rsid w:val="008D164C"/>
    <w:rsid w:val="008D1962"/>
    <w:rsid w:val="008D1976"/>
    <w:rsid w:val="008D1A5A"/>
    <w:rsid w:val="008D1ECB"/>
    <w:rsid w:val="008D22A2"/>
    <w:rsid w:val="008D25A7"/>
    <w:rsid w:val="008D297F"/>
    <w:rsid w:val="008D29A8"/>
    <w:rsid w:val="008D303F"/>
    <w:rsid w:val="008D30DE"/>
    <w:rsid w:val="008D342A"/>
    <w:rsid w:val="008D360F"/>
    <w:rsid w:val="008D3B7A"/>
    <w:rsid w:val="008D5FAA"/>
    <w:rsid w:val="008D68D8"/>
    <w:rsid w:val="008D6D60"/>
    <w:rsid w:val="008D6E7D"/>
    <w:rsid w:val="008D70B1"/>
    <w:rsid w:val="008E03DE"/>
    <w:rsid w:val="008E0B43"/>
    <w:rsid w:val="008E1E7C"/>
    <w:rsid w:val="008E1F97"/>
    <w:rsid w:val="008E20ED"/>
    <w:rsid w:val="008E2786"/>
    <w:rsid w:val="008E328D"/>
    <w:rsid w:val="008E35A1"/>
    <w:rsid w:val="008E3A8A"/>
    <w:rsid w:val="008E3AA0"/>
    <w:rsid w:val="008E40F4"/>
    <w:rsid w:val="008E442F"/>
    <w:rsid w:val="008E483C"/>
    <w:rsid w:val="008E6400"/>
    <w:rsid w:val="008E7150"/>
    <w:rsid w:val="008E7E9C"/>
    <w:rsid w:val="008F0CCC"/>
    <w:rsid w:val="008F0FD5"/>
    <w:rsid w:val="008F10A1"/>
    <w:rsid w:val="008F137A"/>
    <w:rsid w:val="008F1858"/>
    <w:rsid w:val="008F1DA8"/>
    <w:rsid w:val="008F32E5"/>
    <w:rsid w:val="008F3718"/>
    <w:rsid w:val="008F3EF3"/>
    <w:rsid w:val="008F431E"/>
    <w:rsid w:val="008F4A61"/>
    <w:rsid w:val="008F4E1E"/>
    <w:rsid w:val="008F4E88"/>
    <w:rsid w:val="008F5578"/>
    <w:rsid w:val="008F5665"/>
    <w:rsid w:val="008F56B6"/>
    <w:rsid w:val="008F603B"/>
    <w:rsid w:val="008F6306"/>
    <w:rsid w:val="008F66F7"/>
    <w:rsid w:val="008F6E83"/>
    <w:rsid w:val="008F7464"/>
    <w:rsid w:val="008F7690"/>
    <w:rsid w:val="008F7A0C"/>
    <w:rsid w:val="008F7AA4"/>
    <w:rsid w:val="009001B9"/>
    <w:rsid w:val="009017F5"/>
    <w:rsid w:val="00901823"/>
    <w:rsid w:val="00902706"/>
    <w:rsid w:val="00903339"/>
    <w:rsid w:val="0090396C"/>
    <w:rsid w:val="00903CBC"/>
    <w:rsid w:val="00904181"/>
    <w:rsid w:val="00904254"/>
    <w:rsid w:val="00904276"/>
    <w:rsid w:val="00904763"/>
    <w:rsid w:val="00904E80"/>
    <w:rsid w:val="00905827"/>
    <w:rsid w:val="00906A01"/>
    <w:rsid w:val="00910AAF"/>
    <w:rsid w:val="00910D65"/>
    <w:rsid w:val="00911A0E"/>
    <w:rsid w:val="00911A2D"/>
    <w:rsid w:val="009122E8"/>
    <w:rsid w:val="009129CD"/>
    <w:rsid w:val="00912A23"/>
    <w:rsid w:val="00912BC2"/>
    <w:rsid w:val="00912CC0"/>
    <w:rsid w:val="0091360C"/>
    <w:rsid w:val="00915A26"/>
    <w:rsid w:val="00916D8C"/>
    <w:rsid w:val="009173CF"/>
    <w:rsid w:val="00917B56"/>
    <w:rsid w:val="009201A3"/>
    <w:rsid w:val="00920F66"/>
    <w:rsid w:val="00920F67"/>
    <w:rsid w:val="009218F0"/>
    <w:rsid w:val="0092203B"/>
    <w:rsid w:val="00922476"/>
    <w:rsid w:val="00922796"/>
    <w:rsid w:val="009228A9"/>
    <w:rsid w:val="009228B6"/>
    <w:rsid w:val="009229B2"/>
    <w:rsid w:val="00922C62"/>
    <w:rsid w:val="009232A6"/>
    <w:rsid w:val="009232DC"/>
    <w:rsid w:val="00923DD6"/>
    <w:rsid w:val="00923F67"/>
    <w:rsid w:val="0092409E"/>
    <w:rsid w:val="00924B7F"/>
    <w:rsid w:val="00924D2E"/>
    <w:rsid w:val="00925AC2"/>
    <w:rsid w:val="009260CB"/>
    <w:rsid w:val="00926419"/>
    <w:rsid w:val="0092672B"/>
    <w:rsid w:val="00926D48"/>
    <w:rsid w:val="00926E29"/>
    <w:rsid w:val="0093013A"/>
    <w:rsid w:val="00930CBB"/>
    <w:rsid w:val="009311F2"/>
    <w:rsid w:val="009320EB"/>
    <w:rsid w:val="009328E6"/>
    <w:rsid w:val="009335C9"/>
    <w:rsid w:val="0093411F"/>
    <w:rsid w:val="009345B2"/>
    <w:rsid w:val="00934D74"/>
    <w:rsid w:val="0093593A"/>
    <w:rsid w:val="00936065"/>
    <w:rsid w:val="00936324"/>
    <w:rsid w:val="009366AD"/>
    <w:rsid w:val="009374DF"/>
    <w:rsid w:val="00937723"/>
    <w:rsid w:val="009378CD"/>
    <w:rsid w:val="009378E0"/>
    <w:rsid w:val="00937A7C"/>
    <w:rsid w:val="00937BD1"/>
    <w:rsid w:val="00937D00"/>
    <w:rsid w:val="00937ECD"/>
    <w:rsid w:val="00937F8C"/>
    <w:rsid w:val="00940DA1"/>
    <w:rsid w:val="00941157"/>
    <w:rsid w:val="0094165F"/>
    <w:rsid w:val="00941B7C"/>
    <w:rsid w:val="00941C89"/>
    <w:rsid w:val="00941FDE"/>
    <w:rsid w:val="0094228D"/>
    <w:rsid w:val="00942F74"/>
    <w:rsid w:val="00942F93"/>
    <w:rsid w:val="0094402B"/>
    <w:rsid w:val="0094403B"/>
    <w:rsid w:val="0094409B"/>
    <w:rsid w:val="00944C41"/>
    <w:rsid w:val="0094515C"/>
    <w:rsid w:val="0094527E"/>
    <w:rsid w:val="00945598"/>
    <w:rsid w:val="00945C58"/>
    <w:rsid w:val="0094663A"/>
    <w:rsid w:val="00946C18"/>
    <w:rsid w:val="00946E88"/>
    <w:rsid w:val="009471C2"/>
    <w:rsid w:val="009500AF"/>
    <w:rsid w:val="0095039B"/>
    <w:rsid w:val="0095069C"/>
    <w:rsid w:val="009507F6"/>
    <w:rsid w:val="0095084A"/>
    <w:rsid w:val="009509F2"/>
    <w:rsid w:val="009515A1"/>
    <w:rsid w:val="00952735"/>
    <w:rsid w:val="00953C4E"/>
    <w:rsid w:val="009540CA"/>
    <w:rsid w:val="009546F3"/>
    <w:rsid w:val="00954EB5"/>
    <w:rsid w:val="00955748"/>
    <w:rsid w:val="00955A77"/>
    <w:rsid w:val="00955D98"/>
    <w:rsid w:val="00956089"/>
    <w:rsid w:val="0095681C"/>
    <w:rsid w:val="00957F09"/>
    <w:rsid w:val="009600BE"/>
    <w:rsid w:val="0096068D"/>
    <w:rsid w:val="00960EAE"/>
    <w:rsid w:val="00961032"/>
    <w:rsid w:val="00961257"/>
    <w:rsid w:val="00961269"/>
    <w:rsid w:val="00962D18"/>
    <w:rsid w:val="00963F74"/>
    <w:rsid w:val="00964DBC"/>
    <w:rsid w:val="00964ED5"/>
    <w:rsid w:val="00964F71"/>
    <w:rsid w:val="00965520"/>
    <w:rsid w:val="00966BFC"/>
    <w:rsid w:val="00966CE9"/>
    <w:rsid w:val="00966CF9"/>
    <w:rsid w:val="00966F2A"/>
    <w:rsid w:val="0096797F"/>
    <w:rsid w:val="00967C97"/>
    <w:rsid w:val="0097002A"/>
    <w:rsid w:val="009701EE"/>
    <w:rsid w:val="0097068F"/>
    <w:rsid w:val="00970BDA"/>
    <w:rsid w:val="00971B41"/>
    <w:rsid w:val="009725F2"/>
    <w:rsid w:val="00972CC6"/>
    <w:rsid w:val="00972EAD"/>
    <w:rsid w:val="00973449"/>
    <w:rsid w:val="00973484"/>
    <w:rsid w:val="009735B0"/>
    <w:rsid w:val="00973DF3"/>
    <w:rsid w:val="009748EA"/>
    <w:rsid w:val="00974E08"/>
    <w:rsid w:val="00975284"/>
    <w:rsid w:val="0097552E"/>
    <w:rsid w:val="00975BC4"/>
    <w:rsid w:val="00976364"/>
    <w:rsid w:val="00976770"/>
    <w:rsid w:val="009777AB"/>
    <w:rsid w:val="0097788A"/>
    <w:rsid w:val="00977A9B"/>
    <w:rsid w:val="00980617"/>
    <w:rsid w:val="00980D6F"/>
    <w:rsid w:val="0098129B"/>
    <w:rsid w:val="009821CA"/>
    <w:rsid w:val="0098421A"/>
    <w:rsid w:val="009842B9"/>
    <w:rsid w:val="00984C0E"/>
    <w:rsid w:val="00985341"/>
    <w:rsid w:val="009867AF"/>
    <w:rsid w:val="00987183"/>
    <w:rsid w:val="0098778E"/>
    <w:rsid w:val="00990993"/>
    <w:rsid w:val="00990F76"/>
    <w:rsid w:val="00990FE3"/>
    <w:rsid w:val="00991928"/>
    <w:rsid w:val="00991BE3"/>
    <w:rsid w:val="00991ECE"/>
    <w:rsid w:val="00992A53"/>
    <w:rsid w:val="0099326C"/>
    <w:rsid w:val="00993A7A"/>
    <w:rsid w:val="00993ACD"/>
    <w:rsid w:val="00993BE3"/>
    <w:rsid w:val="00994712"/>
    <w:rsid w:val="009953EF"/>
    <w:rsid w:val="00995A67"/>
    <w:rsid w:val="00996166"/>
    <w:rsid w:val="009969AD"/>
    <w:rsid w:val="00996C37"/>
    <w:rsid w:val="00997259"/>
    <w:rsid w:val="009A03E6"/>
    <w:rsid w:val="009A0647"/>
    <w:rsid w:val="009A08CF"/>
    <w:rsid w:val="009A0BC0"/>
    <w:rsid w:val="009A0D62"/>
    <w:rsid w:val="009A2511"/>
    <w:rsid w:val="009A3E7D"/>
    <w:rsid w:val="009A4533"/>
    <w:rsid w:val="009A62FD"/>
    <w:rsid w:val="009B0E86"/>
    <w:rsid w:val="009B1D3F"/>
    <w:rsid w:val="009B1DF2"/>
    <w:rsid w:val="009B1EFB"/>
    <w:rsid w:val="009B2515"/>
    <w:rsid w:val="009B3CEF"/>
    <w:rsid w:val="009B420B"/>
    <w:rsid w:val="009B4817"/>
    <w:rsid w:val="009B53D5"/>
    <w:rsid w:val="009B5696"/>
    <w:rsid w:val="009B5B16"/>
    <w:rsid w:val="009B6C82"/>
    <w:rsid w:val="009B76E5"/>
    <w:rsid w:val="009C1CFC"/>
    <w:rsid w:val="009C2069"/>
    <w:rsid w:val="009C2245"/>
    <w:rsid w:val="009C2363"/>
    <w:rsid w:val="009C28BA"/>
    <w:rsid w:val="009C30D4"/>
    <w:rsid w:val="009C477D"/>
    <w:rsid w:val="009C4924"/>
    <w:rsid w:val="009C5303"/>
    <w:rsid w:val="009C54C5"/>
    <w:rsid w:val="009C5C32"/>
    <w:rsid w:val="009C5F41"/>
    <w:rsid w:val="009C6752"/>
    <w:rsid w:val="009C6D3B"/>
    <w:rsid w:val="009D00B6"/>
    <w:rsid w:val="009D02B5"/>
    <w:rsid w:val="009D03CF"/>
    <w:rsid w:val="009D0672"/>
    <w:rsid w:val="009D06C0"/>
    <w:rsid w:val="009D0AEE"/>
    <w:rsid w:val="009D0B32"/>
    <w:rsid w:val="009D1A0A"/>
    <w:rsid w:val="009D211C"/>
    <w:rsid w:val="009D234D"/>
    <w:rsid w:val="009D26B8"/>
    <w:rsid w:val="009D2CEB"/>
    <w:rsid w:val="009D3F30"/>
    <w:rsid w:val="009D4635"/>
    <w:rsid w:val="009D4CFD"/>
    <w:rsid w:val="009D5814"/>
    <w:rsid w:val="009D5F07"/>
    <w:rsid w:val="009D5F3E"/>
    <w:rsid w:val="009D6410"/>
    <w:rsid w:val="009D7B04"/>
    <w:rsid w:val="009D7B48"/>
    <w:rsid w:val="009E0F5D"/>
    <w:rsid w:val="009E17ED"/>
    <w:rsid w:val="009E1804"/>
    <w:rsid w:val="009E1A18"/>
    <w:rsid w:val="009E1E3B"/>
    <w:rsid w:val="009E3211"/>
    <w:rsid w:val="009E342E"/>
    <w:rsid w:val="009E35B6"/>
    <w:rsid w:val="009E390A"/>
    <w:rsid w:val="009E409D"/>
    <w:rsid w:val="009E40ED"/>
    <w:rsid w:val="009E47D8"/>
    <w:rsid w:val="009E52AB"/>
    <w:rsid w:val="009E5381"/>
    <w:rsid w:val="009E5BDA"/>
    <w:rsid w:val="009E6184"/>
    <w:rsid w:val="009E69BC"/>
    <w:rsid w:val="009E6E66"/>
    <w:rsid w:val="009E70F7"/>
    <w:rsid w:val="009E786A"/>
    <w:rsid w:val="009E7C10"/>
    <w:rsid w:val="009E7D3D"/>
    <w:rsid w:val="009F1C91"/>
    <w:rsid w:val="009F26FD"/>
    <w:rsid w:val="009F3560"/>
    <w:rsid w:val="009F3797"/>
    <w:rsid w:val="009F40EA"/>
    <w:rsid w:val="009F41A2"/>
    <w:rsid w:val="009F432A"/>
    <w:rsid w:val="009F4591"/>
    <w:rsid w:val="009F4F9F"/>
    <w:rsid w:val="009F6186"/>
    <w:rsid w:val="009F6330"/>
    <w:rsid w:val="009F6807"/>
    <w:rsid w:val="009F68CC"/>
    <w:rsid w:val="009F6C54"/>
    <w:rsid w:val="00A00278"/>
    <w:rsid w:val="00A006D0"/>
    <w:rsid w:val="00A00718"/>
    <w:rsid w:val="00A00D68"/>
    <w:rsid w:val="00A011FF"/>
    <w:rsid w:val="00A01C60"/>
    <w:rsid w:val="00A02E55"/>
    <w:rsid w:val="00A02ED5"/>
    <w:rsid w:val="00A03966"/>
    <w:rsid w:val="00A03BED"/>
    <w:rsid w:val="00A03FE4"/>
    <w:rsid w:val="00A04164"/>
    <w:rsid w:val="00A04202"/>
    <w:rsid w:val="00A05050"/>
    <w:rsid w:val="00A059B4"/>
    <w:rsid w:val="00A05CB7"/>
    <w:rsid w:val="00A06BB2"/>
    <w:rsid w:val="00A06CF0"/>
    <w:rsid w:val="00A07122"/>
    <w:rsid w:val="00A071DF"/>
    <w:rsid w:val="00A07230"/>
    <w:rsid w:val="00A07C96"/>
    <w:rsid w:val="00A10986"/>
    <w:rsid w:val="00A11E73"/>
    <w:rsid w:val="00A12074"/>
    <w:rsid w:val="00A12C57"/>
    <w:rsid w:val="00A1307F"/>
    <w:rsid w:val="00A136E4"/>
    <w:rsid w:val="00A13D19"/>
    <w:rsid w:val="00A14408"/>
    <w:rsid w:val="00A14C52"/>
    <w:rsid w:val="00A158FF"/>
    <w:rsid w:val="00A15A8C"/>
    <w:rsid w:val="00A15FCE"/>
    <w:rsid w:val="00A160BE"/>
    <w:rsid w:val="00A168EA"/>
    <w:rsid w:val="00A17088"/>
    <w:rsid w:val="00A172E9"/>
    <w:rsid w:val="00A1756F"/>
    <w:rsid w:val="00A17EE3"/>
    <w:rsid w:val="00A209B5"/>
    <w:rsid w:val="00A20A69"/>
    <w:rsid w:val="00A2105D"/>
    <w:rsid w:val="00A2150D"/>
    <w:rsid w:val="00A21580"/>
    <w:rsid w:val="00A21AF8"/>
    <w:rsid w:val="00A21E07"/>
    <w:rsid w:val="00A22382"/>
    <w:rsid w:val="00A22A7E"/>
    <w:rsid w:val="00A22CD5"/>
    <w:rsid w:val="00A22EE6"/>
    <w:rsid w:val="00A23C32"/>
    <w:rsid w:val="00A23FEE"/>
    <w:rsid w:val="00A24087"/>
    <w:rsid w:val="00A242F0"/>
    <w:rsid w:val="00A24418"/>
    <w:rsid w:val="00A2478D"/>
    <w:rsid w:val="00A25038"/>
    <w:rsid w:val="00A251B5"/>
    <w:rsid w:val="00A25406"/>
    <w:rsid w:val="00A25BAB"/>
    <w:rsid w:val="00A266FA"/>
    <w:rsid w:val="00A26785"/>
    <w:rsid w:val="00A2697B"/>
    <w:rsid w:val="00A26A43"/>
    <w:rsid w:val="00A27280"/>
    <w:rsid w:val="00A27604"/>
    <w:rsid w:val="00A30B4D"/>
    <w:rsid w:val="00A31ABE"/>
    <w:rsid w:val="00A31BA3"/>
    <w:rsid w:val="00A31C91"/>
    <w:rsid w:val="00A31EAE"/>
    <w:rsid w:val="00A337DA"/>
    <w:rsid w:val="00A33E5D"/>
    <w:rsid w:val="00A33FEC"/>
    <w:rsid w:val="00A3455B"/>
    <w:rsid w:val="00A3465A"/>
    <w:rsid w:val="00A34AC2"/>
    <w:rsid w:val="00A34E3B"/>
    <w:rsid w:val="00A35963"/>
    <w:rsid w:val="00A35A3F"/>
    <w:rsid w:val="00A35B1B"/>
    <w:rsid w:val="00A35ED4"/>
    <w:rsid w:val="00A4004C"/>
    <w:rsid w:val="00A40331"/>
    <w:rsid w:val="00A4122E"/>
    <w:rsid w:val="00A417A1"/>
    <w:rsid w:val="00A4190B"/>
    <w:rsid w:val="00A41AFD"/>
    <w:rsid w:val="00A423EC"/>
    <w:rsid w:val="00A428AC"/>
    <w:rsid w:val="00A428F5"/>
    <w:rsid w:val="00A42E1A"/>
    <w:rsid w:val="00A43530"/>
    <w:rsid w:val="00A45010"/>
    <w:rsid w:val="00A45545"/>
    <w:rsid w:val="00A4700C"/>
    <w:rsid w:val="00A5109D"/>
    <w:rsid w:val="00A519F2"/>
    <w:rsid w:val="00A523F0"/>
    <w:rsid w:val="00A525AA"/>
    <w:rsid w:val="00A52BFF"/>
    <w:rsid w:val="00A53251"/>
    <w:rsid w:val="00A53532"/>
    <w:rsid w:val="00A539F6"/>
    <w:rsid w:val="00A5472A"/>
    <w:rsid w:val="00A5473B"/>
    <w:rsid w:val="00A55C59"/>
    <w:rsid w:val="00A5645B"/>
    <w:rsid w:val="00A56FE1"/>
    <w:rsid w:val="00A57C33"/>
    <w:rsid w:val="00A603E7"/>
    <w:rsid w:val="00A60CCD"/>
    <w:rsid w:val="00A62D33"/>
    <w:rsid w:val="00A63189"/>
    <w:rsid w:val="00A6400E"/>
    <w:rsid w:val="00A65671"/>
    <w:rsid w:val="00A65829"/>
    <w:rsid w:val="00A66A40"/>
    <w:rsid w:val="00A672FF"/>
    <w:rsid w:val="00A67806"/>
    <w:rsid w:val="00A67B85"/>
    <w:rsid w:val="00A700C5"/>
    <w:rsid w:val="00A705E0"/>
    <w:rsid w:val="00A708CA"/>
    <w:rsid w:val="00A70B56"/>
    <w:rsid w:val="00A70CE2"/>
    <w:rsid w:val="00A71648"/>
    <w:rsid w:val="00A72A0C"/>
    <w:rsid w:val="00A72FF9"/>
    <w:rsid w:val="00A749BB"/>
    <w:rsid w:val="00A76003"/>
    <w:rsid w:val="00A76406"/>
    <w:rsid w:val="00A7681F"/>
    <w:rsid w:val="00A76D7F"/>
    <w:rsid w:val="00A77369"/>
    <w:rsid w:val="00A77591"/>
    <w:rsid w:val="00A77831"/>
    <w:rsid w:val="00A77A23"/>
    <w:rsid w:val="00A77D05"/>
    <w:rsid w:val="00A77DD6"/>
    <w:rsid w:val="00A77EB0"/>
    <w:rsid w:val="00A77FEF"/>
    <w:rsid w:val="00A815C3"/>
    <w:rsid w:val="00A81E19"/>
    <w:rsid w:val="00A8218B"/>
    <w:rsid w:val="00A82968"/>
    <w:rsid w:val="00A83D00"/>
    <w:rsid w:val="00A843A0"/>
    <w:rsid w:val="00A84D58"/>
    <w:rsid w:val="00A85075"/>
    <w:rsid w:val="00A87432"/>
    <w:rsid w:val="00A87685"/>
    <w:rsid w:val="00A87830"/>
    <w:rsid w:val="00A87A0E"/>
    <w:rsid w:val="00A87F8E"/>
    <w:rsid w:val="00A90DD2"/>
    <w:rsid w:val="00A91048"/>
    <w:rsid w:val="00A91888"/>
    <w:rsid w:val="00A918F0"/>
    <w:rsid w:val="00A92CD5"/>
    <w:rsid w:val="00A938AF"/>
    <w:rsid w:val="00A9424C"/>
    <w:rsid w:val="00A94B19"/>
    <w:rsid w:val="00A95196"/>
    <w:rsid w:val="00A955A1"/>
    <w:rsid w:val="00A964CA"/>
    <w:rsid w:val="00A969BE"/>
    <w:rsid w:val="00A974BE"/>
    <w:rsid w:val="00A97599"/>
    <w:rsid w:val="00A979ED"/>
    <w:rsid w:val="00A97BB3"/>
    <w:rsid w:val="00AA0062"/>
    <w:rsid w:val="00AA0113"/>
    <w:rsid w:val="00AA0268"/>
    <w:rsid w:val="00AA0B2F"/>
    <w:rsid w:val="00AA1269"/>
    <w:rsid w:val="00AA159D"/>
    <w:rsid w:val="00AA1772"/>
    <w:rsid w:val="00AA19E0"/>
    <w:rsid w:val="00AA2340"/>
    <w:rsid w:val="00AA2564"/>
    <w:rsid w:val="00AA287D"/>
    <w:rsid w:val="00AA28A5"/>
    <w:rsid w:val="00AA3BDA"/>
    <w:rsid w:val="00AA3C61"/>
    <w:rsid w:val="00AA3C93"/>
    <w:rsid w:val="00AA4217"/>
    <w:rsid w:val="00AA4311"/>
    <w:rsid w:val="00AA4ADE"/>
    <w:rsid w:val="00AA4B9D"/>
    <w:rsid w:val="00AA4E72"/>
    <w:rsid w:val="00AA5E17"/>
    <w:rsid w:val="00AA6238"/>
    <w:rsid w:val="00AA6509"/>
    <w:rsid w:val="00AA6646"/>
    <w:rsid w:val="00AA6769"/>
    <w:rsid w:val="00AA690D"/>
    <w:rsid w:val="00AA6B8D"/>
    <w:rsid w:val="00AA70FC"/>
    <w:rsid w:val="00AA79BF"/>
    <w:rsid w:val="00AB00F8"/>
    <w:rsid w:val="00AB0F4C"/>
    <w:rsid w:val="00AB11C1"/>
    <w:rsid w:val="00AB1317"/>
    <w:rsid w:val="00AB1333"/>
    <w:rsid w:val="00AB240B"/>
    <w:rsid w:val="00AB28E3"/>
    <w:rsid w:val="00AB2CF0"/>
    <w:rsid w:val="00AB3125"/>
    <w:rsid w:val="00AB3513"/>
    <w:rsid w:val="00AB3B58"/>
    <w:rsid w:val="00AB4155"/>
    <w:rsid w:val="00AB5183"/>
    <w:rsid w:val="00AB547F"/>
    <w:rsid w:val="00AB5A1B"/>
    <w:rsid w:val="00AB5DBE"/>
    <w:rsid w:val="00AB6A2E"/>
    <w:rsid w:val="00AB6CBC"/>
    <w:rsid w:val="00AB720A"/>
    <w:rsid w:val="00AB72C5"/>
    <w:rsid w:val="00AB7BB8"/>
    <w:rsid w:val="00AB7BCA"/>
    <w:rsid w:val="00AB7FCA"/>
    <w:rsid w:val="00AC07EC"/>
    <w:rsid w:val="00AC12BA"/>
    <w:rsid w:val="00AC12BB"/>
    <w:rsid w:val="00AC14D2"/>
    <w:rsid w:val="00AC1CD5"/>
    <w:rsid w:val="00AC2C19"/>
    <w:rsid w:val="00AC3924"/>
    <w:rsid w:val="00AC3A1C"/>
    <w:rsid w:val="00AC3CB6"/>
    <w:rsid w:val="00AC471C"/>
    <w:rsid w:val="00AC4845"/>
    <w:rsid w:val="00AC4860"/>
    <w:rsid w:val="00AC50A3"/>
    <w:rsid w:val="00AC50C1"/>
    <w:rsid w:val="00AC564E"/>
    <w:rsid w:val="00AC59FB"/>
    <w:rsid w:val="00AC5D82"/>
    <w:rsid w:val="00AC601F"/>
    <w:rsid w:val="00AC62AA"/>
    <w:rsid w:val="00AC645D"/>
    <w:rsid w:val="00AC6463"/>
    <w:rsid w:val="00AC6724"/>
    <w:rsid w:val="00AC6A79"/>
    <w:rsid w:val="00AC6ED5"/>
    <w:rsid w:val="00AC75D8"/>
    <w:rsid w:val="00AD0792"/>
    <w:rsid w:val="00AD0D3D"/>
    <w:rsid w:val="00AD0E89"/>
    <w:rsid w:val="00AD2783"/>
    <w:rsid w:val="00AD281C"/>
    <w:rsid w:val="00AD2951"/>
    <w:rsid w:val="00AD2964"/>
    <w:rsid w:val="00AD2DB7"/>
    <w:rsid w:val="00AD314E"/>
    <w:rsid w:val="00AD3585"/>
    <w:rsid w:val="00AD370C"/>
    <w:rsid w:val="00AD370E"/>
    <w:rsid w:val="00AD41B7"/>
    <w:rsid w:val="00AD42C3"/>
    <w:rsid w:val="00AD66EA"/>
    <w:rsid w:val="00AD6709"/>
    <w:rsid w:val="00AD6F29"/>
    <w:rsid w:val="00AE000E"/>
    <w:rsid w:val="00AE0A98"/>
    <w:rsid w:val="00AE10FF"/>
    <w:rsid w:val="00AE11A7"/>
    <w:rsid w:val="00AE2371"/>
    <w:rsid w:val="00AE2682"/>
    <w:rsid w:val="00AE2F01"/>
    <w:rsid w:val="00AE3579"/>
    <w:rsid w:val="00AE36CE"/>
    <w:rsid w:val="00AE37BB"/>
    <w:rsid w:val="00AE46F6"/>
    <w:rsid w:val="00AE4F0E"/>
    <w:rsid w:val="00AE6142"/>
    <w:rsid w:val="00AE7F87"/>
    <w:rsid w:val="00AF0704"/>
    <w:rsid w:val="00AF07E0"/>
    <w:rsid w:val="00AF09DB"/>
    <w:rsid w:val="00AF1206"/>
    <w:rsid w:val="00AF127C"/>
    <w:rsid w:val="00AF1B63"/>
    <w:rsid w:val="00AF23BE"/>
    <w:rsid w:val="00AF240A"/>
    <w:rsid w:val="00AF2D96"/>
    <w:rsid w:val="00AF37F1"/>
    <w:rsid w:val="00AF3BAB"/>
    <w:rsid w:val="00AF55C4"/>
    <w:rsid w:val="00AF5CD6"/>
    <w:rsid w:val="00AF63BA"/>
    <w:rsid w:val="00AF6954"/>
    <w:rsid w:val="00AF6CF7"/>
    <w:rsid w:val="00AF6DF5"/>
    <w:rsid w:val="00AF722A"/>
    <w:rsid w:val="00AF737C"/>
    <w:rsid w:val="00AF76A7"/>
    <w:rsid w:val="00AF792D"/>
    <w:rsid w:val="00AF7BD8"/>
    <w:rsid w:val="00B00420"/>
    <w:rsid w:val="00B00578"/>
    <w:rsid w:val="00B013B1"/>
    <w:rsid w:val="00B02034"/>
    <w:rsid w:val="00B027D9"/>
    <w:rsid w:val="00B033D9"/>
    <w:rsid w:val="00B03E6F"/>
    <w:rsid w:val="00B040C1"/>
    <w:rsid w:val="00B04A57"/>
    <w:rsid w:val="00B04EB3"/>
    <w:rsid w:val="00B05136"/>
    <w:rsid w:val="00B05727"/>
    <w:rsid w:val="00B05BD6"/>
    <w:rsid w:val="00B06DCC"/>
    <w:rsid w:val="00B074BA"/>
    <w:rsid w:val="00B078CC"/>
    <w:rsid w:val="00B1131A"/>
    <w:rsid w:val="00B11CF2"/>
    <w:rsid w:val="00B11EEA"/>
    <w:rsid w:val="00B1210A"/>
    <w:rsid w:val="00B13142"/>
    <w:rsid w:val="00B13432"/>
    <w:rsid w:val="00B13CDA"/>
    <w:rsid w:val="00B147D5"/>
    <w:rsid w:val="00B14F8F"/>
    <w:rsid w:val="00B15A75"/>
    <w:rsid w:val="00B15C02"/>
    <w:rsid w:val="00B15D32"/>
    <w:rsid w:val="00B16638"/>
    <w:rsid w:val="00B16E8E"/>
    <w:rsid w:val="00B1733E"/>
    <w:rsid w:val="00B20055"/>
    <w:rsid w:val="00B20CBE"/>
    <w:rsid w:val="00B21721"/>
    <w:rsid w:val="00B21D23"/>
    <w:rsid w:val="00B21FEE"/>
    <w:rsid w:val="00B222B7"/>
    <w:rsid w:val="00B22619"/>
    <w:rsid w:val="00B22ACB"/>
    <w:rsid w:val="00B22C8D"/>
    <w:rsid w:val="00B2367B"/>
    <w:rsid w:val="00B24440"/>
    <w:rsid w:val="00B25E03"/>
    <w:rsid w:val="00B25E74"/>
    <w:rsid w:val="00B265DE"/>
    <w:rsid w:val="00B272E1"/>
    <w:rsid w:val="00B275ED"/>
    <w:rsid w:val="00B27719"/>
    <w:rsid w:val="00B279B8"/>
    <w:rsid w:val="00B27A8B"/>
    <w:rsid w:val="00B30EED"/>
    <w:rsid w:val="00B312B9"/>
    <w:rsid w:val="00B313B7"/>
    <w:rsid w:val="00B31552"/>
    <w:rsid w:val="00B32BEE"/>
    <w:rsid w:val="00B32FF6"/>
    <w:rsid w:val="00B33A88"/>
    <w:rsid w:val="00B3508A"/>
    <w:rsid w:val="00B3673B"/>
    <w:rsid w:val="00B3686F"/>
    <w:rsid w:val="00B36D8D"/>
    <w:rsid w:val="00B370B4"/>
    <w:rsid w:val="00B40939"/>
    <w:rsid w:val="00B41508"/>
    <w:rsid w:val="00B41F0D"/>
    <w:rsid w:val="00B41F81"/>
    <w:rsid w:val="00B41FCD"/>
    <w:rsid w:val="00B4227C"/>
    <w:rsid w:val="00B42356"/>
    <w:rsid w:val="00B4291B"/>
    <w:rsid w:val="00B431A6"/>
    <w:rsid w:val="00B433BD"/>
    <w:rsid w:val="00B445EE"/>
    <w:rsid w:val="00B456CC"/>
    <w:rsid w:val="00B4644D"/>
    <w:rsid w:val="00B4729A"/>
    <w:rsid w:val="00B47385"/>
    <w:rsid w:val="00B47C50"/>
    <w:rsid w:val="00B47E58"/>
    <w:rsid w:val="00B50071"/>
    <w:rsid w:val="00B510AB"/>
    <w:rsid w:val="00B521F1"/>
    <w:rsid w:val="00B533AA"/>
    <w:rsid w:val="00B5384E"/>
    <w:rsid w:val="00B53FB0"/>
    <w:rsid w:val="00B542E0"/>
    <w:rsid w:val="00B544F2"/>
    <w:rsid w:val="00B54937"/>
    <w:rsid w:val="00B54B08"/>
    <w:rsid w:val="00B54DE5"/>
    <w:rsid w:val="00B55419"/>
    <w:rsid w:val="00B55B42"/>
    <w:rsid w:val="00B56314"/>
    <w:rsid w:val="00B56526"/>
    <w:rsid w:val="00B56A90"/>
    <w:rsid w:val="00B57A30"/>
    <w:rsid w:val="00B57ADE"/>
    <w:rsid w:val="00B57D44"/>
    <w:rsid w:val="00B605B7"/>
    <w:rsid w:val="00B6083E"/>
    <w:rsid w:val="00B60C11"/>
    <w:rsid w:val="00B60D01"/>
    <w:rsid w:val="00B61391"/>
    <w:rsid w:val="00B619A1"/>
    <w:rsid w:val="00B61AD9"/>
    <w:rsid w:val="00B61BDD"/>
    <w:rsid w:val="00B620E5"/>
    <w:rsid w:val="00B622B3"/>
    <w:rsid w:val="00B62F01"/>
    <w:rsid w:val="00B6358B"/>
    <w:rsid w:val="00B63BCA"/>
    <w:rsid w:val="00B64091"/>
    <w:rsid w:val="00B64292"/>
    <w:rsid w:val="00B644F9"/>
    <w:rsid w:val="00B64796"/>
    <w:rsid w:val="00B64E0D"/>
    <w:rsid w:val="00B64F03"/>
    <w:rsid w:val="00B65514"/>
    <w:rsid w:val="00B65547"/>
    <w:rsid w:val="00B66673"/>
    <w:rsid w:val="00B672DE"/>
    <w:rsid w:val="00B675D0"/>
    <w:rsid w:val="00B67A60"/>
    <w:rsid w:val="00B703B4"/>
    <w:rsid w:val="00B712A9"/>
    <w:rsid w:val="00B714B2"/>
    <w:rsid w:val="00B71663"/>
    <w:rsid w:val="00B71868"/>
    <w:rsid w:val="00B7343A"/>
    <w:rsid w:val="00B74B6E"/>
    <w:rsid w:val="00B74FB7"/>
    <w:rsid w:val="00B77CE7"/>
    <w:rsid w:val="00B803C5"/>
    <w:rsid w:val="00B80C0C"/>
    <w:rsid w:val="00B8120A"/>
    <w:rsid w:val="00B81378"/>
    <w:rsid w:val="00B81A68"/>
    <w:rsid w:val="00B81F13"/>
    <w:rsid w:val="00B820A0"/>
    <w:rsid w:val="00B821B3"/>
    <w:rsid w:val="00B827BB"/>
    <w:rsid w:val="00B82A99"/>
    <w:rsid w:val="00B83CE1"/>
    <w:rsid w:val="00B83EF9"/>
    <w:rsid w:val="00B83FD2"/>
    <w:rsid w:val="00B8407A"/>
    <w:rsid w:val="00B84081"/>
    <w:rsid w:val="00B844F8"/>
    <w:rsid w:val="00B85A84"/>
    <w:rsid w:val="00B86E26"/>
    <w:rsid w:val="00B87342"/>
    <w:rsid w:val="00B901AB"/>
    <w:rsid w:val="00B902CF"/>
    <w:rsid w:val="00B90673"/>
    <w:rsid w:val="00B906D3"/>
    <w:rsid w:val="00B90752"/>
    <w:rsid w:val="00B90EF8"/>
    <w:rsid w:val="00B9177C"/>
    <w:rsid w:val="00B9177D"/>
    <w:rsid w:val="00B918B7"/>
    <w:rsid w:val="00B9229B"/>
    <w:rsid w:val="00B92538"/>
    <w:rsid w:val="00B92A14"/>
    <w:rsid w:val="00B92EB3"/>
    <w:rsid w:val="00B93EB7"/>
    <w:rsid w:val="00B9513D"/>
    <w:rsid w:val="00B95210"/>
    <w:rsid w:val="00B952A2"/>
    <w:rsid w:val="00B95842"/>
    <w:rsid w:val="00B95AB1"/>
    <w:rsid w:val="00B9641B"/>
    <w:rsid w:val="00B96BFD"/>
    <w:rsid w:val="00B973D6"/>
    <w:rsid w:val="00B97820"/>
    <w:rsid w:val="00B9787C"/>
    <w:rsid w:val="00B97F41"/>
    <w:rsid w:val="00B97F73"/>
    <w:rsid w:val="00B97FDF"/>
    <w:rsid w:val="00BA0D10"/>
    <w:rsid w:val="00BA2A11"/>
    <w:rsid w:val="00BA3123"/>
    <w:rsid w:val="00BA34C6"/>
    <w:rsid w:val="00BA479B"/>
    <w:rsid w:val="00BA5A9F"/>
    <w:rsid w:val="00BA5DDE"/>
    <w:rsid w:val="00BA6460"/>
    <w:rsid w:val="00BA6A3D"/>
    <w:rsid w:val="00BB0026"/>
    <w:rsid w:val="00BB07EC"/>
    <w:rsid w:val="00BB0BA7"/>
    <w:rsid w:val="00BB1944"/>
    <w:rsid w:val="00BB1C6F"/>
    <w:rsid w:val="00BB1CEA"/>
    <w:rsid w:val="00BB1DD0"/>
    <w:rsid w:val="00BB2601"/>
    <w:rsid w:val="00BB2691"/>
    <w:rsid w:val="00BB290A"/>
    <w:rsid w:val="00BB2E35"/>
    <w:rsid w:val="00BB2EAB"/>
    <w:rsid w:val="00BB3BF2"/>
    <w:rsid w:val="00BB3EF3"/>
    <w:rsid w:val="00BB4682"/>
    <w:rsid w:val="00BB58FE"/>
    <w:rsid w:val="00BB7D87"/>
    <w:rsid w:val="00BB7EDA"/>
    <w:rsid w:val="00BC0760"/>
    <w:rsid w:val="00BC0DFB"/>
    <w:rsid w:val="00BC0FEC"/>
    <w:rsid w:val="00BC1FCF"/>
    <w:rsid w:val="00BC244F"/>
    <w:rsid w:val="00BC2B6A"/>
    <w:rsid w:val="00BC382F"/>
    <w:rsid w:val="00BC3AC2"/>
    <w:rsid w:val="00BC3D71"/>
    <w:rsid w:val="00BC3DB4"/>
    <w:rsid w:val="00BC537D"/>
    <w:rsid w:val="00BC543C"/>
    <w:rsid w:val="00BC5628"/>
    <w:rsid w:val="00BC5F07"/>
    <w:rsid w:val="00BC6BBD"/>
    <w:rsid w:val="00BC6E77"/>
    <w:rsid w:val="00BC6E9A"/>
    <w:rsid w:val="00BD0206"/>
    <w:rsid w:val="00BD1D31"/>
    <w:rsid w:val="00BD26A6"/>
    <w:rsid w:val="00BD2B73"/>
    <w:rsid w:val="00BD2E2E"/>
    <w:rsid w:val="00BD38C5"/>
    <w:rsid w:val="00BD4235"/>
    <w:rsid w:val="00BD4C23"/>
    <w:rsid w:val="00BD5067"/>
    <w:rsid w:val="00BD52FF"/>
    <w:rsid w:val="00BD5493"/>
    <w:rsid w:val="00BD56EB"/>
    <w:rsid w:val="00BD5EFD"/>
    <w:rsid w:val="00BD61A2"/>
    <w:rsid w:val="00BD7998"/>
    <w:rsid w:val="00BD79C8"/>
    <w:rsid w:val="00BD7E5A"/>
    <w:rsid w:val="00BE0AE8"/>
    <w:rsid w:val="00BE0E95"/>
    <w:rsid w:val="00BE180C"/>
    <w:rsid w:val="00BE23C8"/>
    <w:rsid w:val="00BE27B8"/>
    <w:rsid w:val="00BE46A9"/>
    <w:rsid w:val="00BE595E"/>
    <w:rsid w:val="00BE610C"/>
    <w:rsid w:val="00BE682C"/>
    <w:rsid w:val="00BE6B01"/>
    <w:rsid w:val="00BE6F0C"/>
    <w:rsid w:val="00BE7156"/>
    <w:rsid w:val="00BE7B89"/>
    <w:rsid w:val="00BE7FD4"/>
    <w:rsid w:val="00BF020C"/>
    <w:rsid w:val="00BF0A56"/>
    <w:rsid w:val="00BF0DE6"/>
    <w:rsid w:val="00BF0DF5"/>
    <w:rsid w:val="00BF0E72"/>
    <w:rsid w:val="00BF131A"/>
    <w:rsid w:val="00BF1320"/>
    <w:rsid w:val="00BF135D"/>
    <w:rsid w:val="00BF151A"/>
    <w:rsid w:val="00BF283A"/>
    <w:rsid w:val="00BF2A06"/>
    <w:rsid w:val="00BF3CD9"/>
    <w:rsid w:val="00BF4446"/>
    <w:rsid w:val="00BF5033"/>
    <w:rsid w:val="00BF55EC"/>
    <w:rsid w:val="00BF5649"/>
    <w:rsid w:val="00BF579D"/>
    <w:rsid w:val="00BF6736"/>
    <w:rsid w:val="00BF6D5E"/>
    <w:rsid w:val="00BF6FD7"/>
    <w:rsid w:val="00BF7479"/>
    <w:rsid w:val="00BF7490"/>
    <w:rsid w:val="00BF7B2A"/>
    <w:rsid w:val="00C023BF"/>
    <w:rsid w:val="00C02441"/>
    <w:rsid w:val="00C02C77"/>
    <w:rsid w:val="00C0396E"/>
    <w:rsid w:val="00C03AF3"/>
    <w:rsid w:val="00C03BB9"/>
    <w:rsid w:val="00C03D96"/>
    <w:rsid w:val="00C0445D"/>
    <w:rsid w:val="00C04862"/>
    <w:rsid w:val="00C04E97"/>
    <w:rsid w:val="00C052E9"/>
    <w:rsid w:val="00C055BF"/>
    <w:rsid w:val="00C05CDB"/>
    <w:rsid w:val="00C05DF1"/>
    <w:rsid w:val="00C05FB9"/>
    <w:rsid w:val="00C06E04"/>
    <w:rsid w:val="00C077A7"/>
    <w:rsid w:val="00C07E61"/>
    <w:rsid w:val="00C1012C"/>
    <w:rsid w:val="00C10A2D"/>
    <w:rsid w:val="00C114DE"/>
    <w:rsid w:val="00C13307"/>
    <w:rsid w:val="00C13590"/>
    <w:rsid w:val="00C1369F"/>
    <w:rsid w:val="00C139A6"/>
    <w:rsid w:val="00C13AE9"/>
    <w:rsid w:val="00C14728"/>
    <w:rsid w:val="00C14790"/>
    <w:rsid w:val="00C147AC"/>
    <w:rsid w:val="00C14BB7"/>
    <w:rsid w:val="00C152D1"/>
    <w:rsid w:val="00C153A9"/>
    <w:rsid w:val="00C153B3"/>
    <w:rsid w:val="00C1716D"/>
    <w:rsid w:val="00C172B8"/>
    <w:rsid w:val="00C17584"/>
    <w:rsid w:val="00C176A1"/>
    <w:rsid w:val="00C17E56"/>
    <w:rsid w:val="00C2041D"/>
    <w:rsid w:val="00C20C0C"/>
    <w:rsid w:val="00C210CA"/>
    <w:rsid w:val="00C21495"/>
    <w:rsid w:val="00C214BF"/>
    <w:rsid w:val="00C22206"/>
    <w:rsid w:val="00C2351E"/>
    <w:rsid w:val="00C23D67"/>
    <w:rsid w:val="00C24756"/>
    <w:rsid w:val="00C250B4"/>
    <w:rsid w:val="00C25114"/>
    <w:rsid w:val="00C2540C"/>
    <w:rsid w:val="00C257BA"/>
    <w:rsid w:val="00C25EE8"/>
    <w:rsid w:val="00C26888"/>
    <w:rsid w:val="00C26EC1"/>
    <w:rsid w:val="00C2736D"/>
    <w:rsid w:val="00C30044"/>
    <w:rsid w:val="00C30698"/>
    <w:rsid w:val="00C30774"/>
    <w:rsid w:val="00C3215D"/>
    <w:rsid w:val="00C32479"/>
    <w:rsid w:val="00C332C5"/>
    <w:rsid w:val="00C3342B"/>
    <w:rsid w:val="00C342CD"/>
    <w:rsid w:val="00C34592"/>
    <w:rsid w:val="00C3514B"/>
    <w:rsid w:val="00C35284"/>
    <w:rsid w:val="00C353B2"/>
    <w:rsid w:val="00C35A0B"/>
    <w:rsid w:val="00C35A78"/>
    <w:rsid w:val="00C365E6"/>
    <w:rsid w:val="00C36931"/>
    <w:rsid w:val="00C371C6"/>
    <w:rsid w:val="00C3796A"/>
    <w:rsid w:val="00C37F2F"/>
    <w:rsid w:val="00C37FD8"/>
    <w:rsid w:val="00C400D2"/>
    <w:rsid w:val="00C40898"/>
    <w:rsid w:val="00C40AAF"/>
    <w:rsid w:val="00C41656"/>
    <w:rsid w:val="00C42566"/>
    <w:rsid w:val="00C425DD"/>
    <w:rsid w:val="00C42744"/>
    <w:rsid w:val="00C42905"/>
    <w:rsid w:val="00C42A30"/>
    <w:rsid w:val="00C43ECB"/>
    <w:rsid w:val="00C44530"/>
    <w:rsid w:val="00C45A0D"/>
    <w:rsid w:val="00C45B55"/>
    <w:rsid w:val="00C460E8"/>
    <w:rsid w:val="00C4648B"/>
    <w:rsid w:val="00C4653C"/>
    <w:rsid w:val="00C4673B"/>
    <w:rsid w:val="00C47697"/>
    <w:rsid w:val="00C47F9D"/>
    <w:rsid w:val="00C5033F"/>
    <w:rsid w:val="00C504BE"/>
    <w:rsid w:val="00C5153A"/>
    <w:rsid w:val="00C52755"/>
    <w:rsid w:val="00C52F9A"/>
    <w:rsid w:val="00C539C6"/>
    <w:rsid w:val="00C53E28"/>
    <w:rsid w:val="00C545CA"/>
    <w:rsid w:val="00C55379"/>
    <w:rsid w:val="00C55910"/>
    <w:rsid w:val="00C55CEC"/>
    <w:rsid w:val="00C55EF4"/>
    <w:rsid w:val="00C55F0F"/>
    <w:rsid w:val="00C56C08"/>
    <w:rsid w:val="00C5779C"/>
    <w:rsid w:val="00C5798E"/>
    <w:rsid w:val="00C57A82"/>
    <w:rsid w:val="00C600CE"/>
    <w:rsid w:val="00C602C3"/>
    <w:rsid w:val="00C61138"/>
    <w:rsid w:val="00C61CB0"/>
    <w:rsid w:val="00C622C6"/>
    <w:rsid w:val="00C626BB"/>
    <w:rsid w:val="00C6293B"/>
    <w:rsid w:val="00C62BDB"/>
    <w:rsid w:val="00C62F6D"/>
    <w:rsid w:val="00C639D5"/>
    <w:rsid w:val="00C63B69"/>
    <w:rsid w:val="00C63D93"/>
    <w:rsid w:val="00C63ED5"/>
    <w:rsid w:val="00C63F1B"/>
    <w:rsid w:val="00C643BE"/>
    <w:rsid w:val="00C64CFD"/>
    <w:rsid w:val="00C6551A"/>
    <w:rsid w:val="00C661A3"/>
    <w:rsid w:val="00C666AC"/>
    <w:rsid w:val="00C6681B"/>
    <w:rsid w:val="00C66E5E"/>
    <w:rsid w:val="00C66F22"/>
    <w:rsid w:val="00C675FA"/>
    <w:rsid w:val="00C67CB8"/>
    <w:rsid w:val="00C67D2E"/>
    <w:rsid w:val="00C70B60"/>
    <w:rsid w:val="00C70DF6"/>
    <w:rsid w:val="00C71F76"/>
    <w:rsid w:val="00C72A78"/>
    <w:rsid w:val="00C732E0"/>
    <w:rsid w:val="00C733AF"/>
    <w:rsid w:val="00C73A31"/>
    <w:rsid w:val="00C746B2"/>
    <w:rsid w:val="00C74B6D"/>
    <w:rsid w:val="00C7584F"/>
    <w:rsid w:val="00C75A7C"/>
    <w:rsid w:val="00C75B25"/>
    <w:rsid w:val="00C76238"/>
    <w:rsid w:val="00C77245"/>
    <w:rsid w:val="00C77935"/>
    <w:rsid w:val="00C77C4E"/>
    <w:rsid w:val="00C8001A"/>
    <w:rsid w:val="00C800AC"/>
    <w:rsid w:val="00C8032D"/>
    <w:rsid w:val="00C80711"/>
    <w:rsid w:val="00C8083A"/>
    <w:rsid w:val="00C80A83"/>
    <w:rsid w:val="00C80C06"/>
    <w:rsid w:val="00C80EB3"/>
    <w:rsid w:val="00C81352"/>
    <w:rsid w:val="00C82350"/>
    <w:rsid w:val="00C8235C"/>
    <w:rsid w:val="00C82A82"/>
    <w:rsid w:val="00C83AB1"/>
    <w:rsid w:val="00C84123"/>
    <w:rsid w:val="00C84454"/>
    <w:rsid w:val="00C844B4"/>
    <w:rsid w:val="00C84833"/>
    <w:rsid w:val="00C84E6E"/>
    <w:rsid w:val="00C85D6F"/>
    <w:rsid w:val="00C86879"/>
    <w:rsid w:val="00C86A3A"/>
    <w:rsid w:val="00C86E85"/>
    <w:rsid w:val="00C87B4C"/>
    <w:rsid w:val="00C87D52"/>
    <w:rsid w:val="00C904A8"/>
    <w:rsid w:val="00C906B0"/>
    <w:rsid w:val="00C90D21"/>
    <w:rsid w:val="00C91906"/>
    <w:rsid w:val="00C91925"/>
    <w:rsid w:val="00C92803"/>
    <w:rsid w:val="00C9304E"/>
    <w:rsid w:val="00C93792"/>
    <w:rsid w:val="00C93DD6"/>
    <w:rsid w:val="00C9520D"/>
    <w:rsid w:val="00C9573B"/>
    <w:rsid w:val="00C959F7"/>
    <w:rsid w:val="00C965A9"/>
    <w:rsid w:val="00C96F1B"/>
    <w:rsid w:val="00C97B63"/>
    <w:rsid w:val="00CA0033"/>
    <w:rsid w:val="00CA0286"/>
    <w:rsid w:val="00CA08DA"/>
    <w:rsid w:val="00CA13F1"/>
    <w:rsid w:val="00CA1654"/>
    <w:rsid w:val="00CA1CAA"/>
    <w:rsid w:val="00CA2482"/>
    <w:rsid w:val="00CA278E"/>
    <w:rsid w:val="00CA2B7F"/>
    <w:rsid w:val="00CA31E4"/>
    <w:rsid w:val="00CA4541"/>
    <w:rsid w:val="00CA4A81"/>
    <w:rsid w:val="00CA4B27"/>
    <w:rsid w:val="00CA57EA"/>
    <w:rsid w:val="00CA6A05"/>
    <w:rsid w:val="00CA73C9"/>
    <w:rsid w:val="00CB0118"/>
    <w:rsid w:val="00CB01FD"/>
    <w:rsid w:val="00CB0775"/>
    <w:rsid w:val="00CB0842"/>
    <w:rsid w:val="00CB0854"/>
    <w:rsid w:val="00CB1C12"/>
    <w:rsid w:val="00CB2626"/>
    <w:rsid w:val="00CB2A83"/>
    <w:rsid w:val="00CB32D2"/>
    <w:rsid w:val="00CB3CE6"/>
    <w:rsid w:val="00CB466B"/>
    <w:rsid w:val="00CB68F1"/>
    <w:rsid w:val="00CB6BBD"/>
    <w:rsid w:val="00CB6DB8"/>
    <w:rsid w:val="00CB74C7"/>
    <w:rsid w:val="00CB76E7"/>
    <w:rsid w:val="00CC08C2"/>
    <w:rsid w:val="00CC091D"/>
    <w:rsid w:val="00CC1197"/>
    <w:rsid w:val="00CC2BC7"/>
    <w:rsid w:val="00CC34CE"/>
    <w:rsid w:val="00CC39C6"/>
    <w:rsid w:val="00CC43B7"/>
    <w:rsid w:val="00CC45BB"/>
    <w:rsid w:val="00CC45CE"/>
    <w:rsid w:val="00CC4BCD"/>
    <w:rsid w:val="00CC4D64"/>
    <w:rsid w:val="00CC5F1F"/>
    <w:rsid w:val="00CC6322"/>
    <w:rsid w:val="00CC6609"/>
    <w:rsid w:val="00CC6D71"/>
    <w:rsid w:val="00CC6F21"/>
    <w:rsid w:val="00CC735B"/>
    <w:rsid w:val="00CC77E4"/>
    <w:rsid w:val="00CD0158"/>
    <w:rsid w:val="00CD0426"/>
    <w:rsid w:val="00CD0899"/>
    <w:rsid w:val="00CD27DA"/>
    <w:rsid w:val="00CD4380"/>
    <w:rsid w:val="00CD4413"/>
    <w:rsid w:val="00CD4CC2"/>
    <w:rsid w:val="00CD5573"/>
    <w:rsid w:val="00CD5671"/>
    <w:rsid w:val="00CD577E"/>
    <w:rsid w:val="00CD57DB"/>
    <w:rsid w:val="00CD5FF3"/>
    <w:rsid w:val="00CD6033"/>
    <w:rsid w:val="00CD6133"/>
    <w:rsid w:val="00CD614C"/>
    <w:rsid w:val="00CD633F"/>
    <w:rsid w:val="00CD68B6"/>
    <w:rsid w:val="00CD7575"/>
    <w:rsid w:val="00CD76B5"/>
    <w:rsid w:val="00CE0DD8"/>
    <w:rsid w:val="00CE1889"/>
    <w:rsid w:val="00CE1C81"/>
    <w:rsid w:val="00CE2666"/>
    <w:rsid w:val="00CE26EB"/>
    <w:rsid w:val="00CE2859"/>
    <w:rsid w:val="00CE2F0D"/>
    <w:rsid w:val="00CE3347"/>
    <w:rsid w:val="00CE340F"/>
    <w:rsid w:val="00CE3AB5"/>
    <w:rsid w:val="00CE3D6E"/>
    <w:rsid w:val="00CE3E82"/>
    <w:rsid w:val="00CE4340"/>
    <w:rsid w:val="00CE496C"/>
    <w:rsid w:val="00CE4E92"/>
    <w:rsid w:val="00CE5082"/>
    <w:rsid w:val="00CE5379"/>
    <w:rsid w:val="00CE5441"/>
    <w:rsid w:val="00CE5B00"/>
    <w:rsid w:val="00CE5D94"/>
    <w:rsid w:val="00CE60A2"/>
    <w:rsid w:val="00CE61AA"/>
    <w:rsid w:val="00CE656D"/>
    <w:rsid w:val="00CE7033"/>
    <w:rsid w:val="00CE72DD"/>
    <w:rsid w:val="00CE7574"/>
    <w:rsid w:val="00CE7DBC"/>
    <w:rsid w:val="00CE7FB0"/>
    <w:rsid w:val="00CF0BEB"/>
    <w:rsid w:val="00CF0CB9"/>
    <w:rsid w:val="00CF0F3D"/>
    <w:rsid w:val="00CF174A"/>
    <w:rsid w:val="00CF240B"/>
    <w:rsid w:val="00CF253A"/>
    <w:rsid w:val="00CF2CC2"/>
    <w:rsid w:val="00CF3139"/>
    <w:rsid w:val="00CF44B7"/>
    <w:rsid w:val="00CF51F3"/>
    <w:rsid w:val="00CF53E2"/>
    <w:rsid w:val="00CF53E5"/>
    <w:rsid w:val="00CF58C3"/>
    <w:rsid w:val="00CF60A6"/>
    <w:rsid w:val="00CF61DF"/>
    <w:rsid w:val="00CF61F6"/>
    <w:rsid w:val="00CF6A5B"/>
    <w:rsid w:val="00CF6C3E"/>
    <w:rsid w:val="00CF6C56"/>
    <w:rsid w:val="00CF6CAD"/>
    <w:rsid w:val="00D00512"/>
    <w:rsid w:val="00D00B45"/>
    <w:rsid w:val="00D012A6"/>
    <w:rsid w:val="00D016CA"/>
    <w:rsid w:val="00D01744"/>
    <w:rsid w:val="00D01B23"/>
    <w:rsid w:val="00D0271A"/>
    <w:rsid w:val="00D029D5"/>
    <w:rsid w:val="00D040AD"/>
    <w:rsid w:val="00D045F3"/>
    <w:rsid w:val="00D046ED"/>
    <w:rsid w:val="00D06BEA"/>
    <w:rsid w:val="00D0706D"/>
    <w:rsid w:val="00D10687"/>
    <w:rsid w:val="00D106C0"/>
    <w:rsid w:val="00D1080F"/>
    <w:rsid w:val="00D1084C"/>
    <w:rsid w:val="00D1303C"/>
    <w:rsid w:val="00D139CF"/>
    <w:rsid w:val="00D13ED5"/>
    <w:rsid w:val="00D142C6"/>
    <w:rsid w:val="00D1434F"/>
    <w:rsid w:val="00D14703"/>
    <w:rsid w:val="00D1502F"/>
    <w:rsid w:val="00D1523B"/>
    <w:rsid w:val="00D153C8"/>
    <w:rsid w:val="00D15480"/>
    <w:rsid w:val="00D1559B"/>
    <w:rsid w:val="00D15816"/>
    <w:rsid w:val="00D15D76"/>
    <w:rsid w:val="00D15F5E"/>
    <w:rsid w:val="00D16110"/>
    <w:rsid w:val="00D16FAF"/>
    <w:rsid w:val="00D17DD5"/>
    <w:rsid w:val="00D2029E"/>
    <w:rsid w:val="00D209A7"/>
    <w:rsid w:val="00D212A7"/>
    <w:rsid w:val="00D226C5"/>
    <w:rsid w:val="00D226EE"/>
    <w:rsid w:val="00D22E5E"/>
    <w:rsid w:val="00D236D3"/>
    <w:rsid w:val="00D23A4E"/>
    <w:rsid w:val="00D23F06"/>
    <w:rsid w:val="00D246BE"/>
    <w:rsid w:val="00D24C02"/>
    <w:rsid w:val="00D24C64"/>
    <w:rsid w:val="00D2542F"/>
    <w:rsid w:val="00D254CD"/>
    <w:rsid w:val="00D2587A"/>
    <w:rsid w:val="00D26E5B"/>
    <w:rsid w:val="00D27651"/>
    <w:rsid w:val="00D2771E"/>
    <w:rsid w:val="00D27B63"/>
    <w:rsid w:val="00D27C63"/>
    <w:rsid w:val="00D27E3C"/>
    <w:rsid w:val="00D302DE"/>
    <w:rsid w:val="00D31112"/>
    <w:rsid w:val="00D314F7"/>
    <w:rsid w:val="00D31A4F"/>
    <w:rsid w:val="00D323AC"/>
    <w:rsid w:val="00D32D94"/>
    <w:rsid w:val="00D334F7"/>
    <w:rsid w:val="00D33872"/>
    <w:rsid w:val="00D33E02"/>
    <w:rsid w:val="00D34073"/>
    <w:rsid w:val="00D34E7E"/>
    <w:rsid w:val="00D34E92"/>
    <w:rsid w:val="00D35260"/>
    <w:rsid w:val="00D35A46"/>
    <w:rsid w:val="00D369F3"/>
    <w:rsid w:val="00D36CDB"/>
    <w:rsid w:val="00D376F1"/>
    <w:rsid w:val="00D3789E"/>
    <w:rsid w:val="00D40231"/>
    <w:rsid w:val="00D40CCD"/>
    <w:rsid w:val="00D41167"/>
    <w:rsid w:val="00D424EE"/>
    <w:rsid w:val="00D42B80"/>
    <w:rsid w:val="00D42F06"/>
    <w:rsid w:val="00D43568"/>
    <w:rsid w:val="00D43D6D"/>
    <w:rsid w:val="00D44DFB"/>
    <w:rsid w:val="00D45A48"/>
    <w:rsid w:val="00D463D0"/>
    <w:rsid w:val="00D4656B"/>
    <w:rsid w:val="00D467B6"/>
    <w:rsid w:val="00D47E0A"/>
    <w:rsid w:val="00D504C1"/>
    <w:rsid w:val="00D50C38"/>
    <w:rsid w:val="00D50D9A"/>
    <w:rsid w:val="00D51AA8"/>
    <w:rsid w:val="00D52228"/>
    <w:rsid w:val="00D5245E"/>
    <w:rsid w:val="00D529B3"/>
    <w:rsid w:val="00D52C8B"/>
    <w:rsid w:val="00D53705"/>
    <w:rsid w:val="00D53FE2"/>
    <w:rsid w:val="00D540B2"/>
    <w:rsid w:val="00D5428A"/>
    <w:rsid w:val="00D544FC"/>
    <w:rsid w:val="00D54765"/>
    <w:rsid w:val="00D54FDF"/>
    <w:rsid w:val="00D5538A"/>
    <w:rsid w:val="00D556C7"/>
    <w:rsid w:val="00D55C18"/>
    <w:rsid w:val="00D55C81"/>
    <w:rsid w:val="00D57227"/>
    <w:rsid w:val="00D57250"/>
    <w:rsid w:val="00D57442"/>
    <w:rsid w:val="00D577EF"/>
    <w:rsid w:val="00D57DBC"/>
    <w:rsid w:val="00D600CD"/>
    <w:rsid w:val="00D600DE"/>
    <w:rsid w:val="00D601A8"/>
    <w:rsid w:val="00D607CB"/>
    <w:rsid w:val="00D60E4C"/>
    <w:rsid w:val="00D61204"/>
    <w:rsid w:val="00D615DC"/>
    <w:rsid w:val="00D61DB8"/>
    <w:rsid w:val="00D62F24"/>
    <w:rsid w:val="00D63667"/>
    <w:rsid w:val="00D636B1"/>
    <w:rsid w:val="00D63CF8"/>
    <w:rsid w:val="00D64324"/>
    <w:rsid w:val="00D6444E"/>
    <w:rsid w:val="00D6474A"/>
    <w:rsid w:val="00D64D06"/>
    <w:rsid w:val="00D64E5F"/>
    <w:rsid w:val="00D65112"/>
    <w:rsid w:val="00D65771"/>
    <w:rsid w:val="00D65B36"/>
    <w:rsid w:val="00D66773"/>
    <w:rsid w:val="00D66CA8"/>
    <w:rsid w:val="00D6719D"/>
    <w:rsid w:val="00D70A28"/>
    <w:rsid w:val="00D70B3D"/>
    <w:rsid w:val="00D71603"/>
    <w:rsid w:val="00D7175A"/>
    <w:rsid w:val="00D72239"/>
    <w:rsid w:val="00D725ED"/>
    <w:rsid w:val="00D72667"/>
    <w:rsid w:val="00D73264"/>
    <w:rsid w:val="00D73546"/>
    <w:rsid w:val="00D73919"/>
    <w:rsid w:val="00D73AF4"/>
    <w:rsid w:val="00D73C99"/>
    <w:rsid w:val="00D73CC9"/>
    <w:rsid w:val="00D73CDB"/>
    <w:rsid w:val="00D7431A"/>
    <w:rsid w:val="00D74616"/>
    <w:rsid w:val="00D7467A"/>
    <w:rsid w:val="00D74684"/>
    <w:rsid w:val="00D74DA3"/>
    <w:rsid w:val="00D7632F"/>
    <w:rsid w:val="00D76861"/>
    <w:rsid w:val="00D773AC"/>
    <w:rsid w:val="00D77525"/>
    <w:rsid w:val="00D77552"/>
    <w:rsid w:val="00D77A5D"/>
    <w:rsid w:val="00D77F3C"/>
    <w:rsid w:val="00D8013D"/>
    <w:rsid w:val="00D80272"/>
    <w:rsid w:val="00D807FD"/>
    <w:rsid w:val="00D80934"/>
    <w:rsid w:val="00D80C13"/>
    <w:rsid w:val="00D818F7"/>
    <w:rsid w:val="00D83114"/>
    <w:rsid w:val="00D83927"/>
    <w:rsid w:val="00D83C01"/>
    <w:rsid w:val="00D86F06"/>
    <w:rsid w:val="00D86FFA"/>
    <w:rsid w:val="00D87586"/>
    <w:rsid w:val="00D87685"/>
    <w:rsid w:val="00D87CCA"/>
    <w:rsid w:val="00D9019A"/>
    <w:rsid w:val="00D90295"/>
    <w:rsid w:val="00D909EE"/>
    <w:rsid w:val="00D90DF1"/>
    <w:rsid w:val="00D91062"/>
    <w:rsid w:val="00D91897"/>
    <w:rsid w:val="00D919EB"/>
    <w:rsid w:val="00D91BAB"/>
    <w:rsid w:val="00D91BC5"/>
    <w:rsid w:val="00D91CA6"/>
    <w:rsid w:val="00D91E14"/>
    <w:rsid w:val="00D92BFE"/>
    <w:rsid w:val="00D92F5B"/>
    <w:rsid w:val="00D9342A"/>
    <w:rsid w:val="00D93A01"/>
    <w:rsid w:val="00D94C89"/>
    <w:rsid w:val="00D952BD"/>
    <w:rsid w:val="00D96B89"/>
    <w:rsid w:val="00DA0130"/>
    <w:rsid w:val="00DA09CB"/>
    <w:rsid w:val="00DA1BAE"/>
    <w:rsid w:val="00DA207B"/>
    <w:rsid w:val="00DA2314"/>
    <w:rsid w:val="00DA2921"/>
    <w:rsid w:val="00DA303D"/>
    <w:rsid w:val="00DA3FFA"/>
    <w:rsid w:val="00DA4F11"/>
    <w:rsid w:val="00DA616A"/>
    <w:rsid w:val="00DA64F5"/>
    <w:rsid w:val="00DA6710"/>
    <w:rsid w:val="00DA6AA1"/>
    <w:rsid w:val="00DA6AA7"/>
    <w:rsid w:val="00DA6E18"/>
    <w:rsid w:val="00DA7C2C"/>
    <w:rsid w:val="00DB003F"/>
    <w:rsid w:val="00DB0177"/>
    <w:rsid w:val="00DB047D"/>
    <w:rsid w:val="00DB07BD"/>
    <w:rsid w:val="00DB0C74"/>
    <w:rsid w:val="00DB111D"/>
    <w:rsid w:val="00DB1228"/>
    <w:rsid w:val="00DB181D"/>
    <w:rsid w:val="00DB2479"/>
    <w:rsid w:val="00DB2713"/>
    <w:rsid w:val="00DB3EFE"/>
    <w:rsid w:val="00DB4A29"/>
    <w:rsid w:val="00DB4FA5"/>
    <w:rsid w:val="00DB61D5"/>
    <w:rsid w:val="00DB64D4"/>
    <w:rsid w:val="00DB65FB"/>
    <w:rsid w:val="00DB67A1"/>
    <w:rsid w:val="00DB6FBF"/>
    <w:rsid w:val="00DB77BA"/>
    <w:rsid w:val="00DC08C4"/>
    <w:rsid w:val="00DC0BA9"/>
    <w:rsid w:val="00DC0D2B"/>
    <w:rsid w:val="00DC0E0C"/>
    <w:rsid w:val="00DC1195"/>
    <w:rsid w:val="00DC172A"/>
    <w:rsid w:val="00DC1E98"/>
    <w:rsid w:val="00DC216E"/>
    <w:rsid w:val="00DC21BE"/>
    <w:rsid w:val="00DC2B6A"/>
    <w:rsid w:val="00DC2CD5"/>
    <w:rsid w:val="00DC2EE8"/>
    <w:rsid w:val="00DC3828"/>
    <w:rsid w:val="00DC3D20"/>
    <w:rsid w:val="00DC4D6D"/>
    <w:rsid w:val="00DC5ADB"/>
    <w:rsid w:val="00DC5E37"/>
    <w:rsid w:val="00DC5E56"/>
    <w:rsid w:val="00DC6961"/>
    <w:rsid w:val="00DD0B5B"/>
    <w:rsid w:val="00DD0DC6"/>
    <w:rsid w:val="00DD1953"/>
    <w:rsid w:val="00DD2192"/>
    <w:rsid w:val="00DD2698"/>
    <w:rsid w:val="00DD2F43"/>
    <w:rsid w:val="00DD3999"/>
    <w:rsid w:val="00DD5246"/>
    <w:rsid w:val="00DD5945"/>
    <w:rsid w:val="00DD5D31"/>
    <w:rsid w:val="00DD5D69"/>
    <w:rsid w:val="00DD5E61"/>
    <w:rsid w:val="00DD605B"/>
    <w:rsid w:val="00DD6178"/>
    <w:rsid w:val="00DD6632"/>
    <w:rsid w:val="00DD759E"/>
    <w:rsid w:val="00DD7740"/>
    <w:rsid w:val="00DE08EA"/>
    <w:rsid w:val="00DE0F52"/>
    <w:rsid w:val="00DE10B6"/>
    <w:rsid w:val="00DE17DF"/>
    <w:rsid w:val="00DE1ECF"/>
    <w:rsid w:val="00DE224D"/>
    <w:rsid w:val="00DE266D"/>
    <w:rsid w:val="00DE3809"/>
    <w:rsid w:val="00DE3BD9"/>
    <w:rsid w:val="00DE44F3"/>
    <w:rsid w:val="00DE4AB9"/>
    <w:rsid w:val="00DE54B0"/>
    <w:rsid w:val="00DE6E1D"/>
    <w:rsid w:val="00DE76C9"/>
    <w:rsid w:val="00DE7D77"/>
    <w:rsid w:val="00DF0C3D"/>
    <w:rsid w:val="00DF0C7A"/>
    <w:rsid w:val="00DF1604"/>
    <w:rsid w:val="00DF175C"/>
    <w:rsid w:val="00DF1A74"/>
    <w:rsid w:val="00DF2C72"/>
    <w:rsid w:val="00DF4D11"/>
    <w:rsid w:val="00DF4D9A"/>
    <w:rsid w:val="00DF5074"/>
    <w:rsid w:val="00DF6F2E"/>
    <w:rsid w:val="00E00D08"/>
    <w:rsid w:val="00E00F64"/>
    <w:rsid w:val="00E014EA"/>
    <w:rsid w:val="00E029BD"/>
    <w:rsid w:val="00E02E31"/>
    <w:rsid w:val="00E03115"/>
    <w:rsid w:val="00E038C6"/>
    <w:rsid w:val="00E043F4"/>
    <w:rsid w:val="00E04455"/>
    <w:rsid w:val="00E04CBB"/>
    <w:rsid w:val="00E05124"/>
    <w:rsid w:val="00E05831"/>
    <w:rsid w:val="00E05ED6"/>
    <w:rsid w:val="00E065F5"/>
    <w:rsid w:val="00E06F4F"/>
    <w:rsid w:val="00E0716F"/>
    <w:rsid w:val="00E0740B"/>
    <w:rsid w:val="00E07C73"/>
    <w:rsid w:val="00E07D89"/>
    <w:rsid w:val="00E11622"/>
    <w:rsid w:val="00E116BC"/>
    <w:rsid w:val="00E11783"/>
    <w:rsid w:val="00E12FE1"/>
    <w:rsid w:val="00E1366A"/>
    <w:rsid w:val="00E13675"/>
    <w:rsid w:val="00E13FB4"/>
    <w:rsid w:val="00E14C30"/>
    <w:rsid w:val="00E15203"/>
    <w:rsid w:val="00E152F4"/>
    <w:rsid w:val="00E15EB5"/>
    <w:rsid w:val="00E15ED7"/>
    <w:rsid w:val="00E15F6A"/>
    <w:rsid w:val="00E1641A"/>
    <w:rsid w:val="00E1778F"/>
    <w:rsid w:val="00E1781C"/>
    <w:rsid w:val="00E201D4"/>
    <w:rsid w:val="00E20E5C"/>
    <w:rsid w:val="00E2160A"/>
    <w:rsid w:val="00E223AE"/>
    <w:rsid w:val="00E2252C"/>
    <w:rsid w:val="00E22F77"/>
    <w:rsid w:val="00E2338D"/>
    <w:rsid w:val="00E24961"/>
    <w:rsid w:val="00E25E3F"/>
    <w:rsid w:val="00E26340"/>
    <w:rsid w:val="00E26D82"/>
    <w:rsid w:val="00E2715B"/>
    <w:rsid w:val="00E302CD"/>
    <w:rsid w:val="00E30BD8"/>
    <w:rsid w:val="00E30EA2"/>
    <w:rsid w:val="00E31123"/>
    <w:rsid w:val="00E31203"/>
    <w:rsid w:val="00E31C34"/>
    <w:rsid w:val="00E32270"/>
    <w:rsid w:val="00E32308"/>
    <w:rsid w:val="00E324BB"/>
    <w:rsid w:val="00E324FC"/>
    <w:rsid w:val="00E33C5D"/>
    <w:rsid w:val="00E34B82"/>
    <w:rsid w:val="00E34D81"/>
    <w:rsid w:val="00E359AF"/>
    <w:rsid w:val="00E35C45"/>
    <w:rsid w:val="00E360BF"/>
    <w:rsid w:val="00E36493"/>
    <w:rsid w:val="00E36CC2"/>
    <w:rsid w:val="00E40146"/>
    <w:rsid w:val="00E40D77"/>
    <w:rsid w:val="00E40F56"/>
    <w:rsid w:val="00E414FD"/>
    <w:rsid w:val="00E41A3A"/>
    <w:rsid w:val="00E41A56"/>
    <w:rsid w:val="00E41BCA"/>
    <w:rsid w:val="00E41C49"/>
    <w:rsid w:val="00E42275"/>
    <w:rsid w:val="00E42797"/>
    <w:rsid w:val="00E430AB"/>
    <w:rsid w:val="00E43158"/>
    <w:rsid w:val="00E4424A"/>
    <w:rsid w:val="00E442D6"/>
    <w:rsid w:val="00E44461"/>
    <w:rsid w:val="00E444CD"/>
    <w:rsid w:val="00E44562"/>
    <w:rsid w:val="00E44BB6"/>
    <w:rsid w:val="00E46BC4"/>
    <w:rsid w:val="00E46DBF"/>
    <w:rsid w:val="00E4710F"/>
    <w:rsid w:val="00E4720C"/>
    <w:rsid w:val="00E47828"/>
    <w:rsid w:val="00E4792B"/>
    <w:rsid w:val="00E47AAA"/>
    <w:rsid w:val="00E47D07"/>
    <w:rsid w:val="00E47F22"/>
    <w:rsid w:val="00E503C3"/>
    <w:rsid w:val="00E506C2"/>
    <w:rsid w:val="00E50924"/>
    <w:rsid w:val="00E5117C"/>
    <w:rsid w:val="00E52F52"/>
    <w:rsid w:val="00E52F81"/>
    <w:rsid w:val="00E532FE"/>
    <w:rsid w:val="00E53C76"/>
    <w:rsid w:val="00E541CC"/>
    <w:rsid w:val="00E5421F"/>
    <w:rsid w:val="00E54E16"/>
    <w:rsid w:val="00E54E5F"/>
    <w:rsid w:val="00E567C3"/>
    <w:rsid w:val="00E570A2"/>
    <w:rsid w:val="00E57EC0"/>
    <w:rsid w:val="00E60846"/>
    <w:rsid w:val="00E60BF3"/>
    <w:rsid w:val="00E60D66"/>
    <w:rsid w:val="00E618D9"/>
    <w:rsid w:val="00E61F35"/>
    <w:rsid w:val="00E62A88"/>
    <w:rsid w:val="00E62AB2"/>
    <w:rsid w:val="00E636A1"/>
    <w:rsid w:val="00E63CF1"/>
    <w:rsid w:val="00E6466C"/>
    <w:rsid w:val="00E64AB7"/>
    <w:rsid w:val="00E64C8A"/>
    <w:rsid w:val="00E670CF"/>
    <w:rsid w:val="00E672C4"/>
    <w:rsid w:val="00E67F77"/>
    <w:rsid w:val="00E707A1"/>
    <w:rsid w:val="00E70D1A"/>
    <w:rsid w:val="00E70D7A"/>
    <w:rsid w:val="00E70D99"/>
    <w:rsid w:val="00E70E71"/>
    <w:rsid w:val="00E70FFC"/>
    <w:rsid w:val="00E71732"/>
    <w:rsid w:val="00E71F29"/>
    <w:rsid w:val="00E728D9"/>
    <w:rsid w:val="00E72A86"/>
    <w:rsid w:val="00E72E13"/>
    <w:rsid w:val="00E72ECF"/>
    <w:rsid w:val="00E72F63"/>
    <w:rsid w:val="00E73000"/>
    <w:rsid w:val="00E730C1"/>
    <w:rsid w:val="00E73289"/>
    <w:rsid w:val="00E741A4"/>
    <w:rsid w:val="00E741CC"/>
    <w:rsid w:val="00E746AC"/>
    <w:rsid w:val="00E747CC"/>
    <w:rsid w:val="00E74E06"/>
    <w:rsid w:val="00E74EB3"/>
    <w:rsid w:val="00E75014"/>
    <w:rsid w:val="00E75166"/>
    <w:rsid w:val="00E756EC"/>
    <w:rsid w:val="00E76422"/>
    <w:rsid w:val="00E7692F"/>
    <w:rsid w:val="00E76C89"/>
    <w:rsid w:val="00E76D4B"/>
    <w:rsid w:val="00E76EA3"/>
    <w:rsid w:val="00E772FA"/>
    <w:rsid w:val="00E80BB4"/>
    <w:rsid w:val="00E815C8"/>
    <w:rsid w:val="00E815E7"/>
    <w:rsid w:val="00E82200"/>
    <w:rsid w:val="00E828E4"/>
    <w:rsid w:val="00E839F9"/>
    <w:rsid w:val="00E843B6"/>
    <w:rsid w:val="00E8469B"/>
    <w:rsid w:val="00E8620F"/>
    <w:rsid w:val="00E8622B"/>
    <w:rsid w:val="00E86530"/>
    <w:rsid w:val="00E9075C"/>
    <w:rsid w:val="00E908A6"/>
    <w:rsid w:val="00E9094E"/>
    <w:rsid w:val="00E90AB0"/>
    <w:rsid w:val="00E90DF5"/>
    <w:rsid w:val="00E9133F"/>
    <w:rsid w:val="00E9161F"/>
    <w:rsid w:val="00E916C3"/>
    <w:rsid w:val="00E925F4"/>
    <w:rsid w:val="00E9270F"/>
    <w:rsid w:val="00E931BE"/>
    <w:rsid w:val="00E93913"/>
    <w:rsid w:val="00E93E8B"/>
    <w:rsid w:val="00E94434"/>
    <w:rsid w:val="00E944AA"/>
    <w:rsid w:val="00E9542A"/>
    <w:rsid w:val="00E95B38"/>
    <w:rsid w:val="00E95BB9"/>
    <w:rsid w:val="00E96780"/>
    <w:rsid w:val="00E97E5F"/>
    <w:rsid w:val="00EA00A6"/>
    <w:rsid w:val="00EA0507"/>
    <w:rsid w:val="00EA0ABD"/>
    <w:rsid w:val="00EA0F1B"/>
    <w:rsid w:val="00EA1026"/>
    <w:rsid w:val="00EA12EE"/>
    <w:rsid w:val="00EA21BE"/>
    <w:rsid w:val="00EA253F"/>
    <w:rsid w:val="00EA267A"/>
    <w:rsid w:val="00EA26CB"/>
    <w:rsid w:val="00EA3512"/>
    <w:rsid w:val="00EA36CB"/>
    <w:rsid w:val="00EA3C21"/>
    <w:rsid w:val="00EA3CC0"/>
    <w:rsid w:val="00EA3D98"/>
    <w:rsid w:val="00EA4054"/>
    <w:rsid w:val="00EA4386"/>
    <w:rsid w:val="00EA4ADD"/>
    <w:rsid w:val="00EA5944"/>
    <w:rsid w:val="00EA5981"/>
    <w:rsid w:val="00EA5C57"/>
    <w:rsid w:val="00EA66FE"/>
    <w:rsid w:val="00EA71C4"/>
    <w:rsid w:val="00EB0D2D"/>
    <w:rsid w:val="00EB1042"/>
    <w:rsid w:val="00EB11EA"/>
    <w:rsid w:val="00EB1E94"/>
    <w:rsid w:val="00EB35AC"/>
    <w:rsid w:val="00EB3E9F"/>
    <w:rsid w:val="00EB44DF"/>
    <w:rsid w:val="00EB562C"/>
    <w:rsid w:val="00EB5CA8"/>
    <w:rsid w:val="00EB6682"/>
    <w:rsid w:val="00EB7124"/>
    <w:rsid w:val="00EB7FAA"/>
    <w:rsid w:val="00EC06DE"/>
    <w:rsid w:val="00EC0DFC"/>
    <w:rsid w:val="00EC10EE"/>
    <w:rsid w:val="00EC1471"/>
    <w:rsid w:val="00EC1F5B"/>
    <w:rsid w:val="00EC2841"/>
    <w:rsid w:val="00EC2B9B"/>
    <w:rsid w:val="00EC2F79"/>
    <w:rsid w:val="00EC3B68"/>
    <w:rsid w:val="00EC3FA5"/>
    <w:rsid w:val="00EC44CC"/>
    <w:rsid w:val="00EC4550"/>
    <w:rsid w:val="00EC4863"/>
    <w:rsid w:val="00EC5018"/>
    <w:rsid w:val="00EC6430"/>
    <w:rsid w:val="00EC6784"/>
    <w:rsid w:val="00EC6FC4"/>
    <w:rsid w:val="00EC789D"/>
    <w:rsid w:val="00ED0A60"/>
    <w:rsid w:val="00ED1531"/>
    <w:rsid w:val="00ED1AB1"/>
    <w:rsid w:val="00ED1AC1"/>
    <w:rsid w:val="00ED1E36"/>
    <w:rsid w:val="00ED21C3"/>
    <w:rsid w:val="00ED237F"/>
    <w:rsid w:val="00ED2EA4"/>
    <w:rsid w:val="00ED35B3"/>
    <w:rsid w:val="00ED35F2"/>
    <w:rsid w:val="00ED39F4"/>
    <w:rsid w:val="00ED3C16"/>
    <w:rsid w:val="00ED41B1"/>
    <w:rsid w:val="00ED4784"/>
    <w:rsid w:val="00ED48DA"/>
    <w:rsid w:val="00ED4B16"/>
    <w:rsid w:val="00ED50BD"/>
    <w:rsid w:val="00ED5A92"/>
    <w:rsid w:val="00ED5F28"/>
    <w:rsid w:val="00ED5F2E"/>
    <w:rsid w:val="00ED65EC"/>
    <w:rsid w:val="00ED7347"/>
    <w:rsid w:val="00ED77A8"/>
    <w:rsid w:val="00ED77CB"/>
    <w:rsid w:val="00ED7A32"/>
    <w:rsid w:val="00EE0914"/>
    <w:rsid w:val="00EE0ACC"/>
    <w:rsid w:val="00EE0D71"/>
    <w:rsid w:val="00EE0DE9"/>
    <w:rsid w:val="00EE1718"/>
    <w:rsid w:val="00EE1F64"/>
    <w:rsid w:val="00EE20A1"/>
    <w:rsid w:val="00EE2846"/>
    <w:rsid w:val="00EE2897"/>
    <w:rsid w:val="00EE28CF"/>
    <w:rsid w:val="00EE3696"/>
    <w:rsid w:val="00EE3D0F"/>
    <w:rsid w:val="00EE4E55"/>
    <w:rsid w:val="00EE4EC4"/>
    <w:rsid w:val="00EE58E9"/>
    <w:rsid w:val="00EE5CD3"/>
    <w:rsid w:val="00EF003E"/>
    <w:rsid w:val="00EF065E"/>
    <w:rsid w:val="00EF0947"/>
    <w:rsid w:val="00EF09B1"/>
    <w:rsid w:val="00EF1CB0"/>
    <w:rsid w:val="00EF2631"/>
    <w:rsid w:val="00EF265F"/>
    <w:rsid w:val="00EF3233"/>
    <w:rsid w:val="00EF3F76"/>
    <w:rsid w:val="00EF41CA"/>
    <w:rsid w:val="00EF42CA"/>
    <w:rsid w:val="00EF4843"/>
    <w:rsid w:val="00EF4BAA"/>
    <w:rsid w:val="00EF4EF1"/>
    <w:rsid w:val="00EF4F1C"/>
    <w:rsid w:val="00EF559A"/>
    <w:rsid w:val="00EF5A9D"/>
    <w:rsid w:val="00EF617C"/>
    <w:rsid w:val="00EF6372"/>
    <w:rsid w:val="00EF64BC"/>
    <w:rsid w:val="00EF6B55"/>
    <w:rsid w:val="00EF77CD"/>
    <w:rsid w:val="00F00B08"/>
    <w:rsid w:val="00F01128"/>
    <w:rsid w:val="00F01727"/>
    <w:rsid w:val="00F01839"/>
    <w:rsid w:val="00F01D0F"/>
    <w:rsid w:val="00F02338"/>
    <w:rsid w:val="00F0233A"/>
    <w:rsid w:val="00F034AD"/>
    <w:rsid w:val="00F03A02"/>
    <w:rsid w:val="00F03C45"/>
    <w:rsid w:val="00F05283"/>
    <w:rsid w:val="00F05D51"/>
    <w:rsid w:val="00F05D6E"/>
    <w:rsid w:val="00F05ED8"/>
    <w:rsid w:val="00F05F45"/>
    <w:rsid w:val="00F05F6B"/>
    <w:rsid w:val="00F06004"/>
    <w:rsid w:val="00F07C14"/>
    <w:rsid w:val="00F10A9A"/>
    <w:rsid w:val="00F1151D"/>
    <w:rsid w:val="00F115B2"/>
    <w:rsid w:val="00F11E15"/>
    <w:rsid w:val="00F12067"/>
    <w:rsid w:val="00F12181"/>
    <w:rsid w:val="00F1292D"/>
    <w:rsid w:val="00F12B77"/>
    <w:rsid w:val="00F13631"/>
    <w:rsid w:val="00F13BE9"/>
    <w:rsid w:val="00F1416F"/>
    <w:rsid w:val="00F143FF"/>
    <w:rsid w:val="00F14A37"/>
    <w:rsid w:val="00F14B69"/>
    <w:rsid w:val="00F14D20"/>
    <w:rsid w:val="00F15026"/>
    <w:rsid w:val="00F158B9"/>
    <w:rsid w:val="00F15F24"/>
    <w:rsid w:val="00F15F79"/>
    <w:rsid w:val="00F168C5"/>
    <w:rsid w:val="00F1728F"/>
    <w:rsid w:val="00F177B2"/>
    <w:rsid w:val="00F17923"/>
    <w:rsid w:val="00F17F54"/>
    <w:rsid w:val="00F2011E"/>
    <w:rsid w:val="00F20623"/>
    <w:rsid w:val="00F20DC5"/>
    <w:rsid w:val="00F21599"/>
    <w:rsid w:val="00F216DE"/>
    <w:rsid w:val="00F21B1B"/>
    <w:rsid w:val="00F21C3D"/>
    <w:rsid w:val="00F21D0A"/>
    <w:rsid w:val="00F22239"/>
    <w:rsid w:val="00F22318"/>
    <w:rsid w:val="00F22458"/>
    <w:rsid w:val="00F22B9D"/>
    <w:rsid w:val="00F23049"/>
    <w:rsid w:val="00F238A7"/>
    <w:rsid w:val="00F2460D"/>
    <w:rsid w:val="00F24AAA"/>
    <w:rsid w:val="00F24C3E"/>
    <w:rsid w:val="00F251DF"/>
    <w:rsid w:val="00F254FA"/>
    <w:rsid w:val="00F27950"/>
    <w:rsid w:val="00F30044"/>
    <w:rsid w:val="00F30430"/>
    <w:rsid w:val="00F3078B"/>
    <w:rsid w:val="00F30D53"/>
    <w:rsid w:val="00F31687"/>
    <w:rsid w:val="00F31B7F"/>
    <w:rsid w:val="00F32938"/>
    <w:rsid w:val="00F33169"/>
    <w:rsid w:val="00F331CA"/>
    <w:rsid w:val="00F336A7"/>
    <w:rsid w:val="00F3463D"/>
    <w:rsid w:val="00F346C8"/>
    <w:rsid w:val="00F34DB2"/>
    <w:rsid w:val="00F35958"/>
    <w:rsid w:val="00F359CD"/>
    <w:rsid w:val="00F35BE5"/>
    <w:rsid w:val="00F3665D"/>
    <w:rsid w:val="00F36685"/>
    <w:rsid w:val="00F36BAE"/>
    <w:rsid w:val="00F36F40"/>
    <w:rsid w:val="00F372E7"/>
    <w:rsid w:val="00F40BA0"/>
    <w:rsid w:val="00F40C87"/>
    <w:rsid w:val="00F41AA6"/>
    <w:rsid w:val="00F4201A"/>
    <w:rsid w:val="00F42314"/>
    <w:rsid w:val="00F42418"/>
    <w:rsid w:val="00F43436"/>
    <w:rsid w:val="00F43634"/>
    <w:rsid w:val="00F437CB"/>
    <w:rsid w:val="00F43DCF"/>
    <w:rsid w:val="00F43EA6"/>
    <w:rsid w:val="00F44C4F"/>
    <w:rsid w:val="00F45B72"/>
    <w:rsid w:val="00F45D3B"/>
    <w:rsid w:val="00F46593"/>
    <w:rsid w:val="00F47517"/>
    <w:rsid w:val="00F47991"/>
    <w:rsid w:val="00F47CD2"/>
    <w:rsid w:val="00F50058"/>
    <w:rsid w:val="00F50327"/>
    <w:rsid w:val="00F503EB"/>
    <w:rsid w:val="00F510E7"/>
    <w:rsid w:val="00F51A93"/>
    <w:rsid w:val="00F5281A"/>
    <w:rsid w:val="00F52DDB"/>
    <w:rsid w:val="00F534C7"/>
    <w:rsid w:val="00F540EE"/>
    <w:rsid w:val="00F54A0D"/>
    <w:rsid w:val="00F54E6C"/>
    <w:rsid w:val="00F551DB"/>
    <w:rsid w:val="00F55ACF"/>
    <w:rsid w:val="00F56420"/>
    <w:rsid w:val="00F6028F"/>
    <w:rsid w:val="00F60CA7"/>
    <w:rsid w:val="00F60F07"/>
    <w:rsid w:val="00F61363"/>
    <w:rsid w:val="00F6171E"/>
    <w:rsid w:val="00F61972"/>
    <w:rsid w:val="00F619F7"/>
    <w:rsid w:val="00F62030"/>
    <w:rsid w:val="00F62CBA"/>
    <w:rsid w:val="00F62F70"/>
    <w:rsid w:val="00F62F97"/>
    <w:rsid w:val="00F63331"/>
    <w:rsid w:val="00F64304"/>
    <w:rsid w:val="00F64A1A"/>
    <w:rsid w:val="00F6625A"/>
    <w:rsid w:val="00F6634D"/>
    <w:rsid w:val="00F6652C"/>
    <w:rsid w:val="00F66707"/>
    <w:rsid w:val="00F66734"/>
    <w:rsid w:val="00F670DC"/>
    <w:rsid w:val="00F672B9"/>
    <w:rsid w:val="00F67D87"/>
    <w:rsid w:val="00F700E3"/>
    <w:rsid w:val="00F70475"/>
    <w:rsid w:val="00F70D0D"/>
    <w:rsid w:val="00F70DBD"/>
    <w:rsid w:val="00F70F5B"/>
    <w:rsid w:val="00F71AA4"/>
    <w:rsid w:val="00F71E34"/>
    <w:rsid w:val="00F72009"/>
    <w:rsid w:val="00F722A6"/>
    <w:rsid w:val="00F72C08"/>
    <w:rsid w:val="00F73079"/>
    <w:rsid w:val="00F73861"/>
    <w:rsid w:val="00F73D67"/>
    <w:rsid w:val="00F73FA0"/>
    <w:rsid w:val="00F76342"/>
    <w:rsid w:val="00F764FC"/>
    <w:rsid w:val="00F77447"/>
    <w:rsid w:val="00F77F15"/>
    <w:rsid w:val="00F80D41"/>
    <w:rsid w:val="00F8115D"/>
    <w:rsid w:val="00F81CC4"/>
    <w:rsid w:val="00F81EAF"/>
    <w:rsid w:val="00F8224E"/>
    <w:rsid w:val="00F82330"/>
    <w:rsid w:val="00F82488"/>
    <w:rsid w:val="00F82B57"/>
    <w:rsid w:val="00F832DA"/>
    <w:rsid w:val="00F834DE"/>
    <w:rsid w:val="00F845BE"/>
    <w:rsid w:val="00F851CC"/>
    <w:rsid w:val="00F858F7"/>
    <w:rsid w:val="00F862A9"/>
    <w:rsid w:val="00F866CE"/>
    <w:rsid w:val="00F86802"/>
    <w:rsid w:val="00F86C02"/>
    <w:rsid w:val="00F86F8D"/>
    <w:rsid w:val="00F87099"/>
    <w:rsid w:val="00F87428"/>
    <w:rsid w:val="00F879B9"/>
    <w:rsid w:val="00F90804"/>
    <w:rsid w:val="00F908B3"/>
    <w:rsid w:val="00F909A7"/>
    <w:rsid w:val="00F90A54"/>
    <w:rsid w:val="00F90CB3"/>
    <w:rsid w:val="00F91E21"/>
    <w:rsid w:val="00F921E5"/>
    <w:rsid w:val="00F92506"/>
    <w:rsid w:val="00F92C99"/>
    <w:rsid w:val="00F93099"/>
    <w:rsid w:val="00F94A1B"/>
    <w:rsid w:val="00F94A9C"/>
    <w:rsid w:val="00F95110"/>
    <w:rsid w:val="00F95199"/>
    <w:rsid w:val="00F956C1"/>
    <w:rsid w:val="00F95C0F"/>
    <w:rsid w:val="00F962FE"/>
    <w:rsid w:val="00F96E1A"/>
    <w:rsid w:val="00F96F08"/>
    <w:rsid w:val="00F9738D"/>
    <w:rsid w:val="00FA1336"/>
    <w:rsid w:val="00FA161F"/>
    <w:rsid w:val="00FA190F"/>
    <w:rsid w:val="00FA1D29"/>
    <w:rsid w:val="00FA24A1"/>
    <w:rsid w:val="00FA24CC"/>
    <w:rsid w:val="00FA2D4E"/>
    <w:rsid w:val="00FA356D"/>
    <w:rsid w:val="00FA38A2"/>
    <w:rsid w:val="00FA3FAA"/>
    <w:rsid w:val="00FA40AF"/>
    <w:rsid w:val="00FA4520"/>
    <w:rsid w:val="00FA5054"/>
    <w:rsid w:val="00FA50D8"/>
    <w:rsid w:val="00FA52BC"/>
    <w:rsid w:val="00FA56FF"/>
    <w:rsid w:val="00FA5A20"/>
    <w:rsid w:val="00FA5FDA"/>
    <w:rsid w:val="00FA6BA6"/>
    <w:rsid w:val="00FB0240"/>
    <w:rsid w:val="00FB0D5B"/>
    <w:rsid w:val="00FB1799"/>
    <w:rsid w:val="00FB2054"/>
    <w:rsid w:val="00FB218C"/>
    <w:rsid w:val="00FB21CD"/>
    <w:rsid w:val="00FB2BF5"/>
    <w:rsid w:val="00FB3109"/>
    <w:rsid w:val="00FB335D"/>
    <w:rsid w:val="00FB34B1"/>
    <w:rsid w:val="00FB3744"/>
    <w:rsid w:val="00FB4C22"/>
    <w:rsid w:val="00FB5420"/>
    <w:rsid w:val="00FB59A1"/>
    <w:rsid w:val="00FB5F24"/>
    <w:rsid w:val="00FB5F43"/>
    <w:rsid w:val="00FB644C"/>
    <w:rsid w:val="00FB64A6"/>
    <w:rsid w:val="00FB6793"/>
    <w:rsid w:val="00FB6FC3"/>
    <w:rsid w:val="00FB7736"/>
    <w:rsid w:val="00FC0D98"/>
    <w:rsid w:val="00FC0FBD"/>
    <w:rsid w:val="00FC14D0"/>
    <w:rsid w:val="00FC16A7"/>
    <w:rsid w:val="00FC28CA"/>
    <w:rsid w:val="00FC3CFA"/>
    <w:rsid w:val="00FC3D4C"/>
    <w:rsid w:val="00FC3F89"/>
    <w:rsid w:val="00FC3FDC"/>
    <w:rsid w:val="00FC48E6"/>
    <w:rsid w:val="00FC4EC3"/>
    <w:rsid w:val="00FC5654"/>
    <w:rsid w:val="00FC57BD"/>
    <w:rsid w:val="00FC61DD"/>
    <w:rsid w:val="00FC6C5F"/>
    <w:rsid w:val="00FC79E6"/>
    <w:rsid w:val="00FD013F"/>
    <w:rsid w:val="00FD04EF"/>
    <w:rsid w:val="00FD0752"/>
    <w:rsid w:val="00FD0965"/>
    <w:rsid w:val="00FD0BC8"/>
    <w:rsid w:val="00FD0F8F"/>
    <w:rsid w:val="00FD11F2"/>
    <w:rsid w:val="00FD2528"/>
    <w:rsid w:val="00FD2922"/>
    <w:rsid w:val="00FD2DD0"/>
    <w:rsid w:val="00FD2F68"/>
    <w:rsid w:val="00FD32DF"/>
    <w:rsid w:val="00FD34BA"/>
    <w:rsid w:val="00FD4147"/>
    <w:rsid w:val="00FD4447"/>
    <w:rsid w:val="00FD4C9B"/>
    <w:rsid w:val="00FD514C"/>
    <w:rsid w:val="00FD5944"/>
    <w:rsid w:val="00FD6B4D"/>
    <w:rsid w:val="00FD6CB2"/>
    <w:rsid w:val="00FD7DF7"/>
    <w:rsid w:val="00FE0EAD"/>
    <w:rsid w:val="00FE1425"/>
    <w:rsid w:val="00FE21B1"/>
    <w:rsid w:val="00FE33D8"/>
    <w:rsid w:val="00FE38DB"/>
    <w:rsid w:val="00FE4E8C"/>
    <w:rsid w:val="00FE4F1E"/>
    <w:rsid w:val="00FE50A3"/>
    <w:rsid w:val="00FE52AC"/>
    <w:rsid w:val="00FE5539"/>
    <w:rsid w:val="00FE55C2"/>
    <w:rsid w:val="00FE5C32"/>
    <w:rsid w:val="00FE5FF5"/>
    <w:rsid w:val="00FE695B"/>
    <w:rsid w:val="00FE6D02"/>
    <w:rsid w:val="00FE75B6"/>
    <w:rsid w:val="00FE75DB"/>
    <w:rsid w:val="00FE79B2"/>
    <w:rsid w:val="00FF0674"/>
    <w:rsid w:val="00FF0CB5"/>
    <w:rsid w:val="00FF0FB3"/>
    <w:rsid w:val="00FF1619"/>
    <w:rsid w:val="00FF19C8"/>
    <w:rsid w:val="00FF1C16"/>
    <w:rsid w:val="00FF1F59"/>
    <w:rsid w:val="00FF213E"/>
    <w:rsid w:val="00FF28CC"/>
    <w:rsid w:val="00FF2EC1"/>
    <w:rsid w:val="00FF3100"/>
    <w:rsid w:val="00FF3958"/>
    <w:rsid w:val="00FF3BB7"/>
    <w:rsid w:val="00FF4226"/>
    <w:rsid w:val="00FF475F"/>
    <w:rsid w:val="00FF4A89"/>
    <w:rsid w:val="00FF4EC4"/>
    <w:rsid w:val="00FF4F31"/>
    <w:rsid w:val="00FF544A"/>
    <w:rsid w:val="00FF6EE5"/>
    <w:rsid w:val="00FF70F7"/>
    <w:rsid w:val="00FF7293"/>
    <w:rsid w:val="00FF76A9"/>
    <w:rsid w:val="00FF79A4"/>
    <w:rsid w:val="00FF7BA7"/>
    <w:rsid w:val="00FF7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6B1534"/>
  <w15:docId w15:val="{B37FBFEA-93F3-4A55-8006-186579C6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Akapit z listą31,Numerowanie,BulletC,Nagłówek_JP,normalny tekst,Akapit z listą4"/>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82F7D"/>
    <w:rPr>
      <w:color w:val="0563C1" w:themeColor="hyperlink"/>
      <w:u w:val="single"/>
    </w:rPr>
  </w:style>
  <w:style w:type="paragraph" w:styleId="Tekstprzypisukocowego">
    <w:name w:val="endnote text"/>
    <w:basedOn w:val="Normalny"/>
    <w:link w:val="TekstprzypisukocowegoZnak"/>
    <w:rsid w:val="00AF76A7"/>
    <w:rPr>
      <w:sz w:val="20"/>
      <w:szCs w:val="20"/>
    </w:rPr>
  </w:style>
  <w:style w:type="character" w:customStyle="1" w:styleId="TekstprzypisukocowegoZnak">
    <w:name w:val="Tekst przypisu końcowego Znak"/>
    <w:basedOn w:val="Domylnaczcionkaakapitu"/>
    <w:link w:val="Tekstprzypisukocowego"/>
    <w:rsid w:val="00AF76A7"/>
  </w:style>
  <w:style w:type="character" w:styleId="Odwoanieprzypisukocowego">
    <w:name w:val="endnote reference"/>
    <w:basedOn w:val="Domylnaczcionkaakapitu"/>
    <w:rsid w:val="00AF76A7"/>
    <w:rPr>
      <w:vertAlign w:val="superscript"/>
    </w:rPr>
  </w:style>
  <w:style w:type="character" w:customStyle="1" w:styleId="info-list-value-uzasadnienie">
    <w:name w:val="info-list-value-uzasadnienie"/>
    <w:basedOn w:val="Domylnaczcionkaakapitu"/>
    <w:rsid w:val="00311E89"/>
  </w:style>
  <w:style w:type="character" w:customStyle="1" w:styleId="warheader">
    <w:name w:val="war_header"/>
    <w:basedOn w:val="Domylnaczcionkaakapitu"/>
    <w:rsid w:val="00311E89"/>
  </w:style>
  <w:style w:type="character" w:customStyle="1" w:styleId="st">
    <w:name w:val="st"/>
    <w:basedOn w:val="Domylnaczcionkaakapitu"/>
    <w:rsid w:val="004F4C81"/>
  </w:style>
  <w:style w:type="character" w:customStyle="1" w:styleId="txt-new">
    <w:name w:val="txt-new"/>
    <w:basedOn w:val="Domylnaczcionkaakapitu"/>
    <w:rsid w:val="00637E37"/>
  </w:style>
  <w:style w:type="character" w:customStyle="1" w:styleId="highlight">
    <w:name w:val="highlight"/>
    <w:basedOn w:val="Domylnaczcionkaakapitu"/>
    <w:rsid w:val="00A22EE6"/>
  </w:style>
  <w:style w:type="paragraph" w:customStyle="1" w:styleId="Akapitzlist1">
    <w:name w:val="Akapit z listą1"/>
    <w:basedOn w:val="Normalny"/>
    <w:qFormat/>
    <w:rsid w:val="00A22EE6"/>
    <w:pPr>
      <w:ind w:left="720"/>
      <w:contextualSpacing/>
    </w:pPr>
  </w:style>
  <w:style w:type="paragraph" w:styleId="NormalnyWeb">
    <w:name w:val="Normal (Web)"/>
    <w:basedOn w:val="Normalny"/>
    <w:uiPriority w:val="99"/>
    <w:unhideWhenUsed/>
    <w:rsid w:val="00C80C06"/>
    <w:pPr>
      <w:spacing w:before="100" w:beforeAutospacing="1" w:after="100" w:afterAutospacing="1"/>
    </w:pPr>
  </w:style>
  <w:style w:type="paragraph" w:customStyle="1" w:styleId="Default">
    <w:name w:val="Default"/>
    <w:rsid w:val="00031B0C"/>
    <w:pPr>
      <w:autoSpaceDE w:val="0"/>
      <w:autoSpaceDN w:val="0"/>
      <w:adjustRightInd w:val="0"/>
    </w:pPr>
    <w:rPr>
      <w:rFonts w:ascii="Arial" w:hAnsi="Arial" w:cs="Arial"/>
      <w:color w:val="000000"/>
      <w:sz w:val="24"/>
      <w:szCs w:val="24"/>
    </w:rPr>
  </w:style>
  <w:style w:type="paragraph" w:customStyle="1" w:styleId="ListParagraph1">
    <w:name w:val="List Paragraph1"/>
    <w:basedOn w:val="Normalny"/>
    <w:uiPriority w:val="34"/>
    <w:qFormat/>
    <w:rsid w:val="007B66CC"/>
    <w:pPr>
      <w:ind w:left="720"/>
      <w:contextualSpacing/>
    </w:pPr>
  </w:style>
  <w:style w:type="character" w:customStyle="1" w:styleId="AkapitzlistZnak">
    <w:name w:val="Akapit z listą Znak"/>
    <w:aliases w:val="Wyliczanie Znak,List Paragraph Znak,Obiekt Znak,Akapit z listą31 Znak,Numerowanie Znak,BulletC Znak,Nagłówek_JP Znak,normalny tekst Znak,Akapit z listą4 Znak"/>
    <w:link w:val="Akapitzlist"/>
    <w:uiPriority w:val="34"/>
    <w:rsid w:val="007B66CC"/>
    <w:rPr>
      <w:sz w:val="24"/>
      <w:szCs w:val="24"/>
    </w:rPr>
  </w:style>
  <w:style w:type="character" w:customStyle="1" w:styleId="item-fieldvalue">
    <w:name w:val="item-fieldvalue"/>
    <w:basedOn w:val="Domylnaczcionkaakapitu"/>
    <w:rsid w:val="00DE0F52"/>
  </w:style>
  <w:style w:type="character" w:customStyle="1" w:styleId="alb">
    <w:name w:val="a_lb"/>
    <w:basedOn w:val="Domylnaczcionkaakapitu"/>
    <w:rsid w:val="00446BCC"/>
  </w:style>
  <w:style w:type="paragraph" w:styleId="Bezodstpw">
    <w:name w:val="No Spacing"/>
    <w:link w:val="BezodstpwZnak"/>
    <w:uiPriority w:val="1"/>
    <w:qFormat/>
    <w:rsid w:val="00EF617C"/>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EF617C"/>
    <w:rPr>
      <w:rFonts w:asciiTheme="minorHAnsi" w:eastAsiaTheme="minorEastAsia" w:hAnsiTheme="minorHAnsi" w:cstheme="minorBidi"/>
      <w:sz w:val="22"/>
      <w:szCs w:val="22"/>
    </w:rPr>
  </w:style>
  <w:style w:type="paragraph" w:styleId="Tekstpodstawowywcity3">
    <w:name w:val="Body Text Indent 3"/>
    <w:basedOn w:val="Normalny"/>
    <w:link w:val="Tekstpodstawowywcity3Znak"/>
    <w:uiPriority w:val="99"/>
    <w:rsid w:val="007000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0017"/>
    <w:rPr>
      <w:sz w:val="16"/>
      <w:szCs w:val="16"/>
    </w:rPr>
  </w:style>
  <w:style w:type="character" w:customStyle="1" w:styleId="text-justifylist-indent-3">
    <w:name w:val="text-justify list-indent-3"/>
    <w:basedOn w:val="Domylnaczcionkaakapitu"/>
    <w:rsid w:val="00DE76C9"/>
  </w:style>
  <w:style w:type="paragraph" w:customStyle="1" w:styleId="Normalny1">
    <w:name w:val="Normalny1"/>
    <w:rsid w:val="00F12B77"/>
    <w:pPr>
      <w:spacing w:line="276" w:lineRule="auto"/>
    </w:pPr>
    <w:rPr>
      <w:rFonts w:ascii="Arial" w:hAnsi="Arial" w:cs="Arial"/>
      <w:color w:val="000000"/>
      <w:sz w:val="22"/>
      <w:szCs w:val="22"/>
    </w:rPr>
  </w:style>
  <w:style w:type="paragraph" w:customStyle="1" w:styleId="ng-binding">
    <w:name w:val="ng-binding"/>
    <w:basedOn w:val="Normalny"/>
    <w:rsid w:val="006E1A7F"/>
    <w:pPr>
      <w:spacing w:before="100" w:beforeAutospacing="1" w:after="100" w:afterAutospacing="1"/>
    </w:pPr>
    <w:rPr>
      <w:lang w:val="en-US" w:eastAsia="en-US"/>
    </w:rPr>
  </w:style>
  <w:style w:type="character" w:customStyle="1" w:styleId="text-justify">
    <w:name w:val="text-justify"/>
    <w:basedOn w:val="Domylnaczcionkaakapitu"/>
    <w:rsid w:val="005E152A"/>
  </w:style>
  <w:style w:type="character" w:customStyle="1" w:styleId="Stopka0">
    <w:name w:val="Stopka_"/>
    <w:basedOn w:val="Domylnaczcionkaakapitu"/>
    <w:link w:val="Stopka1"/>
    <w:rsid w:val="00301392"/>
    <w:rPr>
      <w:sz w:val="19"/>
      <w:szCs w:val="19"/>
      <w:shd w:val="clear" w:color="auto" w:fill="FFFFFF"/>
    </w:rPr>
  </w:style>
  <w:style w:type="character" w:customStyle="1" w:styleId="Teksttreci">
    <w:name w:val="Tekst treści_"/>
    <w:basedOn w:val="Domylnaczcionkaakapitu"/>
    <w:link w:val="Teksttreci0"/>
    <w:rsid w:val="00301392"/>
    <w:rPr>
      <w:sz w:val="22"/>
      <w:szCs w:val="22"/>
      <w:shd w:val="clear" w:color="auto" w:fill="FFFFFF"/>
    </w:rPr>
  </w:style>
  <w:style w:type="paragraph" w:customStyle="1" w:styleId="Stopka1">
    <w:name w:val="Stopka1"/>
    <w:basedOn w:val="Normalny"/>
    <w:link w:val="Stopka0"/>
    <w:rsid w:val="00301392"/>
    <w:pPr>
      <w:widowControl w:val="0"/>
      <w:shd w:val="clear" w:color="auto" w:fill="FFFFFF"/>
      <w:spacing w:line="254" w:lineRule="auto"/>
    </w:pPr>
    <w:rPr>
      <w:sz w:val="19"/>
      <w:szCs w:val="19"/>
    </w:rPr>
  </w:style>
  <w:style w:type="paragraph" w:customStyle="1" w:styleId="Teksttreci0">
    <w:name w:val="Tekst treści"/>
    <w:basedOn w:val="Normalny"/>
    <w:link w:val="Teksttreci"/>
    <w:rsid w:val="00301392"/>
    <w:pPr>
      <w:widowControl w:val="0"/>
      <w:shd w:val="clear" w:color="auto" w:fill="FFFFFF"/>
      <w:spacing w:after="180" w:line="300" w:lineRule="auto"/>
      <w:ind w:firstLine="40"/>
    </w:pPr>
    <w:rPr>
      <w:sz w:val="22"/>
      <w:szCs w:val="22"/>
    </w:rPr>
  </w:style>
  <w:style w:type="paragraph" w:styleId="Poprawka">
    <w:name w:val="Revision"/>
    <w:hidden/>
    <w:uiPriority w:val="99"/>
    <w:semiHidden/>
    <w:rsid w:val="000A4293"/>
    <w:rPr>
      <w:sz w:val="24"/>
      <w:szCs w:val="24"/>
    </w:rPr>
  </w:style>
  <w:style w:type="character" w:customStyle="1" w:styleId="UnresolvedMention">
    <w:name w:val="Unresolved Mention"/>
    <w:basedOn w:val="Domylnaczcionkaakapitu"/>
    <w:uiPriority w:val="99"/>
    <w:semiHidden/>
    <w:unhideWhenUsed/>
    <w:rsid w:val="00562440"/>
    <w:rPr>
      <w:color w:val="605E5C"/>
      <w:shd w:val="clear" w:color="auto" w:fill="E1DFDD"/>
    </w:rPr>
  </w:style>
  <w:style w:type="character" w:styleId="Uwydatnienie">
    <w:name w:val="Emphasis"/>
    <w:basedOn w:val="Domylnaczcionkaakapitu"/>
    <w:uiPriority w:val="20"/>
    <w:qFormat/>
    <w:rsid w:val="006C084B"/>
    <w:rPr>
      <w:i/>
      <w:iCs/>
    </w:rPr>
  </w:style>
  <w:style w:type="paragraph" w:styleId="HTML-wstpniesformatowany">
    <w:name w:val="HTML Preformatted"/>
    <w:basedOn w:val="Normalny"/>
    <w:link w:val="HTML-wstpniesformatowanyZnak"/>
    <w:uiPriority w:val="99"/>
    <w:semiHidden/>
    <w:unhideWhenUsed/>
    <w:rsid w:val="00FE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FE33D8"/>
    <w:rPr>
      <w:rFonts w:ascii="Courier New" w:hAnsi="Courier New" w:cs="Courier New"/>
    </w:rPr>
  </w:style>
  <w:style w:type="character" w:styleId="UyteHipercze">
    <w:name w:val="FollowedHyperlink"/>
    <w:basedOn w:val="Domylnaczcionkaakapitu"/>
    <w:semiHidden/>
    <w:unhideWhenUsed/>
    <w:rsid w:val="00D818F7"/>
    <w:rPr>
      <w:color w:val="954F72" w:themeColor="followedHyperlink"/>
      <w:u w:val="single"/>
    </w:rPr>
  </w:style>
  <w:style w:type="character" w:customStyle="1" w:styleId="ng-scope">
    <w:name w:val="ng-scope"/>
    <w:basedOn w:val="Domylnaczcionkaakapitu"/>
    <w:rsid w:val="004973E9"/>
  </w:style>
  <w:style w:type="table" w:styleId="Tabelasiatki1jasna">
    <w:name w:val="Grid Table 1 Light"/>
    <w:basedOn w:val="Standardowy"/>
    <w:uiPriority w:val="46"/>
    <w:rsid w:val="00CB08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052">
      <w:bodyDiv w:val="1"/>
      <w:marLeft w:val="0"/>
      <w:marRight w:val="0"/>
      <w:marTop w:val="0"/>
      <w:marBottom w:val="0"/>
      <w:divBdr>
        <w:top w:val="none" w:sz="0" w:space="0" w:color="auto"/>
        <w:left w:val="none" w:sz="0" w:space="0" w:color="auto"/>
        <w:bottom w:val="none" w:sz="0" w:space="0" w:color="auto"/>
        <w:right w:val="none" w:sz="0" w:space="0" w:color="auto"/>
      </w:divBdr>
    </w:div>
    <w:div w:id="43532122">
      <w:bodyDiv w:val="1"/>
      <w:marLeft w:val="0"/>
      <w:marRight w:val="0"/>
      <w:marTop w:val="0"/>
      <w:marBottom w:val="0"/>
      <w:divBdr>
        <w:top w:val="none" w:sz="0" w:space="0" w:color="auto"/>
        <w:left w:val="none" w:sz="0" w:space="0" w:color="auto"/>
        <w:bottom w:val="none" w:sz="0" w:space="0" w:color="auto"/>
        <w:right w:val="none" w:sz="0" w:space="0" w:color="auto"/>
      </w:divBdr>
      <w:divsChild>
        <w:div w:id="328676187">
          <w:marLeft w:val="0"/>
          <w:marRight w:val="0"/>
          <w:marTop w:val="0"/>
          <w:marBottom w:val="0"/>
          <w:divBdr>
            <w:top w:val="none" w:sz="0" w:space="0" w:color="auto"/>
            <w:left w:val="none" w:sz="0" w:space="0" w:color="auto"/>
            <w:bottom w:val="none" w:sz="0" w:space="0" w:color="auto"/>
            <w:right w:val="none" w:sz="0" w:space="0" w:color="auto"/>
          </w:divBdr>
        </w:div>
        <w:div w:id="1204371231">
          <w:marLeft w:val="0"/>
          <w:marRight w:val="0"/>
          <w:marTop w:val="0"/>
          <w:marBottom w:val="0"/>
          <w:divBdr>
            <w:top w:val="none" w:sz="0" w:space="0" w:color="auto"/>
            <w:left w:val="none" w:sz="0" w:space="0" w:color="auto"/>
            <w:bottom w:val="none" w:sz="0" w:space="0" w:color="auto"/>
            <w:right w:val="none" w:sz="0" w:space="0" w:color="auto"/>
          </w:divBdr>
        </w:div>
        <w:div w:id="1322850245">
          <w:marLeft w:val="0"/>
          <w:marRight w:val="0"/>
          <w:marTop w:val="0"/>
          <w:marBottom w:val="0"/>
          <w:divBdr>
            <w:top w:val="none" w:sz="0" w:space="0" w:color="auto"/>
            <w:left w:val="none" w:sz="0" w:space="0" w:color="auto"/>
            <w:bottom w:val="none" w:sz="0" w:space="0" w:color="auto"/>
            <w:right w:val="none" w:sz="0" w:space="0" w:color="auto"/>
          </w:divBdr>
        </w:div>
        <w:div w:id="1462456985">
          <w:marLeft w:val="0"/>
          <w:marRight w:val="0"/>
          <w:marTop w:val="0"/>
          <w:marBottom w:val="0"/>
          <w:divBdr>
            <w:top w:val="none" w:sz="0" w:space="0" w:color="auto"/>
            <w:left w:val="none" w:sz="0" w:space="0" w:color="auto"/>
            <w:bottom w:val="none" w:sz="0" w:space="0" w:color="auto"/>
            <w:right w:val="none" w:sz="0" w:space="0" w:color="auto"/>
          </w:divBdr>
        </w:div>
      </w:divsChild>
    </w:div>
    <w:div w:id="53894274">
      <w:bodyDiv w:val="1"/>
      <w:marLeft w:val="0"/>
      <w:marRight w:val="0"/>
      <w:marTop w:val="0"/>
      <w:marBottom w:val="0"/>
      <w:divBdr>
        <w:top w:val="none" w:sz="0" w:space="0" w:color="auto"/>
        <w:left w:val="none" w:sz="0" w:space="0" w:color="auto"/>
        <w:bottom w:val="none" w:sz="0" w:space="0" w:color="auto"/>
        <w:right w:val="none" w:sz="0" w:space="0" w:color="auto"/>
      </w:divBdr>
      <w:divsChild>
        <w:div w:id="2636861">
          <w:marLeft w:val="0"/>
          <w:marRight w:val="0"/>
          <w:marTop w:val="0"/>
          <w:marBottom w:val="0"/>
          <w:divBdr>
            <w:top w:val="none" w:sz="0" w:space="0" w:color="auto"/>
            <w:left w:val="none" w:sz="0" w:space="0" w:color="auto"/>
            <w:bottom w:val="none" w:sz="0" w:space="0" w:color="auto"/>
            <w:right w:val="none" w:sz="0" w:space="0" w:color="auto"/>
          </w:divBdr>
        </w:div>
      </w:divsChild>
    </w:div>
    <w:div w:id="56560012">
      <w:bodyDiv w:val="1"/>
      <w:marLeft w:val="0"/>
      <w:marRight w:val="0"/>
      <w:marTop w:val="0"/>
      <w:marBottom w:val="0"/>
      <w:divBdr>
        <w:top w:val="none" w:sz="0" w:space="0" w:color="auto"/>
        <w:left w:val="none" w:sz="0" w:space="0" w:color="auto"/>
        <w:bottom w:val="none" w:sz="0" w:space="0" w:color="auto"/>
        <w:right w:val="none" w:sz="0" w:space="0" w:color="auto"/>
      </w:divBdr>
    </w:div>
    <w:div w:id="109594060">
      <w:bodyDiv w:val="1"/>
      <w:marLeft w:val="0"/>
      <w:marRight w:val="0"/>
      <w:marTop w:val="0"/>
      <w:marBottom w:val="0"/>
      <w:divBdr>
        <w:top w:val="none" w:sz="0" w:space="0" w:color="auto"/>
        <w:left w:val="none" w:sz="0" w:space="0" w:color="auto"/>
        <w:bottom w:val="none" w:sz="0" w:space="0" w:color="auto"/>
        <w:right w:val="none" w:sz="0" w:space="0" w:color="auto"/>
      </w:divBdr>
    </w:div>
    <w:div w:id="202181617">
      <w:bodyDiv w:val="1"/>
      <w:marLeft w:val="0"/>
      <w:marRight w:val="0"/>
      <w:marTop w:val="0"/>
      <w:marBottom w:val="0"/>
      <w:divBdr>
        <w:top w:val="none" w:sz="0" w:space="0" w:color="auto"/>
        <w:left w:val="none" w:sz="0" w:space="0" w:color="auto"/>
        <w:bottom w:val="none" w:sz="0" w:space="0" w:color="auto"/>
        <w:right w:val="none" w:sz="0" w:space="0" w:color="auto"/>
      </w:divBdr>
      <w:divsChild>
        <w:div w:id="124127760">
          <w:marLeft w:val="0"/>
          <w:marRight w:val="0"/>
          <w:marTop w:val="0"/>
          <w:marBottom w:val="0"/>
          <w:divBdr>
            <w:top w:val="none" w:sz="0" w:space="0" w:color="auto"/>
            <w:left w:val="none" w:sz="0" w:space="0" w:color="auto"/>
            <w:bottom w:val="none" w:sz="0" w:space="0" w:color="auto"/>
            <w:right w:val="none" w:sz="0" w:space="0" w:color="auto"/>
          </w:divBdr>
          <w:divsChild>
            <w:div w:id="118766536">
              <w:marLeft w:val="0"/>
              <w:marRight w:val="0"/>
              <w:marTop w:val="0"/>
              <w:marBottom w:val="0"/>
              <w:divBdr>
                <w:top w:val="none" w:sz="0" w:space="0" w:color="auto"/>
                <w:left w:val="none" w:sz="0" w:space="0" w:color="auto"/>
                <w:bottom w:val="none" w:sz="0" w:space="0" w:color="auto"/>
                <w:right w:val="none" w:sz="0" w:space="0" w:color="auto"/>
              </w:divBdr>
            </w:div>
          </w:divsChild>
        </w:div>
        <w:div w:id="369035231">
          <w:marLeft w:val="0"/>
          <w:marRight w:val="0"/>
          <w:marTop w:val="0"/>
          <w:marBottom w:val="0"/>
          <w:divBdr>
            <w:top w:val="none" w:sz="0" w:space="0" w:color="auto"/>
            <w:left w:val="none" w:sz="0" w:space="0" w:color="auto"/>
            <w:bottom w:val="none" w:sz="0" w:space="0" w:color="auto"/>
            <w:right w:val="none" w:sz="0" w:space="0" w:color="auto"/>
          </w:divBdr>
          <w:divsChild>
            <w:div w:id="565334292">
              <w:marLeft w:val="0"/>
              <w:marRight w:val="0"/>
              <w:marTop w:val="0"/>
              <w:marBottom w:val="0"/>
              <w:divBdr>
                <w:top w:val="none" w:sz="0" w:space="0" w:color="auto"/>
                <w:left w:val="none" w:sz="0" w:space="0" w:color="auto"/>
                <w:bottom w:val="none" w:sz="0" w:space="0" w:color="auto"/>
                <w:right w:val="none" w:sz="0" w:space="0" w:color="auto"/>
              </w:divBdr>
            </w:div>
          </w:divsChild>
        </w:div>
        <w:div w:id="436020291">
          <w:marLeft w:val="0"/>
          <w:marRight w:val="0"/>
          <w:marTop w:val="0"/>
          <w:marBottom w:val="0"/>
          <w:divBdr>
            <w:top w:val="none" w:sz="0" w:space="0" w:color="auto"/>
            <w:left w:val="none" w:sz="0" w:space="0" w:color="auto"/>
            <w:bottom w:val="none" w:sz="0" w:space="0" w:color="auto"/>
            <w:right w:val="none" w:sz="0" w:space="0" w:color="auto"/>
          </w:divBdr>
          <w:divsChild>
            <w:div w:id="2138448719">
              <w:marLeft w:val="0"/>
              <w:marRight w:val="0"/>
              <w:marTop w:val="0"/>
              <w:marBottom w:val="0"/>
              <w:divBdr>
                <w:top w:val="none" w:sz="0" w:space="0" w:color="auto"/>
                <w:left w:val="none" w:sz="0" w:space="0" w:color="auto"/>
                <w:bottom w:val="none" w:sz="0" w:space="0" w:color="auto"/>
                <w:right w:val="none" w:sz="0" w:space="0" w:color="auto"/>
              </w:divBdr>
            </w:div>
          </w:divsChild>
        </w:div>
        <w:div w:id="637687548">
          <w:marLeft w:val="0"/>
          <w:marRight w:val="0"/>
          <w:marTop w:val="0"/>
          <w:marBottom w:val="0"/>
          <w:divBdr>
            <w:top w:val="none" w:sz="0" w:space="0" w:color="auto"/>
            <w:left w:val="none" w:sz="0" w:space="0" w:color="auto"/>
            <w:bottom w:val="none" w:sz="0" w:space="0" w:color="auto"/>
            <w:right w:val="none" w:sz="0" w:space="0" w:color="auto"/>
          </w:divBdr>
          <w:divsChild>
            <w:div w:id="2070762126">
              <w:marLeft w:val="0"/>
              <w:marRight w:val="0"/>
              <w:marTop w:val="0"/>
              <w:marBottom w:val="0"/>
              <w:divBdr>
                <w:top w:val="none" w:sz="0" w:space="0" w:color="auto"/>
                <w:left w:val="none" w:sz="0" w:space="0" w:color="auto"/>
                <w:bottom w:val="none" w:sz="0" w:space="0" w:color="auto"/>
                <w:right w:val="none" w:sz="0" w:space="0" w:color="auto"/>
              </w:divBdr>
            </w:div>
          </w:divsChild>
        </w:div>
        <w:div w:id="1193491694">
          <w:marLeft w:val="0"/>
          <w:marRight w:val="0"/>
          <w:marTop w:val="0"/>
          <w:marBottom w:val="0"/>
          <w:divBdr>
            <w:top w:val="none" w:sz="0" w:space="0" w:color="auto"/>
            <w:left w:val="none" w:sz="0" w:space="0" w:color="auto"/>
            <w:bottom w:val="none" w:sz="0" w:space="0" w:color="auto"/>
            <w:right w:val="none" w:sz="0" w:space="0" w:color="auto"/>
          </w:divBdr>
          <w:divsChild>
            <w:div w:id="1718318243">
              <w:marLeft w:val="0"/>
              <w:marRight w:val="0"/>
              <w:marTop w:val="0"/>
              <w:marBottom w:val="0"/>
              <w:divBdr>
                <w:top w:val="none" w:sz="0" w:space="0" w:color="auto"/>
                <w:left w:val="none" w:sz="0" w:space="0" w:color="auto"/>
                <w:bottom w:val="none" w:sz="0" w:space="0" w:color="auto"/>
                <w:right w:val="none" w:sz="0" w:space="0" w:color="auto"/>
              </w:divBdr>
            </w:div>
          </w:divsChild>
        </w:div>
        <w:div w:id="1285234893">
          <w:marLeft w:val="0"/>
          <w:marRight w:val="0"/>
          <w:marTop w:val="0"/>
          <w:marBottom w:val="0"/>
          <w:divBdr>
            <w:top w:val="none" w:sz="0" w:space="0" w:color="auto"/>
            <w:left w:val="none" w:sz="0" w:space="0" w:color="auto"/>
            <w:bottom w:val="none" w:sz="0" w:space="0" w:color="auto"/>
            <w:right w:val="none" w:sz="0" w:space="0" w:color="auto"/>
          </w:divBdr>
          <w:divsChild>
            <w:div w:id="330524261">
              <w:marLeft w:val="0"/>
              <w:marRight w:val="0"/>
              <w:marTop w:val="0"/>
              <w:marBottom w:val="0"/>
              <w:divBdr>
                <w:top w:val="none" w:sz="0" w:space="0" w:color="auto"/>
                <w:left w:val="none" w:sz="0" w:space="0" w:color="auto"/>
                <w:bottom w:val="none" w:sz="0" w:space="0" w:color="auto"/>
                <w:right w:val="none" w:sz="0" w:space="0" w:color="auto"/>
              </w:divBdr>
            </w:div>
          </w:divsChild>
        </w:div>
        <w:div w:id="1339042824">
          <w:marLeft w:val="0"/>
          <w:marRight w:val="0"/>
          <w:marTop w:val="0"/>
          <w:marBottom w:val="0"/>
          <w:divBdr>
            <w:top w:val="none" w:sz="0" w:space="0" w:color="auto"/>
            <w:left w:val="none" w:sz="0" w:space="0" w:color="auto"/>
            <w:bottom w:val="none" w:sz="0" w:space="0" w:color="auto"/>
            <w:right w:val="none" w:sz="0" w:space="0" w:color="auto"/>
          </w:divBdr>
        </w:div>
        <w:div w:id="1496870806">
          <w:marLeft w:val="0"/>
          <w:marRight w:val="0"/>
          <w:marTop w:val="0"/>
          <w:marBottom w:val="0"/>
          <w:divBdr>
            <w:top w:val="none" w:sz="0" w:space="0" w:color="auto"/>
            <w:left w:val="none" w:sz="0" w:space="0" w:color="auto"/>
            <w:bottom w:val="none" w:sz="0" w:space="0" w:color="auto"/>
            <w:right w:val="none" w:sz="0" w:space="0" w:color="auto"/>
          </w:divBdr>
          <w:divsChild>
            <w:div w:id="1348099478">
              <w:marLeft w:val="0"/>
              <w:marRight w:val="0"/>
              <w:marTop w:val="0"/>
              <w:marBottom w:val="0"/>
              <w:divBdr>
                <w:top w:val="none" w:sz="0" w:space="0" w:color="auto"/>
                <w:left w:val="none" w:sz="0" w:space="0" w:color="auto"/>
                <w:bottom w:val="none" w:sz="0" w:space="0" w:color="auto"/>
                <w:right w:val="none" w:sz="0" w:space="0" w:color="auto"/>
              </w:divBdr>
            </w:div>
          </w:divsChild>
        </w:div>
        <w:div w:id="1799956362">
          <w:marLeft w:val="0"/>
          <w:marRight w:val="0"/>
          <w:marTop w:val="0"/>
          <w:marBottom w:val="0"/>
          <w:divBdr>
            <w:top w:val="none" w:sz="0" w:space="0" w:color="auto"/>
            <w:left w:val="none" w:sz="0" w:space="0" w:color="auto"/>
            <w:bottom w:val="none" w:sz="0" w:space="0" w:color="auto"/>
            <w:right w:val="none" w:sz="0" w:space="0" w:color="auto"/>
          </w:divBdr>
          <w:divsChild>
            <w:div w:id="9214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150">
      <w:bodyDiv w:val="1"/>
      <w:marLeft w:val="0"/>
      <w:marRight w:val="0"/>
      <w:marTop w:val="0"/>
      <w:marBottom w:val="0"/>
      <w:divBdr>
        <w:top w:val="none" w:sz="0" w:space="0" w:color="auto"/>
        <w:left w:val="none" w:sz="0" w:space="0" w:color="auto"/>
        <w:bottom w:val="none" w:sz="0" w:space="0" w:color="auto"/>
        <w:right w:val="none" w:sz="0" w:space="0" w:color="auto"/>
      </w:divBdr>
    </w:div>
    <w:div w:id="295795603">
      <w:bodyDiv w:val="1"/>
      <w:marLeft w:val="0"/>
      <w:marRight w:val="0"/>
      <w:marTop w:val="0"/>
      <w:marBottom w:val="0"/>
      <w:divBdr>
        <w:top w:val="none" w:sz="0" w:space="0" w:color="auto"/>
        <w:left w:val="none" w:sz="0" w:space="0" w:color="auto"/>
        <w:bottom w:val="none" w:sz="0" w:space="0" w:color="auto"/>
        <w:right w:val="none" w:sz="0" w:space="0" w:color="auto"/>
      </w:divBdr>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613514736">
          <w:marLeft w:val="0"/>
          <w:marRight w:val="0"/>
          <w:marTop w:val="0"/>
          <w:marBottom w:val="0"/>
          <w:divBdr>
            <w:top w:val="none" w:sz="0" w:space="0" w:color="auto"/>
            <w:left w:val="none" w:sz="0" w:space="0" w:color="auto"/>
            <w:bottom w:val="none" w:sz="0" w:space="0" w:color="auto"/>
            <w:right w:val="none" w:sz="0" w:space="0" w:color="auto"/>
          </w:divBdr>
        </w:div>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sChild>
    </w:div>
    <w:div w:id="338047818">
      <w:bodyDiv w:val="1"/>
      <w:marLeft w:val="0"/>
      <w:marRight w:val="0"/>
      <w:marTop w:val="0"/>
      <w:marBottom w:val="0"/>
      <w:divBdr>
        <w:top w:val="none" w:sz="0" w:space="0" w:color="auto"/>
        <w:left w:val="none" w:sz="0" w:space="0" w:color="auto"/>
        <w:bottom w:val="none" w:sz="0" w:space="0" w:color="auto"/>
        <w:right w:val="none" w:sz="0" w:space="0" w:color="auto"/>
      </w:divBdr>
    </w:div>
    <w:div w:id="378014862">
      <w:bodyDiv w:val="1"/>
      <w:marLeft w:val="0"/>
      <w:marRight w:val="0"/>
      <w:marTop w:val="0"/>
      <w:marBottom w:val="0"/>
      <w:divBdr>
        <w:top w:val="none" w:sz="0" w:space="0" w:color="auto"/>
        <w:left w:val="none" w:sz="0" w:space="0" w:color="auto"/>
        <w:bottom w:val="none" w:sz="0" w:space="0" w:color="auto"/>
        <w:right w:val="none" w:sz="0" w:space="0" w:color="auto"/>
      </w:divBdr>
    </w:div>
    <w:div w:id="514540927">
      <w:bodyDiv w:val="1"/>
      <w:marLeft w:val="0"/>
      <w:marRight w:val="0"/>
      <w:marTop w:val="0"/>
      <w:marBottom w:val="0"/>
      <w:divBdr>
        <w:top w:val="none" w:sz="0" w:space="0" w:color="auto"/>
        <w:left w:val="none" w:sz="0" w:space="0" w:color="auto"/>
        <w:bottom w:val="none" w:sz="0" w:space="0" w:color="auto"/>
        <w:right w:val="none" w:sz="0" w:space="0" w:color="auto"/>
      </w:divBdr>
    </w:div>
    <w:div w:id="537089135">
      <w:bodyDiv w:val="1"/>
      <w:marLeft w:val="0"/>
      <w:marRight w:val="0"/>
      <w:marTop w:val="0"/>
      <w:marBottom w:val="0"/>
      <w:divBdr>
        <w:top w:val="none" w:sz="0" w:space="0" w:color="auto"/>
        <w:left w:val="none" w:sz="0" w:space="0" w:color="auto"/>
        <w:bottom w:val="none" w:sz="0" w:space="0" w:color="auto"/>
        <w:right w:val="none" w:sz="0" w:space="0" w:color="auto"/>
      </w:divBdr>
      <w:divsChild>
        <w:div w:id="11416804">
          <w:marLeft w:val="0"/>
          <w:marRight w:val="0"/>
          <w:marTop w:val="0"/>
          <w:marBottom w:val="0"/>
          <w:divBdr>
            <w:top w:val="none" w:sz="0" w:space="0" w:color="auto"/>
            <w:left w:val="none" w:sz="0" w:space="0" w:color="auto"/>
            <w:bottom w:val="none" w:sz="0" w:space="0" w:color="auto"/>
            <w:right w:val="none" w:sz="0" w:space="0" w:color="auto"/>
          </w:divBdr>
        </w:div>
        <w:div w:id="81924693">
          <w:marLeft w:val="0"/>
          <w:marRight w:val="0"/>
          <w:marTop w:val="0"/>
          <w:marBottom w:val="0"/>
          <w:divBdr>
            <w:top w:val="none" w:sz="0" w:space="0" w:color="auto"/>
            <w:left w:val="none" w:sz="0" w:space="0" w:color="auto"/>
            <w:bottom w:val="none" w:sz="0" w:space="0" w:color="auto"/>
            <w:right w:val="none" w:sz="0" w:space="0" w:color="auto"/>
          </w:divBdr>
        </w:div>
        <w:div w:id="114688759">
          <w:marLeft w:val="0"/>
          <w:marRight w:val="0"/>
          <w:marTop w:val="0"/>
          <w:marBottom w:val="0"/>
          <w:divBdr>
            <w:top w:val="none" w:sz="0" w:space="0" w:color="auto"/>
            <w:left w:val="none" w:sz="0" w:space="0" w:color="auto"/>
            <w:bottom w:val="none" w:sz="0" w:space="0" w:color="auto"/>
            <w:right w:val="none" w:sz="0" w:space="0" w:color="auto"/>
          </w:divBdr>
        </w:div>
        <w:div w:id="313031069">
          <w:marLeft w:val="0"/>
          <w:marRight w:val="0"/>
          <w:marTop w:val="0"/>
          <w:marBottom w:val="0"/>
          <w:divBdr>
            <w:top w:val="none" w:sz="0" w:space="0" w:color="auto"/>
            <w:left w:val="none" w:sz="0" w:space="0" w:color="auto"/>
            <w:bottom w:val="none" w:sz="0" w:space="0" w:color="auto"/>
            <w:right w:val="none" w:sz="0" w:space="0" w:color="auto"/>
          </w:divBdr>
        </w:div>
        <w:div w:id="332413093">
          <w:marLeft w:val="0"/>
          <w:marRight w:val="0"/>
          <w:marTop w:val="0"/>
          <w:marBottom w:val="0"/>
          <w:divBdr>
            <w:top w:val="none" w:sz="0" w:space="0" w:color="auto"/>
            <w:left w:val="none" w:sz="0" w:space="0" w:color="auto"/>
            <w:bottom w:val="none" w:sz="0" w:space="0" w:color="auto"/>
            <w:right w:val="none" w:sz="0" w:space="0" w:color="auto"/>
          </w:divBdr>
        </w:div>
        <w:div w:id="546992609">
          <w:marLeft w:val="0"/>
          <w:marRight w:val="0"/>
          <w:marTop w:val="0"/>
          <w:marBottom w:val="0"/>
          <w:divBdr>
            <w:top w:val="none" w:sz="0" w:space="0" w:color="auto"/>
            <w:left w:val="none" w:sz="0" w:space="0" w:color="auto"/>
            <w:bottom w:val="none" w:sz="0" w:space="0" w:color="auto"/>
            <w:right w:val="none" w:sz="0" w:space="0" w:color="auto"/>
          </w:divBdr>
        </w:div>
        <w:div w:id="588390457">
          <w:marLeft w:val="0"/>
          <w:marRight w:val="0"/>
          <w:marTop w:val="0"/>
          <w:marBottom w:val="0"/>
          <w:divBdr>
            <w:top w:val="none" w:sz="0" w:space="0" w:color="auto"/>
            <w:left w:val="none" w:sz="0" w:space="0" w:color="auto"/>
            <w:bottom w:val="none" w:sz="0" w:space="0" w:color="auto"/>
            <w:right w:val="none" w:sz="0" w:space="0" w:color="auto"/>
          </w:divBdr>
        </w:div>
        <w:div w:id="625235265">
          <w:marLeft w:val="0"/>
          <w:marRight w:val="0"/>
          <w:marTop w:val="0"/>
          <w:marBottom w:val="0"/>
          <w:divBdr>
            <w:top w:val="none" w:sz="0" w:space="0" w:color="auto"/>
            <w:left w:val="none" w:sz="0" w:space="0" w:color="auto"/>
            <w:bottom w:val="none" w:sz="0" w:space="0" w:color="auto"/>
            <w:right w:val="none" w:sz="0" w:space="0" w:color="auto"/>
          </w:divBdr>
        </w:div>
        <w:div w:id="639767315">
          <w:marLeft w:val="0"/>
          <w:marRight w:val="0"/>
          <w:marTop w:val="0"/>
          <w:marBottom w:val="0"/>
          <w:divBdr>
            <w:top w:val="none" w:sz="0" w:space="0" w:color="auto"/>
            <w:left w:val="none" w:sz="0" w:space="0" w:color="auto"/>
            <w:bottom w:val="none" w:sz="0" w:space="0" w:color="auto"/>
            <w:right w:val="none" w:sz="0" w:space="0" w:color="auto"/>
          </w:divBdr>
        </w:div>
        <w:div w:id="692655574">
          <w:marLeft w:val="0"/>
          <w:marRight w:val="0"/>
          <w:marTop w:val="0"/>
          <w:marBottom w:val="0"/>
          <w:divBdr>
            <w:top w:val="none" w:sz="0" w:space="0" w:color="auto"/>
            <w:left w:val="none" w:sz="0" w:space="0" w:color="auto"/>
            <w:bottom w:val="none" w:sz="0" w:space="0" w:color="auto"/>
            <w:right w:val="none" w:sz="0" w:space="0" w:color="auto"/>
          </w:divBdr>
        </w:div>
        <w:div w:id="798957627">
          <w:marLeft w:val="0"/>
          <w:marRight w:val="0"/>
          <w:marTop w:val="0"/>
          <w:marBottom w:val="0"/>
          <w:divBdr>
            <w:top w:val="none" w:sz="0" w:space="0" w:color="auto"/>
            <w:left w:val="none" w:sz="0" w:space="0" w:color="auto"/>
            <w:bottom w:val="none" w:sz="0" w:space="0" w:color="auto"/>
            <w:right w:val="none" w:sz="0" w:space="0" w:color="auto"/>
          </w:divBdr>
        </w:div>
        <w:div w:id="829104445">
          <w:marLeft w:val="0"/>
          <w:marRight w:val="0"/>
          <w:marTop w:val="0"/>
          <w:marBottom w:val="0"/>
          <w:divBdr>
            <w:top w:val="none" w:sz="0" w:space="0" w:color="auto"/>
            <w:left w:val="none" w:sz="0" w:space="0" w:color="auto"/>
            <w:bottom w:val="none" w:sz="0" w:space="0" w:color="auto"/>
            <w:right w:val="none" w:sz="0" w:space="0" w:color="auto"/>
          </w:divBdr>
        </w:div>
        <w:div w:id="843786313">
          <w:marLeft w:val="0"/>
          <w:marRight w:val="0"/>
          <w:marTop w:val="0"/>
          <w:marBottom w:val="0"/>
          <w:divBdr>
            <w:top w:val="none" w:sz="0" w:space="0" w:color="auto"/>
            <w:left w:val="none" w:sz="0" w:space="0" w:color="auto"/>
            <w:bottom w:val="none" w:sz="0" w:space="0" w:color="auto"/>
            <w:right w:val="none" w:sz="0" w:space="0" w:color="auto"/>
          </w:divBdr>
        </w:div>
        <w:div w:id="918440751">
          <w:marLeft w:val="0"/>
          <w:marRight w:val="0"/>
          <w:marTop w:val="0"/>
          <w:marBottom w:val="0"/>
          <w:divBdr>
            <w:top w:val="none" w:sz="0" w:space="0" w:color="auto"/>
            <w:left w:val="none" w:sz="0" w:space="0" w:color="auto"/>
            <w:bottom w:val="none" w:sz="0" w:space="0" w:color="auto"/>
            <w:right w:val="none" w:sz="0" w:space="0" w:color="auto"/>
          </w:divBdr>
        </w:div>
        <w:div w:id="953052228">
          <w:marLeft w:val="0"/>
          <w:marRight w:val="0"/>
          <w:marTop w:val="0"/>
          <w:marBottom w:val="0"/>
          <w:divBdr>
            <w:top w:val="none" w:sz="0" w:space="0" w:color="auto"/>
            <w:left w:val="none" w:sz="0" w:space="0" w:color="auto"/>
            <w:bottom w:val="none" w:sz="0" w:space="0" w:color="auto"/>
            <w:right w:val="none" w:sz="0" w:space="0" w:color="auto"/>
          </w:divBdr>
        </w:div>
        <w:div w:id="970284986">
          <w:marLeft w:val="0"/>
          <w:marRight w:val="0"/>
          <w:marTop w:val="0"/>
          <w:marBottom w:val="0"/>
          <w:divBdr>
            <w:top w:val="none" w:sz="0" w:space="0" w:color="auto"/>
            <w:left w:val="none" w:sz="0" w:space="0" w:color="auto"/>
            <w:bottom w:val="none" w:sz="0" w:space="0" w:color="auto"/>
            <w:right w:val="none" w:sz="0" w:space="0" w:color="auto"/>
          </w:divBdr>
        </w:div>
        <w:div w:id="973217695">
          <w:marLeft w:val="0"/>
          <w:marRight w:val="0"/>
          <w:marTop w:val="0"/>
          <w:marBottom w:val="0"/>
          <w:divBdr>
            <w:top w:val="none" w:sz="0" w:space="0" w:color="auto"/>
            <w:left w:val="none" w:sz="0" w:space="0" w:color="auto"/>
            <w:bottom w:val="none" w:sz="0" w:space="0" w:color="auto"/>
            <w:right w:val="none" w:sz="0" w:space="0" w:color="auto"/>
          </w:divBdr>
        </w:div>
        <w:div w:id="1116681597">
          <w:marLeft w:val="0"/>
          <w:marRight w:val="0"/>
          <w:marTop w:val="0"/>
          <w:marBottom w:val="0"/>
          <w:divBdr>
            <w:top w:val="none" w:sz="0" w:space="0" w:color="auto"/>
            <w:left w:val="none" w:sz="0" w:space="0" w:color="auto"/>
            <w:bottom w:val="none" w:sz="0" w:space="0" w:color="auto"/>
            <w:right w:val="none" w:sz="0" w:space="0" w:color="auto"/>
          </w:divBdr>
        </w:div>
        <w:div w:id="1122847035">
          <w:marLeft w:val="0"/>
          <w:marRight w:val="0"/>
          <w:marTop w:val="0"/>
          <w:marBottom w:val="0"/>
          <w:divBdr>
            <w:top w:val="none" w:sz="0" w:space="0" w:color="auto"/>
            <w:left w:val="none" w:sz="0" w:space="0" w:color="auto"/>
            <w:bottom w:val="none" w:sz="0" w:space="0" w:color="auto"/>
            <w:right w:val="none" w:sz="0" w:space="0" w:color="auto"/>
          </w:divBdr>
        </w:div>
        <w:div w:id="1197281460">
          <w:marLeft w:val="0"/>
          <w:marRight w:val="0"/>
          <w:marTop w:val="0"/>
          <w:marBottom w:val="0"/>
          <w:divBdr>
            <w:top w:val="none" w:sz="0" w:space="0" w:color="auto"/>
            <w:left w:val="none" w:sz="0" w:space="0" w:color="auto"/>
            <w:bottom w:val="none" w:sz="0" w:space="0" w:color="auto"/>
            <w:right w:val="none" w:sz="0" w:space="0" w:color="auto"/>
          </w:divBdr>
        </w:div>
        <w:div w:id="1447505679">
          <w:marLeft w:val="0"/>
          <w:marRight w:val="0"/>
          <w:marTop w:val="0"/>
          <w:marBottom w:val="0"/>
          <w:divBdr>
            <w:top w:val="none" w:sz="0" w:space="0" w:color="auto"/>
            <w:left w:val="none" w:sz="0" w:space="0" w:color="auto"/>
            <w:bottom w:val="none" w:sz="0" w:space="0" w:color="auto"/>
            <w:right w:val="none" w:sz="0" w:space="0" w:color="auto"/>
          </w:divBdr>
        </w:div>
        <w:div w:id="1543207746">
          <w:marLeft w:val="0"/>
          <w:marRight w:val="0"/>
          <w:marTop w:val="0"/>
          <w:marBottom w:val="0"/>
          <w:divBdr>
            <w:top w:val="none" w:sz="0" w:space="0" w:color="auto"/>
            <w:left w:val="none" w:sz="0" w:space="0" w:color="auto"/>
            <w:bottom w:val="none" w:sz="0" w:space="0" w:color="auto"/>
            <w:right w:val="none" w:sz="0" w:space="0" w:color="auto"/>
          </w:divBdr>
        </w:div>
        <w:div w:id="1551964885">
          <w:marLeft w:val="0"/>
          <w:marRight w:val="0"/>
          <w:marTop w:val="0"/>
          <w:marBottom w:val="0"/>
          <w:divBdr>
            <w:top w:val="none" w:sz="0" w:space="0" w:color="auto"/>
            <w:left w:val="none" w:sz="0" w:space="0" w:color="auto"/>
            <w:bottom w:val="none" w:sz="0" w:space="0" w:color="auto"/>
            <w:right w:val="none" w:sz="0" w:space="0" w:color="auto"/>
          </w:divBdr>
        </w:div>
        <w:div w:id="1577939737">
          <w:marLeft w:val="0"/>
          <w:marRight w:val="0"/>
          <w:marTop w:val="0"/>
          <w:marBottom w:val="0"/>
          <w:divBdr>
            <w:top w:val="none" w:sz="0" w:space="0" w:color="auto"/>
            <w:left w:val="none" w:sz="0" w:space="0" w:color="auto"/>
            <w:bottom w:val="none" w:sz="0" w:space="0" w:color="auto"/>
            <w:right w:val="none" w:sz="0" w:space="0" w:color="auto"/>
          </w:divBdr>
        </w:div>
        <w:div w:id="1616595844">
          <w:marLeft w:val="0"/>
          <w:marRight w:val="0"/>
          <w:marTop w:val="0"/>
          <w:marBottom w:val="0"/>
          <w:divBdr>
            <w:top w:val="none" w:sz="0" w:space="0" w:color="auto"/>
            <w:left w:val="none" w:sz="0" w:space="0" w:color="auto"/>
            <w:bottom w:val="none" w:sz="0" w:space="0" w:color="auto"/>
            <w:right w:val="none" w:sz="0" w:space="0" w:color="auto"/>
          </w:divBdr>
        </w:div>
        <w:div w:id="1818961111">
          <w:marLeft w:val="0"/>
          <w:marRight w:val="0"/>
          <w:marTop w:val="0"/>
          <w:marBottom w:val="0"/>
          <w:divBdr>
            <w:top w:val="none" w:sz="0" w:space="0" w:color="auto"/>
            <w:left w:val="none" w:sz="0" w:space="0" w:color="auto"/>
            <w:bottom w:val="none" w:sz="0" w:space="0" w:color="auto"/>
            <w:right w:val="none" w:sz="0" w:space="0" w:color="auto"/>
          </w:divBdr>
        </w:div>
        <w:div w:id="1829440576">
          <w:marLeft w:val="0"/>
          <w:marRight w:val="0"/>
          <w:marTop w:val="0"/>
          <w:marBottom w:val="0"/>
          <w:divBdr>
            <w:top w:val="none" w:sz="0" w:space="0" w:color="auto"/>
            <w:left w:val="none" w:sz="0" w:space="0" w:color="auto"/>
            <w:bottom w:val="none" w:sz="0" w:space="0" w:color="auto"/>
            <w:right w:val="none" w:sz="0" w:space="0" w:color="auto"/>
          </w:divBdr>
        </w:div>
        <w:div w:id="1831823808">
          <w:marLeft w:val="0"/>
          <w:marRight w:val="0"/>
          <w:marTop w:val="0"/>
          <w:marBottom w:val="0"/>
          <w:divBdr>
            <w:top w:val="none" w:sz="0" w:space="0" w:color="auto"/>
            <w:left w:val="none" w:sz="0" w:space="0" w:color="auto"/>
            <w:bottom w:val="none" w:sz="0" w:space="0" w:color="auto"/>
            <w:right w:val="none" w:sz="0" w:space="0" w:color="auto"/>
          </w:divBdr>
        </w:div>
        <w:div w:id="1858810566">
          <w:marLeft w:val="0"/>
          <w:marRight w:val="0"/>
          <w:marTop w:val="0"/>
          <w:marBottom w:val="0"/>
          <w:divBdr>
            <w:top w:val="none" w:sz="0" w:space="0" w:color="auto"/>
            <w:left w:val="none" w:sz="0" w:space="0" w:color="auto"/>
            <w:bottom w:val="none" w:sz="0" w:space="0" w:color="auto"/>
            <w:right w:val="none" w:sz="0" w:space="0" w:color="auto"/>
          </w:divBdr>
        </w:div>
        <w:div w:id="1866868248">
          <w:marLeft w:val="0"/>
          <w:marRight w:val="0"/>
          <w:marTop w:val="0"/>
          <w:marBottom w:val="0"/>
          <w:divBdr>
            <w:top w:val="none" w:sz="0" w:space="0" w:color="auto"/>
            <w:left w:val="none" w:sz="0" w:space="0" w:color="auto"/>
            <w:bottom w:val="none" w:sz="0" w:space="0" w:color="auto"/>
            <w:right w:val="none" w:sz="0" w:space="0" w:color="auto"/>
          </w:divBdr>
        </w:div>
        <w:div w:id="1940288717">
          <w:marLeft w:val="0"/>
          <w:marRight w:val="0"/>
          <w:marTop w:val="0"/>
          <w:marBottom w:val="0"/>
          <w:divBdr>
            <w:top w:val="none" w:sz="0" w:space="0" w:color="auto"/>
            <w:left w:val="none" w:sz="0" w:space="0" w:color="auto"/>
            <w:bottom w:val="none" w:sz="0" w:space="0" w:color="auto"/>
            <w:right w:val="none" w:sz="0" w:space="0" w:color="auto"/>
          </w:divBdr>
        </w:div>
        <w:div w:id="1997800821">
          <w:marLeft w:val="0"/>
          <w:marRight w:val="0"/>
          <w:marTop w:val="0"/>
          <w:marBottom w:val="0"/>
          <w:divBdr>
            <w:top w:val="none" w:sz="0" w:space="0" w:color="auto"/>
            <w:left w:val="none" w:sz="0" w:space="0" w:color="auto"/>
            <w:bottom w:val="none" w:sz="0" w:space="0" w:color="auto"/>
            <w:right w:val="none" w:sz="0" w:space="0" w:color="auto"/>
          </w:divBdr>
        </w:div>
        <w:div w:id="2109889866">
          <w:marLeft w:val="0"/>
          <w:marRight w:val="0"/>
          <w:marTop w:val="0"/>
          <w:marBottom w:val="0"/>
          <w:divBdr>
            <w:top w:val="none" w:sz="0" w:space="0" w:color="auto"/>
            <w:left w:val="none" w:sz="0" w:space="0" w:color="auto"/>
            <w:bottom w:val="none" w:sz="0" w:space="0" w:color="auto"/>
            <w:right w:val="none" w:sz="0" w:space="0" w:color="auto"/>
          </w:divBdr>
        </w:div>
      </w:divsChild>
    </w:div>
    <w:div w:id="573202655">
      <w:bodyDiv w:val="1"/>
      <w:marLeft w:val="0"/>
      <w:marRight w:val="0"/>
      <w:marTop w:val="0"/>
      <w:marBottom w:val="0"/>
      <w:divBdr>
        <w:top w:val="none" w:sz="0" w:space="0" w:color="auto"/>
        <w:left w:val="none" w:sz="0" w:space="0" w:color="auto"/>
        <w:bottom w:val="none" w:sz="0" w:space="0" w:color="auto"/>
        <w:right w:val="none" w:sz="0" w:space="0" w:color="auto"/>
      </w:divBdr>
      <w:divsChild>
        <w:div w:id="168373479">
          <w:marLeft w:val="360"/>
          <w:marRight w:val="0"/>
          <w:marTop w:val="0"/>
          <w:marBottom w:val="0"/>
          <w:divBdr>
            <w:top w:val="none" w:sz="0" w:space="0" w:color="auto"/>
            <w:left w:val="none" w:sz="0" w:space="0" w:color="auto"/>
            <w:bottom w:val="none" w:sz="0" w:space="0" w:color="auto"/>
            <w:right w:val="none" w:sz="0" w:space="0" w:color="auto"/>
          </w:divBdr>
        </w:div>
        <w:div w:id="1682006858">
          <w:marLeft w:val="360"/>
          <w:marRight w:val="0"/>
          <w:marTop w:val="0"/>
          <w:marBottom w:val="0"/>
          <w:divBdr>
            <w:top w:val="none" w:sz="0" w:space="0" w:color="auto"/>
            <w:left w:val="none" w:sz="0" w:space="0" w:color="auto"/>
            <w:bottom w:val="none" w:sz="0" w:space="0" w:color="auto"/>
            <w:right w:val="none" w:sz="0" w:space="0" w:color="auto"/>
          </w:divBdr>
          <w:divsChild>
            <w:div w:id="7089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1795">
      <w:bodyDiv w:val="1"/>
      <w:marLeft w:val="0"/>
      <w:marRight w:val="0"/>
      <w:marTop w:val="0"/>
      <w:marBottom w:val="0"/>
      <w:divBdr>
        <w:top w:val="none" w:sz="0" w:space="0" w:color="auto"/>
        <w:left w:val="none" w:sz="0" w:space="0" w:color="auto"/>
        <w:bottom w:val="none" w:sz="0" w:space="0" w:color="auto"/>
        <w:right w:val="none" w:sz="0" w:space="0" w:color="auto"/>
      </w:divBdr>
    </w:div>
    <w:div w:id="699861700">
      <w:bodyDiv w:val="1"/>
      <w:marLeft w:val="0"/>
      <w:marRight w:val="0"/>
      <w:marTop w:val="0"/>
      <w:marBottom w:val="0"/>
      <w:divBdr>
        <w:top w:val="none" w:sz="0" w:space="0" w:color="auto"/>
        <w:left w:val="none" w:sz="0" w:space="0" w:color="auto"/>
        <w:bottom w:val="none" w:sz="0" w:space="0" w:color="auto"/>
        <w:right w:val="none" w:sz="0" w:space="0" w:color="auto"/>
      </w:divBdr>
    </w:div>
    <w:div w:id="818156734">
      <w:bodyDiv w:val="1"/>
      <w:marLeft w:val="0"/>
      <w:marRight w:val="0"/>
      <w:marTop w:val="0"/>
      <w:marBottom w:val="0"/>
      <w:divBdr>
        <w:top w:val="none" w:sz="0" w:space="0" w:color="auto"/>
        <w:left w:val="none" w:sz="0" w:space="0" w:color="auto"/>
        <w:bottom w:val="none" w:sz="0" w:space="0" w:color="auto"/>
        <w:right w:val="none" w:sz="0" w:space="0" w:color="auto"/>
      </w:divBdr>
    </w:div>
    <w:div w:id="819076216">
      <w:bodyDiv w:val="1"/>
      <w:marLeft w:val="0"/>
      <w:marRight w:val="0"/>
      <w:marTop w:val="0"/>
      <w:marBottom w:val="0"/>
      <w:divBdr>
        <w:top w:val="none" w:sz="0" w:space="0" w:color="auto"/>
        <w:left w:val="none" w:sz="0" w:space="0" w:color="auto"/>
        <w:bottom w:val="none" w:sz="0" w:space="0" w:color="auto"/>
        <w:right w:val="none" w:sz="0" w:space="0" w:color="auto"/>
      </w:divBdr>
      <w:divsChild>
        <w:div w:id="620918573">
          <w:marLeft w:val="360"/>
          <w:marRight w:val="0"/>
          <w:marTop w:val="0"/>
          <w:marBottom w:val="0"/>
          <w:divBdr>
            <w:top w:val="none" w:sz="0" w:space="0" w:color="auto"/>
            <w:left w:val="none" w:sz="0" w:space="0" w:color="auto"/>
            <w:bottom w:val="none" w:sz="0" w:space="0" w:color="auto"/>
            <w:right w:val="none" w:sz="0" w:space="0" w:color="auto"/>
          </w:divBdr>
        </w:div>
        <w:div w:id="716010238">
          <w:marLeft w:val="360"/>
          <w:marRight w:val="0"/>
          <w:marTop w:val="0"/>
          <w:marBottom w:val="0"/>
          <w:divBdr>
            <w:top w:val="none" w:sz="0" w:space="0" w:color="auto"/>
            <w:left w:val="none" w:sz="0" w:space="0" w:color="auto"/>
            <w:bottom w:val="none" w:sz="0" w:space="0" w:color="auto"/>
            <w:right w:val="none" w:sz="0" w:space="0" w:color="auto"/>
          </w:divBdr>
          <w:divsChild>
            <w:div w:id="5876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5176">
      <w:bodyDiv w:val="1"/>
      <w:marLeft w:val="0"/>
      <w:marRight w:val="0"/>
      <w:marTop w:val="0"/>
      <w:marBottom w:val="0"/>
      <w:divBdr>
        <w:top w:val="none" w:sz="0" w:space="0" w:color="auto"/>
        <w:left w:val="none" w:sz="0" w:space="0" w:color="auto"/>
        <w:bottom w:val="none" w:sz="0" w:space="0" w:color="auto"/>
        <w:right w:val="none" w:sz="0" w:space="0" w:color="auto"/>
      </w:divBdr>
      <w:divsChild>
        <w:div w:id="1996644300">
          <w:marLeft w:val="0"/>
          <w:marRight w:val="0"/>
          <w:marTop w:val="0"/>
          <w:marBottom w:val="0"/>
          <w:divBdr>
            <w:top w:val="single" w:sz="6" w:space="0" w:color="333333"/>
            <w:left w:val="none" w:sz="0" w:space="0" w:color="auto"/>
            <w:bottom w:val="none" w:sz="0" w:space="0" w:color="auto"/>
            <w:right w:val="none" w:sz="0" w:space="0" w:color="auto"/>
          </w:divBdr>
          <w:divsChild>
            <w:div w:id="1364792768">
              <w:marLeft w:val="0"/>
              <w:marRight w:val="0"/>
              <w:marTop w:val="0"/>
              <w:marBottom w:val="0"/>
              <w:divBdr>
                <w:top w:val="none" w:sz="0" w:space="0" w:color="auto"/>
                <w:left w:val="none" w:sz="0" w:space="0" w:color="auto"/>
                <w:bottom w:val="none" w:sz="0" w:space="0" w:color="auto"/>
                <w:right w:val="none" w:sz="0" w:space="0" w:color="auto"/>
              </w:divBdr>
              <w:divsChild>
                <w:div w:id="144713162">
                  <w:marLeft w:val="0"/>
                  <w:marRight w:val="0"/>
                  <w:marTop w:val="0"/>
                  <w:marBottom w:val="0"/>
                  <w:divBdr>
                    <w:top w:val="single" w:sz="6" w:space="2" w:color="AAAAAA"/>
                    <w:left w:val="single" w:sz="6" w:space="5" w:color="AAAAAA"/>
                    <w:bottom w:val="single" w:sz="6" w:space="2" w:color="AAAAAA"/>
                    <w:right w:val="single" w:sz="6" w:space="5" w:color="AAAAAA"/>
                  </w:divBdr>
                </w:div>
              </w:divsChild>
            </w:div>
          </w:divsChild>
        </w:div>
        <w:div w:id="1839727264">
          <w:marLeft w:val="0"/>
          <w:marRight w:val="0"/>
          <w:marTop w:val="0"/>
          <w:marBottom w:val="0"/>
          <w:divBdr>
            <w:top w:val="none" w:sz="0" w:space="0" w:color="auto"/>
            <w:left w:val="single" w:sz="6" w:space="0" w:color="333333"/>
            <w:bottom w:val="none" w:sz="0" w:space="0" w:color="auto"/>
            <w:right w:val="none" w:sz="0" w:space="0" w:color="auto"/>
          </w:divBdr>
          <w:divsChild>
            <w:div w:id="1778718559">
              <w:marLeft w:val="0"/>
              <w:marRight w:val="0"/>
              <w:marTop w:val="0"/>
              <w:marBottom w:val="0"/>
              <w:divBdr>
                <w:top w:val="none" w:sz="0" w:space="0" w:color="auto"/>
                <w:left w:val="none" w:sz="0" w:space="0" w:color="auto"/>
                <w:bottom w:val="none" w:sz="0" w:space="0" w:color="auto"/>
                <w:right w:val="none" w:sz="0" w:space="0" w:color="auto"/>
              </w:divBdr>
              <w:divsChild>
                <w:div w:id="915823581">
                  <w:marLeft w:val="0"/>
                  <w:marRight w:val="0"/>
                  <w:marTop w:val="0"/>
                  <w:marBottom w:val="0"/>
                  <w:divBdr>
                    <w:top w:val="none" w:sz="0" w:space="0" w:color="auto"/>
                    <w:left w:val="none" w:sz="0" w:space="0" w:color="auto"/>
                    <w:bottom w:val="none" w:sz="0" w:space="0" w:color="auto"/>
                    <w:right w:val="none" w:sz="0" w:space="0" w:color="auto"/>
                  </w:divBdr>
                </w:div>
                <w:div w:id="1558785697">
                  <w:marLeft w:val="0"/>
                  <w:marRight w:val="0"/>
                  <w:marTop w:val="0"/>
                  <w:marBottom w:val="0"/>
                  <w:divBdr>
                    <w:top w:val="none" w:sz="0" w:space="0" w:color="auto"/>
                    <w:left w:val="none" w:sz="0" w:space="0" w:color="auto"/>
                    <w:bottom w:val="none" w:sz="0" w:space="0" w:color="auto"/>
                    <w:right w:val="none" w:sz="0" w:space="0" w:color="auto"/>
                  </w:divBdr>
                </w:div>
              </w:divsChild>
            </w:div>
            <w:div w:id="1836606737">
              <w:marLeft w:val="0"/>
              <w:marRight w:val="0"/>
              <w:marTop w:val="0"/>
              <w:marBottom w:val="0"/>
              <w:divBdr>
                <w:top w:val="none" w:sz="0" w:space="0" w:color="auto"/>
                <w:left w:val="none" w:sz="0" w:space="0" w:color="auto"/>
                <w:bottom w:val="none" w:sz="0" w:space="0" w:color="auto"/>
                <w:right w:val="none" w:sz="0" w:space="0" w:color="auto"/>
              </w:divBdr>
              <w:divsChild>
                <w:div w:id="862279351">
                  <w:marLeft w:val="0"/>
                  <w:marRight w:val="0"/>
                  <w:marTop w:val="0"/>
                  <w:marBottom w:val="0"/>
                  <w:divBdr>
                    <w:top w:val="none" w:sz="0" w:space="0" w:color="auto"/>
                    <w:left w:val="none" w:sz="0" w:space="0" w:color="auto"/>
                    <w:bottom w:val="none" w:sz="0" w:space="0" w:color="auto"/>
                    <w:right w:val="none" w:sz="0" w:space="0" w:color="auto"/>
                  </w:divBdr>
                </w:div>
                <w:div w:id="26873513">
                  <w:marLeft w:val="0"/>
                  <w:marRight w:val="0"/>
                  <w:marTop w:val="0"/>
                  <w:marBottom w:val="0"/>
                  <w:divBdr>
                    <w:top w:val="none" w:sz="0" w:space="0" w:color="auto"/>
                    <w:left w:val="none" w:sz="0" w:space="0" w:color="auto"/>
                    <w:bottom w:val="none" w:sz="0" w:space="0" w:color="auto"/>
                    <w:right w:val="none" w:sz="0" w:space="0" w:color="auto"/>
                  </w:divBdr>
                  <w:divsChild>
                    <w:div w:id="1434981785">
                      <w:marLeft w:val="0"/>
                      <w:marRight w:val="0"/>
                      <w:marTop w:val="0"/>
                      <w:marBottom w:val="0"/>
                      <w:divBdr>
                        <w:top w:val="none" w:sz="0" w:space="0" w:color="auto"/>
                        <w:left w:val="none" w:sz="0" w:space="0" w:color="auto"/>
                        <w:bottom w:val="none" w:sz="0" w:space="0" w:color="auto"/>
                        <w:right w:val="none" w:sz="0" w:space="0" w:color="auto"/>
                      </w:divBdr>
                    </w:div>
                    <w:div w:id="318996164">
                      <w:marLeft w:val="0"/>
                      <w:marRight w:val="0"/>
                      <w:marTop w:val="0"/>
                      <w:marBottom w:val="0"/>
                      <w:divBdr>
                        <w:top w:val="none" w:sz="0" w:space="0" w:color="auto"/>
                        <w:left w:val="none" w:sz="0" w:space="0" w:color="auto"/>
                        <w:bottom w:val="none" w:sz="0" w:space="0" w:color="auto"/>
                        <w:right w:val="none" w:sz="0" w:space="0" w:color="auto"/>
                      </w:divBdr>
                    </w:div>
                    <w:div w:id="1186554533">
                      <w:marLeft w:val="0"/>
                      <w:marRight w:val="0"/>
                      <w:marTop w:val="0"/>
                      <w:marBottom w:val="0"/>
                      <w:divBdr>
                        <w:top w:val="none" w:sz="0" w:space="0" w:color="auto"/>
                        <w:left w:val="none" w:sz="0" w:space="0" w:color="auto"/>
                        <w:bottom w:val="none" w:sz="0" w:space="0" w:color="auto"/>
                        <w:right w:val="none" w:sz="0" w:space="0" w:color="auto"/>
                      </w:divBdr>
                    </w:div>
                    <w:div w:id="21244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917716367">
          <w:marLeft w:val="0"/>
          <w:marRight w:val="0"/>
          <w:marTop w:val="0"/>
          <w:marBottom w:val="0"/>
          <w:divBdr>
            <w:top w:val="none" w:sz="0" w:space="0" w:color="auto"/>
            <w:left w:val="none" w:sz="0" w:space="0" w:color="auto"/>
            <w:bottom w:val="none" w:sz="0" w:space="0" w:color="auto"/>
            <w:right w:val="none" w:sz="0" w:space="0" w:color="auto"/>
          </w:divBdr>
        </w:div>
        <w:div w:id="1796177520">
          <w:marLeft w:val="0"/>
          <w:marRight w:val="0"/>
          <w:marTop w:val="0"/>
          <w:marBottom w:val="0"/>
          <w:divBdr>
            <w:top w:val="none" w:sz="0" w:space="0" w:color="auto"/>
            <w:left w:val="none" w:sz="0" w:space="0" w:color="auto"/>
            <w:bottom w:val="none" w:sz="0" w:space="0" w:color="auto"/>
            <w:right w:val="none" w:sz="0" w:space="0" w:color="auto"/>
          </w:divBdr>
        </w:div>
      </w:divsChild>
    </w:div>
    <w:div w:id="959914343">
      <w:bodyDiv w:val="1"/>
      <w:marLeft w:val="0"/>
      <w:marRight w:val="0"/>
      <w:marTop w:val="0"/>
      <w:marBottom w:val="0"/>
      <w:divBdr>
        <w:top w:val="none" w:sz="0" w:space="0" w:color="auto"/>
        <w:left w:val="none" w:sz="0" w:space="0" w:color="auto"/>
        <w:bottom w:val="none" w:sz="0" w:space="0" w:color="auto"/>
        <w:right w:val="none" w:sz="0" w:space="0" w:color="auto"/>
      </w:divBdr>
    </w:div>
    <w:div w:id="1008752416">
      <w:bodyDiv w:val="1"/>
      <w:marLeft w:val="0"/>
      <w:marRight w:val="0"/>
      <w:marTop w:val="0"/>
      <w:marBottom w:val="0"/>
      <w:divBdr>
        <w:top w:val="none" w:sz="0" w:space="0" w:color="auto"/>
        <w:left w:val="none" w:sz="0" w:space="0" w:color="auto"/>
        <w:bottom w:val="none" w:sz="0" w:space="0" w:color="auto"/>
        <w:right w:val="none" w:sz="0" w:space="0" w:color="auto"/>
      </w:divBdr>
      <w:divsChild>
        <w:div w:id="790631377">
          <w:marLeft w:val="0"/>
          <w:marRight w:val="0"/>
          <w:marTop w:val="0"/>
          <w:marBottom w:val="0"/>
          <w:divBdr>
            <w:top w:val="none" w:sz="0" w:space="0" w:color="auto"/>
            <w:left w:val="none" w:sz="0" w:space="0" w:color="auto"/>
            <w:bottom w:val="none" w:sz="0" w:space="0" w:color="auto"/>
            <w:right w:val="none" w:sz="0" w:space="0" w:color="auto"/>
          </w:divBdr>
          <w:divsChild>
            <w:div w:id="1539925811">
              <w:marLeft w:val="0"/>
              <w:marRight w:val="0"/>
              <w:marTop w:val="0"/>
              <w:marBottom w:val="0"/>
              <w:divBdr>
                <w:top w:val="none" w:sz="0" w:space="0" w:color="auto"/>
                <w:left w:val="none" w:sz="0" w:space="0" w:color="auto"/>
                <w:bottom w:val="none" w:sz="0" w:space="0" w:color="auto"/>
                <w:right w:val="none" w:sz="0" w:space="0" w:color="auto"/>
              </w:divBdr>
            </w:div>
          </w:divsChild>
        </w:div>
        <w:div w:id="1893274514">
          <w:marLeft w:val="0"/>
          <w:marRight w:val="0"/>
          <w:marTop w:val="0"/>
          <w:marBottom w:val="0"/>
          <w:divBdr>
            <w:top w:val="none" w:sz="0" w:space="0" w:color="auto"/>
            <w:left w:val="none" w:sz="0" w:space="0" w:color="auto"/>
            <w:bottom w:val="none" w:sz="0" w:space="0" w:color="auto"/>
            <w:right w:val="none" w:sz="0" w:space="0" w:color="auto"/>
          </w:divBdr>
          <w:divsChild>
            <w:div w:id="436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016">
      <w:bodyDiv w:val="1"/>
      <w:marLeft w:val="0"/>
      <w:marRight w:val="0"/>
      <w:marTop w:val="0"/>
      <w:marBottom w:val="0"/>
      <w:divBdr>
        <w:top w:val="none" w:sz="0" w:space="0" w:color="auto"/>
        <w:left w:val="none" w:sz="0" w:space="0" w:color="auto"/>
        <w:bottom w:val="none" w:sz="0" w:space="0" w:color="auto"/>
        <w:right w:val="none" w:sz="0" w:space="0" w:color="auto"/>
      </w:divBdr>
    </w:div>
    <w:div w:id="1180973511">
      <w:bodyDiv w:val="1"/>
      <w:marLeft w:val="0"/>
      <w:marRight w:val="0"/>
      <w:marTop w:val="0"/>
      <w:marBottom w:val="0"/>
      <w:divBdr>
        <w:top w:val="none" w:sz="0" w:space="0" w:color="auto"/>
        <w:left w:val="none" w:sz="0" w:space="0" w:color="auto"/>
        <w:bottom w:val="none" w:sz="0" w:space="0" w:color="auto"/>
        <w:right w:val="none" w:sz="0" w:space="0" w:color="auto"/>
      </w:divBdr>
    </w:div>
    <w:div w:id="1234966900">
      <w:bodyDiv w:val="1"/>
      <w:marLeft w:val="0"/>
      <w:marRight w:val="0"/>
      <w:marTop w:val="0"/>
      <w:marBottom w:val="0"/>
      <w:divBdr>
        <w:top w:val="none" w:sz="0" w:space="0" w:color="auto"/>
        <w:left w:val="none" w:sz="0" w:space="0" w:color="auto"/>
        <w:bottom w:val="none" w:sz="0" w:space="0" w:color="auto"/>
        <w:right w:val="none" w:sz="0" w:space="0" w:color="auto"/>
      </w:divBdr>
    </w:div>
    <w:div w:id="1317762853">
      <w:bodyDiv w:val="1"/>
      <w:marLeft w:val="0"/>
      <w:marRight w:val="0"/>
      <w:marTop w:val="0"/>
      <w:marBottom w:val="0"/>
      <w:divBdr>
        <w:top w:val="none" w:sz="0" w:space="0" w:color="auto"/>
        <w:left w:val="none" w:sz="0" w:space="0" w:color="auto"/>
        <w:bottom w:val="none" w:sz="0" w:space="0" w:color="auto"/>
        <w:right w:val="none" w:sz="0" w:space="0" w:color="auto"/>
      </w:divBdr>
      <w:divsChild>
        <w:div w:id="297757925">
          <w:marLeft w:val="0"/>
          <w:marRight w:val="0"/>
          <w:marTop w:val="0"/>
          <w:marBottom w:val="0"/>
          <w:divBdr>
            <w:top w:val="none" w:sz="0" w:space="0" w:color="auto"/>
            <w:left w:val="none" w:sz="0" w:space="0" w:color="auto"/>
            <w:bottom w:val="none" w:sz="0" w:space="0" w:color="auto"/>
            <w:right w:val="none" w:sz="0" w:space="0" w:color="auto"/>
          </w:divBdr>
        </w:div>
        <w:div w:id="749698703">
          <w:marLeft w:val="0"/>
          <w:marRight w:val="0"/>
          <w:marTop w:val="0"/>
          <w:marBottom w:val="0"/>
          <w:divBdr>
            <w:top w:val="none" w:sz="0" w:space="0" w:color="auto"/>
            <w:left w:val="none" w:sz="0" w:space="0" w:color="auto"/>
            <w:bottom w:val="none" w:sz="0" w:space="0" w:color="auto"/>
            <w:right w:val="none" w:sz="0" w:space="0" w:color="auto"/>
          </w:divBdr>
        </w:div>
        <w:div w:id="1429303588">
          <w:marLeft w:val="0"/>
          <w:marRight w:val="0"/>
          <w:marTop w:val="0"/>
          <w:marBottom w:val="0"/>
          <w:divBdr>
            <w:top w:val="none" w:sz="0" w:space="0" w:color="auto"/>
            <w:left w:val="none" w:sz="0" w:space="0" w:color="auto"/>
            <w:bottom w:val="none" w:sz="0" w:space="0" w:color="auto"/>
            <w:right w:val="none" w:sz="0" w:space="0" w:color="auto"/>
          </w:divBdr>
        </w:div>
        <w:div w:id="1785609095">
          <w:marLeft w:val="0"/>
          <w:marRight w:val="0"/>
          <w:marTop w:val="0"/>
          <w:marBottom w:val="0"/>
          <w:divBdr>
            <w:top w:val="none" w:sz="0" w:space="0" w:color="auto"/>
            <w:left w:val="none" w:sz="0" w:space="0" w:color="auto"/>
            <w:bottom w:val="none" w:sz="0" w:space="0" w:color="auto"/>
            <w:right w:val="none" w:sz="0" w:space="0" w:color="auto"/>
          </w:divBdr>
        </w:div>
      </w:divsChild>
    </w:div>
    <w:div w:id="1325164359">
      <w:bodyDiv w:val="1"/>
      <w:marLeft w:val="0"/>
      <w:marRight w:val="0"/>
      <w:marTop w:val="0"/>
      <w:marBottom w:val="0"/>
      <w:divBdr>
        <w:top w:val="none" w:sz="0" w:space="0" w:color="auto"/>
        <w:left w:val="none" w:sz="0" w:space="0" w:color="auto"/>
        <w:bottom w:val="none" w:sz="0" w:space="0" w:color="auto"/>
        <w:right w:val="none" w:sz="0" w:space="0" w:color="auto"/>
      </w:divBdr>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92213499">
      <w:bodyDiv w:val="1"/>
      <w:marLeft w:val="0"/>
      <w:marRight w:val="0"/>
      <w:marTop w:val="0"/>
      <w:marBottom w:val="0"/>
      <w:divBdr>
        <w:top w:val="none" w:sz="0" w:space="0" w:color="auto"/>
        <w:left w:val="none" w:sz="0" w:space="0" w:color="auto"/>
        <w:bottom w:val="none" w:sz="0" w:space="0" w:color="auto"/>
        <w:right w:val="none" w:sz="0" w:space="0" w:color="auto"/>
      </w:divBdr>
    </w:div>
    <w:div w:id="1496452720">
      <w:bodyDiv w:val="1"/>
      <w:marLeft w:val="0"/>
      <w:marRight w:val="0"/>
      <w:marTop w:val="0"/>
      <w:marBottom w:val="0"/>
      <w:divBdr>
        <w:top w:val="none" w:sz="0" w:space="0" w:color="auto"/>
        <w:left w:val="none" w:sz="0" w:space="0" w:color="auto"/>
        <w:bottom w:val="none" w:sz="0" w:space="0" w:color="auto"/>
        <w:right w:val="none" w:sz="0" w:space="0" w:color="auto"/>
      </w:divBdr>
      <w:divsChild>
        <w:div w:id="1228876698">
          <w:marLeft w:val="360"/>
          <w:marRight w:val="0"/>
          <w:marTop w:val="72"/>
          <w:marBottom w:val="72"/>
          <w:divBdr>
            <w:top w:val="none" w:sz="0" w:space="0" w:color="auto"/>
            <w:left w:val="none" w:sz="0" w:space="0" w:color="auto"/>
            <w:bottom w:val="none" w:sz="0" w:space="0" w:color="auto"/>
            <w:right w:val="none" w:sz="0" w:space="0" w:color="auto"/>
          </w:divBdr>
          <w:divsChild>
            <w:div w:id="73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3681">
      <w:bodyDiv w:val="1"/>
      <w:marLeft w:val="0"/>
      <w:marRight w:val="0"/>
      <w:marTop w:val="0"/>
      <w:marBottom w:val="0"/>
      <w:divBdr>
        <w:top w:val="none" w:sz="0" w:space="0" w:color="auto"/>
        <w:left w:val="none" w:sz="0" w:space="0" w:color="auto"/>
        <w:bottom w:val="none" w:sz="0" w:space="0" w:color="auto"/>
        <w:right w:val="none" w:sz="0" w:space="0" w:color="auto"/>
      </w:divBdr>
    </w:div>
    <w:div w:id="1546140608">
      <w:bodyDiv w:val="1"/>
      <w:marLeft w:val="0"/>
      <w:marRight w:val="0"/>
      <w:marTop w:val="0"/>
      <w:marBottom w:val="0"/>
      <w:divBdr>
        <w:top w:val="none" w:sz="0" w:space="0" w:color="auto"/>
        <w:left w:val="none" w:sz="0" w:space="0" w:color="auto"/>
        <w:bottom w:val="none" w:sz="0" w:space="0" w:color="auto"/>
        <w:right w:val="none" w:sz="0" w:space="0" w:color="auto"/>
      </w:divBdr>
    </w:div>
    <w:div w:id="1590574882">
      <w:bodyDiv w:val="1"/>
      <w:marLeft w:val="0"/>
      <w:marRight w:val="0"/>
      <w:marTop w:val="0"/>
      <w:marBottom w:val="0"/>
      <w:divBdr>
        <w:top w:val="none" w:sz="0" w:space="0" w:color="auto"/>
        <w:left w:val="none" w:sz="0" w:space="0" w:color="auto"/>
        <w:bottom w:val="none" w:sz="0" w:space="0" w:color="auto"/>
        <w:right w:val="none" w:sz="0" w:space="0" w:color="auto"/>
      </w:divBdr>
    </w:div>
    <w:div w:id="1677078213">
      <w:bodyDiv w:val="1"/>
      <w:marLeft w:val="0"/>
      <w:marRight w:val="0"/>
      <w:marTop w:val="0"/>
      <w:marBottom w:val="0"/>
      <w:divBdr>
        <w:top w:val="none" w:sz="0" w:space="0" w:color="auto"/>
        <w:left w:val="none" w:sz="0" w:space="0" w:color="auto"/>
        <w:bottom w:val="none" w:sz="0" w:space="0" w:color="auto"/>
        <w:right w:val="none" w:sz="0" w:space="0" w:color="auto"/>
      </w:divBdr>
    </w:div>
    <w:div w:id="1691419807">
      <w:bodyDiv w:val="1"/>
      <w:marLeft w:val="0"/>
      <w:marRight w:val="0"/>
      <w:marTop w:val="0"/>
      <w:marBottom w:val="0"/>
      <w:divBdr>
        <w:top w:val="none" w:sz="0" w:space="0" w:color="auto"/>
        <w:left w:val="none" w:sz="0" w:space="0" w:color="auto"/>
        <w:bottom w:val="none" w:sz="0" w:space="0" w:color="auto"/>
        <w:right w:val="none" w:sz="0" w:space="0" w:color="auto"/>
      </w:divBdr>
      <w:divsChild>
        <w:div w:id="4863139">
          <w:marLeft w:val="0"/>
          <w:marRight w:val="0"/>
          <w:marTop w:val="0"/>
          <w:marBottom w:val="0"/>
          <w:divBdr>
            <w:top w:val="none" w:sz="0" w:space="0" w:color="auto"/>
            <w:left w:val="none" w:sz="0" w:space="0" w:color="auto"/>
            <w:bottom w:val="none" w:sz="0" w:space="0" w:color="auto"/>
            <w:right w:val="none" w:sz="0" w:space="0" w:color="auto"/>
          </w:divBdr>
          <w:divsChild>
            <w:div w:id="1178469439">
              <w:marLeft w:val="0"/>
              <w:marRight w:val="0"/>
              <w:marTop w:val="0"/>
              <w:marBottom w:val="0"/>
              <w:divBdr>
                <w:top w:val="none" w:sz="0" w:space="0" w:color="auto"/>
                <w:left w:val="none" w:sz="0" w:space="0" w:color="auto"/>
                <w:bottom w:val="none" w:sz="0" w:space="0" w:color="auto"/>
                <w:right w:val="none" w:sz="0" w:space="0" w:color="auto"/>
              </w:divBdr>
            </w:div>
          </w:divsChild>
        </w:div>
        <w:div w:id="623314553">
          <w:marLeft w:val="0"/>
          <w:marRight w:val="0"/>
          <w:marTop w:val="0"/>
          <w:marBottom w:val="0"/>
          <w:divBdr>
            <w:top w:val="none" w:sz="0" w:space="0" w:color="auto"/>
            <w:left w:val="none" w:sz="0" w:space="0" w:color="auto"/>
            <w:bottom w:val="none" w:sz="0" w:space="0" w:color="auto"/>
            <w:right w:val="none" w:sz="0" w:space="0" w:color="auto"/>
          </w:divBdr>
          <w:divsChild>
            <w:div w:id="981812857">
              <w:marLeft w:val="0"/>
              <w:marRight w:val="0"/>
              <w:marTop w:val="0"/>
              <w:marBottom w:val="0"/>
              <w:divBdr>
                <w:top w:val="none" w:sz="0" w:space="0" w:color="auto"/>
                <w:left w:val="none" w:sz="0" w:space="0" w:color="auto"/>
                <w:bottom w:val="none" w:sz="0" w:space="0" w:color="auto"/>
                <w:right w:val="none" w:sz="0" w:space="0" w:color="auto"/>
              </w:divBdr>
            </w:div>
          </w:divsChild>
        </w:div>
        <w:div w:id="1218512144">
          <w:marLeft w:val="0"/>
          <w:marRight w:val="0"/>
          <w:marTop w:val="0"/>
          <w:marBottom w:val="0"/>
          <w:divBdr>
            <w:top w:val="none" w:sz="0" w:space="0" w:color="auto"/>
            <w:left w:val="none" w:sz="0" w:space="0" w:color="auto"/>
            <w:bottom w:val="none" w:sz="0" w:space="0" w:color="auto"/>
            <w:right w:val="none" w:sz="0" w:space="0" w:color="auto"/>
          </w:divBdr>
          <w:divsChild>
            <w:div w:id="330762145">
              <w:marLeft w:val="0"/>
              <w:marRight w:val="0"/>
              <w:marTop w:val="0"/>
              <w:marBottom w:val="0"/>
              <w:divBdr>
                <w:top w:val="none" w:sz="0" w:space="0" w:color="auto"/>
                <w:left w:val="none" w:sz="0" w:space="0" w:color="auto"/>
                <w:bottom w:val="none" w:sz="0" w:space="0" w:color="auto"/>
                <w:right w:val="none" w:sz="0" w:space="0" w:color="auto"/>
              </w:divBdr>
            </w:div>
          </w:divsChild>
        </w:div>
        <w:div w:id="1573546236">
          <w:marLeft w:val="0"/>
          <w:marRight w:val="0"/>
          <w:marTop w:val="0"/>
          <w:marBottom w:val="0"/>
          <w:divBdr>
            <w:top w:val="none" w:sz="0" w:space="0" w:color="auto"/>
            <w:left w:val="none" w:sz="0" w:space="0" w:color="auto"/>
            <w:bottom w:val="none" w:sz="0" w:space="0" w:color="auto"/>
            <w:right w:val="none" w:sz="0" w:space="0" w:color="auto"/>
          </w:divBdr>
          <w:divsChild>
            <w:div w:id="1592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7778">
      <w:bodyDiv w:val="1"/>
      <w:marLeft w:val="0"/>
      <w:marRight w:val="0"/>
      <w:marTop w:val="0"/>
      <w:marBottom w:val="0"/>
      <w:divBdr>
        <w:top w:val="none" w:sz="0" w:space="0" w:color="auto"/>
        <w:left w:val="none" w:sz="0" w:space="0" w:color="auto"/>
        <w:bottom w:val="none" w:sz="0" w:space="0" w:color="auto"/>
        <w:right w:val="none" w:sz="0" w:space="0" w:color="auto"/>
      </w:divBdr>
    </w:div>
    <w:div w:id="2020964308">
      <w:bodyDiv w:val="1"/>
      <w:marLeft w:val="0"/>
      <w:marRight w:val="0"/>
      <w:marTop w:val="0"/>
      <w:marBottom w:val="0"/>
      <w:divBdr>
        <w:top w:val="none" w:sz="0" w:space="0" w:color="auto"/>
        <w:left w:val="none" w:sz="0" w:space="0" w:color="auto"/>
        <w:bottom w:val="none" w:sz="0" w:space="0" w:color="auto"/>
        <w:right w:val="none" w:sz="0" w:space="0" w:color="auto"/>
      </w:divBdr>
    </w:div>
    <w:div w:id="2024243194">
      <w:bodyDiv w:val="1"/>
      <w:marLeft w:val="0"/>
      <w:marRight w:val="0"/>
      <w:marTop w:val="0"/>
      <w:marBottom w:val="0"/>
      <w:divBdr>
        <w:top w:val="none" w:sz="0" w:space="0" w:color="auto"/>
        <w:left w:val="none" w:sz="0" w:space="0" w:color="auto"/>
        <w:bottom w:val="none" w:sz="0" w:space="0" w:color="auto"/>
        <w:right w:val="none" w:sz="0" w:space="0" w:color="auto"/>
      </w:divBdr>
    </w:div>
    <w:div w:id="204316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933D7-D881-4217-BA93-57AEA433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5740</Words>
  <Characters>34441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40101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dc:description/>
  <cp:lastModifiedBy>Artur Fiedor</cp:lastModifiedBy>
  <cp:revision>4</cp:revision>
  <cp:lastPrinted>2022-11-24T13:29:00Z</cp:lastPrinted>
  <dcterms:created xsi:type="dcterms:W3CDTF">2023-07-14T06:38:00Z</dcterms:created>
  <dcterms:modified xsi:type="dcterms:W3CDTF">2023-07-14T06:54:00Z</dcterms:modified>
</cp:coreProperties>
</file>