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DD3F" w14:textId="62FF32C7" w:rsidR="00F937F5" w:rsidRPr="00853528" w:rsidRDefault="0064361B" w:rsidP="00F937F5">
      <w:pPr>
        <w:spacing w:line="360" w:lineRule="auto"/>
        <w:jc w:val="both"/>
        <w:rPr>
          <w:rFonts w:ascii="Times New Roman" w:hAnsi="Times New Roman" w:cs="Times New Roman"/>
          <w:b/>
          <w:bCs/>
        </w:rPr>
      </w:pPr>
      <w:r>
        <w:rPr>
          <w:rFonts w:ascii="Times New Roman" w:hAnsi="Times New Roman" w:cs="Times New Roman"/>
          <w:b/>
          <w:bCs/>
        </w:rPr>
        <w:t xml:space="preserve">Komisja Kodyfikacyjna Prawa Karnego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Warszawa, 10 września 2024 r. </w:t>
      </w:r>
    </w:p>
    <w:p w14:paraId="7B52936C" w14:textId="77777777" w:rsidR="00F937F5" w:rsidRPr="00853528" w:rsidRDefault="00F937F5" w:rsidP="00F937F5">
      <w:pPr>
        <w:spacing w:line="360" w:lineRule="auto"/>
        <w:jc w:val="both"/>
        <w:rPr>
          <w:rFonts w:ascii="Times New Roman" w:hAnsi="Times New Roman" w:cs="Times New Roman"/>
          <w:b/>
          <w:bCs/>
        </w:rPr>
      </w:pPr>
    </w:p>
    <w:p w14:paraId="20BB722D" w14:textId="77777777" w:rsidR="005839EF" w:rsidRPr="00853528" w:rsidRDefault="005839EF" w:rsidP="00F937F5">
      <w:pPr>
        <w:spacing w:line="360" w:lineRule="auto"/>
        <w:jc w:val="both"/>
        <w:rPr>
          <w:rFonts w:ascii="Times New Roman" w:hAnsi="Times New Roman" w:cs="Times New Roman"/>
          <w:b/>
          <w:bCs/>
        </w:rPr>
      </w:pPr>
    </w:p>
    <w:p w14:paraId="3E152D85" w14:textId="7B1FBC1F" w:rsidR="00F937F5" w:rsidRPr="00853528" w:rsidRDefault="00F937F5" w:rsidP="00F937F5">
      <w:pPr>
        <w:spacing w:line="360" w:lineRule="auto"/>
        <w:jc w:val="center"/>
        <w:rPr>
          <w:rFonts w:ascii="Times New Roman" w:hAnsi="Times New Roman" w:cs="Times New Roman"/>
          <w:b/>
          <w:bCs/>
        </w:rPr>
      </w:pPr>
      <w:r w:rsidRPr="00853528">
        <w:rPr>
          <w:rFonts w:ascii="Times New Roman" w:hAnsi="Times New Roman" w:cs="Times New Roman"/>
          <w:b/>
          <w:bCs/>
        </w:rPr>
        <w:t xml:space="preserve">Opinia dotycząca propozycji </w:t>
      </w:r>
      <w:r w:rsidR="002E754D" w:rsidRPr="00853528">
        <w:rPr>
          <w:rFonts w:ascii="Times New Roman" w:hAnsi="Times New Roman" w:cs="Times New Roman"/>
          <w:b/>
          <w:bCs/>
        </w:rPr>
        <w:t>Ministerstwa Finansów</w:t>
      </w:r>
    </w:p>
    <w:p w14:paraId="5B3D9721" w14:textId="62A24112" w:rsidR="002E754D" w:rsidRPr="00853528" w:rsidRDefault="00F937F5" w:rsidP="00F937F5">
      <w:pPr>
        <w:spacing w:line="360" w:lineRule="auto"/>
        <w:jc w:val="center"/>
        <w:rPr>
          <w:rFonts w:ascii="Times New Roman" w:hAnsi="Times New Roman" w:cs="Times New Roman"/>
          <w:b/>
          <w:bCs/>
        </w:rPr>
      </w:pPr>
      <w:r w:rsidRPr="00853528">
        <w:rPr>
          <w:rFonts w:ascii="Times New Roman" w:hAnsi="Times New Roman" w:cs="Times New Roman"/>
          <w:b/>
          <w:bCs/>
        </w:rPr>
        <w:t>w/s zmian legislacyjnych w związku z konieczności</w:t>
      </w:r>
      <w:r w:rsidR="00F57968" w:rsidRPr="00853528">
        <w:rPr>
          <w:rFonts w:ascii="Times New Roman" w:hAnsi="Times New Roman" w:cs="Times New Roman"/>
          <w:b/>
          <w:bCs/>
        </w:rPr>
        <w:t>ą</w:t>
      </w:r>
      <w:r w:rsidRPr="00853528">
        <w:rPr>
          <w:rFonts w:ascii="Times New Roman" w:hAnsi="Times New Roman" w:cs="Times New Roman"/>
          <w:b/>
          <w:bCs/>
        </w:rPr>
        <w:t xml:space="preserve"> dostosowania </w:t>
      </w:r>
    </w:p>
    <w:p w14:paraId="32505B50" w14:textId="3471F269" w:rsidR="00F937F5" w:rsidRPr="00853528" w:rsidRDefault="002E754D" w:rsidP="00F937F5">
      <w:pPr>
        <w:spacing w:line="360" w:lineRule="auto"/>
        <w:jc w:val="center"/>
        <w:rPr>
          <w:rFonts w:ascii="Times New Roman" w:hAnsi="Times New Roman" w:cs="Times New Roman"/>
          <w:b/>
          <w:bCs/>
        </w:rPr>
      </w:pPr>
      <w:r w:rsidRPr="00853528">
        <w:rPr>
          <w:rFonts w:ascii="Times New Roman" w:hAnsi="Times New Roman" w:cs="Times New Roman"/>
          <w:b/>
          <w:bCs/>
        </w:rPr>
        <w:t xml:space="preserve">rodzimego </w:t>
      </w:r>
      <w:r w:rsidR="00F937F5" w:rsidRPr="00853528">
        <w:rPr>
          <w:rFonts w:ascii="Times New Roman" w:hAnsi="Times New Roman" w:cs="Times New Roman"/>
          <w:b/>
          <w:bCs/>
        </w:rPr>
        <w:t>systemu AML/CFT do standardów międzynarodowych</w:t>
      </w:r>
    </w:p>
    <w:p w14:paraId="0B106592" w14:textId="14FA945F" w:rsidR="00F937F5" w:rsidRPr="00853528" w:rsidRDefault="00F937F5" w:rsidP="00F937F5">
      <w:pPr>
        <w:spacing w:line="360" w:lineRule="auto"/>
        <w:jc w:val="center"/>
        <w:rPr>
          <w:rFonts w:ascii="Times New Roman" w:hAnsi="Times New Roman" w:cs="Times New Roman"/>
          <w:b/>
          <w:bCs/>
        </w:rPr>
      </w:pPr>
      <w:r w:rsidRPr="00853528">
        <w:rPr>
          <w:rFonts w:ascii="Times New Roman" w:hAnsi="Times New Roman" w:cs="Times New Roman"/>
          <w:b/>
          <w:bCs/>
        </w:rPr>
        <w:t>(Część A</w:t>
      </w:r>
      <w:r w:rsidR="002E754D" w:rsidRPr="00853528">
        <w:rPr>
          <w:rFonts w:ascii="Times New Roman" w:hAnsi="Times New Roman" w:cs="Times New Roman"/>
          <w:b/>
          <w:bCs/>
        </w:rPr>
        <w:t xml:space="preserve"> pisma/propozycji</w:t>
      </w:r>
      <w:r w:rsidRPr="00853528">
        <w:rPr>
          <w:rFonts w:ascii="Times New Roman" w:hAnsi="Times New Roman" w:cs="Times New Roman"/>
          <w:b/>
          <w:bCs/>
        </w:rPr>
        <w:t>)</w:t>
      </w:r>
    </w:p>
    <w:p w14:paraId="2DF9F03C" w14:textId="77777777" w:rsidR="00F937F5" w:rsidRPr="00853528" w:rsidRDefault="00F937F5" w:rsidP="00F937F5">
      <w:pPr>
        <w:spacing w:line="360" w:lineRule="auto"/>
        <w:jc w:val="both"/>
        <w:rPr>
          <w:rFonts w:ascii="Times New Roman" w:hAnsi="Times New Roman" w:cs="Times New Roman"/>
          <w:b/>
          <w:bCs/>
        </w:rPr>
      </w:pPr>
    </w:p>
    <w:p w14:paraId="79787263" w14:textId="77777777" w:rsidR="005839EF" w:rsidRPr="00853528" w:rsidRDefault="005839EF" w:rsidP="00F937F5">
      <w:pPr>
        <w:spacing w:line="360" w:lineRule="auto"/>
        <w:jc w:val="both"/>
        <w:rPr>
          <w:rFonts w:ascii="Times New Roman" w:hAnsi="Times New Roman" w:cs="Times New Roman"/>
          <w:b/>
          <w:bCs/>
        </w:rPr>
      </w:pPr>
    </w:p>
    <w:p w14:paraId="53B8A1D7" w14:textId="77777777" w:rsidR="00F937F5" w:rsidRPr="00853528" w:rsidRDefault="00F937F5" w:rsidP="00F937F5">
      <w:pPr>
        <w:spacing w:line="360" w:lineRule="auto"/>
        <w:jc w:val="both"/>
        <w:rPr>
          <w:rFonts w:ascii="Times New Roman" w:hAnsi="Times New Roman" w:cs="Times New Roman"/>
        </w:rPr>
      </w:pPr>
    </w:p>
    <w:p w14:paraId="46F23017" w14:textId="76F973B8" w:rsidR="002E754D" w:rsidRPr="00853528" w:rsidRDefault="002E754D" w:rsidP="002E754D">
      <w:pPr>
        <w:pStyle w:val="Akapitzlist"/>
        <w:numPr>
          <w:ilvl w:val="0"/>
          <w:numId w:val="15"/>
        </w:numPr>
        <w:spacing w:line="360" w:lineRule="auto"/>
        <w:jc w:val="both"/>
        <w:rPr>
          <w:rFonts w:ascii="Times New Roman" w:hAnsi="Times New Roman" w:cs="Times New Roman"/>
          <w:b/>
          <w:bCs/>
          <w:shd w:val="clear" w:color="auto" w:fill="FFFFFF"/>
        </w:rPr>
      </w:pPr>
      <w:r w:rsidRPr="00853528">
        <w:rPr>
          <w:rFonts w:ascii="Times New Roman" w:hAnsi="Times New Roman" w:cs="Times New Roman"/>
          <w:b/>
          <w:bCs/>
          <w:shd w:val="clear" w:color="auto" w:fill="FFFFFF"/>
        </w:rPr>
        <w:t>Wprowadzenie</w:t>
      </w:r>
    </w:p>
    <w:p w14:paraId="415D106F" w14:textId="48643280" w:rsidR="00F937F5" w:rsidRPr="00853528" w:rsidRDefault="00F937F5" w:rsidP="002E754D">
      <w:pPr>
        <w:spacing w:line="360" w:lineRule="auto"/>
        <w:ind w:firstLine="360"/>
        <w:jc w:val="both"/>
        <w:rPr>
          <w:rFonts w:ascii="Times New Roman" w:hAnsi="Times New Roman" w:cs="Times New Roman"/>
          <w:shd w:val="clear" w:color="auto" w:fill="FFFFFF"/>
        </w:rPr>
      </w:pPr>
      <w:r w:rsidRPr="00853528">
        <w:rPr>
          <w:rFonts w:ascii="Times New Roman" w:hAnsi="Times New Roman" w:cs="Times New Roman"/>
          <w:shd w:val="clear" w:color="auto" w:fill="FFFFFF"/>
        </w:rPr>
        <w:t>Z otrzymanego zlecenia (korespondencji) wynika, że przedmiotem oceny Ministerstwa Sprawiedliwości (Komisji Kodyfikacyjnej Prawa Karnego przy Ministrze Sprawiedliwości) mają być propozycje zmian zawarte w Części A pisma Ministerstwa Finansów z dnia 19 lutego 2024 r.</w:t>
      </w:r>
    </w:p>
    <w:p w14:paraId="7F59F4AE" w14:textId="3E7FA430" w:rsidR="00F937F5" w:rsidRPr="00853528" w:rsidRDefault="00F937F5" w:rsidP="00F937F5">
      <w:pPr>
        <w:spacing w:line="360" w:lineRule="auto"/>
        <w:ind w:firstLine="360"/>
        <w:jc w:val="both"/>
        <w:rPr>
          <w:rFonts w:ascii="Times New Roman" w:hAnsi="Times New Roman" w:cs="Times New Roman"/>
          <w:shd w:val="clear" w:color="auto" w:fill="FFFFFF"/>
        </w:rPr>
      </w:pPr>
      <w:r w:rsidRPr="00853528">
        <w:rPr>
          <w:rFonts w:ascii="Times New Roman" w:hAnsi="Times New Roman" w:cs="Times New Roman"/>
          <w:shd w:val="clear" w:color="auto" w:fill="FFFFFF"/>
        </w:rPr>
        <w:t xml:space="preserve">Odnosząc się do tych propozycji, przyjmując </w:t>
      </w:r>
      <w:r w:rsidR="005538D6">
        <w:rPr>
          <w:rFonts w:ascii="Times New Roman" w:hAnsi="Times New Roman" w:cs="Times New Roman"/>
          <w:shd w:val="clear" w:color="auto" w:fill="FFFFFF"/>
        </w:rPr>
        <w:t xml:space="preserve">przy tym </w:t>
      </w:r>
      <w:r w:rsidRPr="00853528">
        <w:rPr>
          <w:rFonts w:ascii="Times New Roman" w:hAnsi="Times New Roman" w:cs="Times New Roman"/>
          <w:shd w:val="clear" w:color="auto" w:fill="FFFFFF"/>
        </w:rPr>
        <w:t>założenie dostępności i znajomości treści dokumentów związanych z tym zleceniem, należy wskazać, co następuje:</w:t>
      </w:r>
    </w:p>
    <w:p w14:paraId="523E5748" w14:textId="2BD233DA" w:rsidR="001A5846" w:rsidRPr="00853528" w:rsidRDefault="00A14A06"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t>M</w:t>
      </w:r>
      <w:r w:rsidR="00693393" w:rsidRPr="00853528">
        <w:rPr>
          <w:rFonts w:ascii="Times New Roman" w:hAnsi="Times New Roman" w:cs="Times New Roman"/>
        </w:rPr>
        <w:t>ONEYVAL</w:t>
      </w:r>
      <w:r w:rsidRPr="00853528">
        <w:rPr>
          <w:rFonts w:ascii="Times New Roman" w:hAnsi="Times New Roman" w:cs="Times New Roman"/>
        </w:rPr>
        <w:t xml:space="preserve"> to komitet ekspercki Rad</w:t>
      </w:r>
      <w:r w:rsidR="001A5846" w:rsidRPr="00853528">
        <w:rPr>
          <w:rFonts w:ascii="Times New Roman" w:hAnsi="Times New Roman" w:cs="Times New Roman"/>
        </w:rPr>
        <w:t>y</w:t>
      </w:r>
      <w:r w:rsidRPr="00853528">
        <w:rPr>
          <w:rFonts w:ascii="Times New Roman" w:hAnsi="Times New Roman" w:cs="Times New Roman"/>
        </w:rPr>
        <w:t xml:space="preserve"> Europy </w:t>
      </w:r>
      <w:r w:rsidR="001A5846" w:rsidRPr="00853528">
        <w:rPr>
          <w:rFonts w:ascii="Times New Roman" w:hAnsi="Times New Roman" w:cs="Times New Roman"/>
        </w:rPr>
        <w:t xml:space="preserve">zajmujący się stałym i aktywnym monitoringiem standardów i </w:t>
      </w:r>
      <w:r w:rsidR="00AC64B7" w:rsidRPr="00853528">
        <w:rPr>
          <w:rFonts w:ascii="Times New Roman" w:hAnsi="Times New Roman" w:cs="Times New Roman"/>
        </w:rPr>
        <w:t xml:space="preserve">prawnych </w:t>
      </w:r>
      <w:r w:rsidR="001A5846" w:rsidRPr="00853528">
        <w:rPr>
          <w:rFonts w:ascii="Times New Roman" w:hAnsi="Times New Roman" w:cs="Times New Roman"/>
        </w:rPr>
        <w:t xml:space="preserve">regulacji </w:t>
      </w:r>
      <w:r w:rsidR="00AC64B7" w:rsidRPr="00853528">
        <w:rPr>
          <w:rFonts w:ascii="Times New Roman" w:hAnsi="Times New Roman" w:cs="Times New Roman"/>
        </w:rPr>
        <w:t xml:space="preserve">dotyczących </w:t>
      </w:r>
      <w:r w:rsidR="001A5846" w:rsidRPr="00853528">
        <w:rPr>
          <w:rFonts w:ascii="Times New Roman" w:hAnsi="Times New Roman" w:cs="Times New Roman"/>
        </w:rPr>
        <w:t xml:space="preserve">zwalczania prania pieniędzy i finansowania terroryzmu w państwach członkowskich. W grudniu 2023 r. MONEYVAL uchwaliło </w:t>
      </w:r>
      <w:r w:rsidR="00693393" w:rsidRPr="00853528">
        <w:rPr>
          <w:rFonts w:ascii="Times New Roman" w:hAnsi="Times New Roman" w:cs="Times New Roman"/>
        </w:rPr>
        <w:t xml:space="preserve">zakończenie 5. </w:t>
      </w:r>
      <w:r w:rsidR="00AC64B7" w:rsidRPr="00853528">
        <w:rPr>
          <w:rFonts w:ascii="Times New Roman" w:hAnsi="Times New Roman" w:cs="Times New Roman"/>
        </w:rPr>
        <w:t>r</w:t>
      </w:r>
      <w:r w:rsidR="00693393" w:rsidRPr="00853528">
        <w:rPr>
          <w:rFonts w:ascii="Times New Roman" w:hAnsi="Times New Roman" w:cs="Times New Roman"/>
        </w:rPr>
        <w:t>undy i uchwaliło zasad</w:t>
      </w:r>
      <w:r w:rsidR="00853528" w:rsidRPr="00853528">
        <w:rPr>
          <w:rFonts w:ascii="Times New Roman" w:hAnsi="Times New Roman" w:cs="Times New Roman"/>
        </w:rPr>
        <w:t>y</w:t>
      </w:r>
      <w:r w:rsidR="00693393" w:rsidRPr="00853528">
        <w:rPr>
          <w:rFonts w:ascii="Times New Roman" w:hAnsi="Times New Roman" w:cs="Times New Roman"/>
        </w:rPr>
        <w:t xml:space="preserve"> </w:t>
      </w:r>
      <w:r w:rsidR="00F937F5" w:rsidRPr="00853528">
        <w:rPr>
          <w:rFonts w:ascii="Times New Roman" w:hAnsi="Times New Roman" w:cs="Times New Roman"/>
        </w:rPr>
        <w:t xml:space="preserve">następnej - </w:t>
      </w:r>
      <w:r w:rsidR="001A5846" w:rsidRPr="00853528">
        <w:rPr>
          <w:rFonts w:ascii="Times New Roman" w:hAnsi="Times New Roman" w:cs="Times New Roman"/>
        </w:rPr>
        <w:t>6</w:t>
      </w:r>
      <w:r w:rsidR="00693393" w:rsidRPr="00853528">
        <w:rPr>
          <w:rFonts w:ascii="Times New Roman" w:hAnsi="Times New Roman" w:cs="Times New Roman"/>
        </w:rPr>
        <w:t>.</w:t>
      </w:r>
      <w:r w:rsidR="001A5846" w:rsidRPr="00853528">
        <w:rPr>
          <w:rFonts w:ascii="Times New Roman" w:hAnsi="Times New Roman" w:cs="Times New Roman"/>
        </w:rPr>
        <w:t xml:space="preserve"> rundy ewaluacji</w:t>
      </w:r>
      <w:r w:rsidR="00693393" w:rsidRPr="00853528">
        <w:rPr>
          <w:rFonts w:ascii="Times New Roman" w:hAnsi="Times New Roman" w:cs="Times New Roman"/>
        </w:rPr>
        <w:t xml:space="preserve"> w ww. przedmiocie.</w:t>
      </w:r>
      <w:r w:rsidR="001A5846" w:rsidRPr="00853528">
        <w:rPr>
          <w:rFonts w:ascii="Times New Roman" w:hAnsi="Times New Roman" w:cs="Times New Roman"/>
        </w:rPr>
        <w:t xml:space="preserve"> </w:t>
      </w:r>
    </w:p>
    <w:p w14:paraId="67B80BE3" w14:textId="3A2541F6" w:rsidR="00693393" w:rsidRPr="00853528" w:rsidRDefault="00693393"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t xml:space="preserve">MONEYVAL jest stowarzyszonym członkiem międzynarodowej organizacji FATF, zajmującej się globalnym monitoringiem standardów i </w:t>
      </w:r>
      <w:r w:rsidR="00AC64B7" w:rsidRPr="00853528">
        <w:rPr>
          <w:rFonts w:ascii="Times New Roman" w:hAnsi="Times New Roman" w:cs="Times New Roman"/>
        </w:rPr>
        <w:t xml:space="preserve">prawnych </w:t>
      </w:r>
      <w:r w:rsidRPr="00853528">
        <w:rPr>
          <w:rFonts w:ascii="Times New Roman" w:hAnsi="Times New Roman" w:cs="Times New Roman"/>
        </w:rPr>
        <w:t>regulacji zwalczania prania pieniędzy i finansowania terroryzmu. MONEYVAL prowadzi swoją działalność głównie w oparciu o rekomendacje sformułowane przez FATF (</w:t>
      </w:r>
      <w:r w:rsidRPr="00853528">
        <w:rPr>
          <w:rFonts w:ascii="Times New Roman" w:hAnsi="Times New Roman" w:cs="Times New Roman"/>
          <w:i/>
          <w:iCs/>
        </w:rPr>
        <w:t>The FATF Recommendations</w:t>
      </w:r>
      <w:r w:rsidRPr="00853528">
        <w:rPr>
          <w:rFonts w:ascii="Times New Roman" w:hAnsi="Times New Roman" w:cs="Times New Roman"/>
        </w:rPr>
        <w:t>).</w:t>
      </w:r>
    </w:p>
    <w:p w14:paraId="314AAF51" w14:textId="05A732E6" w:rsidR="00A14A06" w:rsidRPr="00853528" w:rsidRDefault="00693393"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t xml:space="preserve">W związku z powyższym, na marginesie należy wskazać, że </w:t>
      </w:r>
      <w:r w:rsidR="00A14A06" w:rsidRPr="00853528">
        <w:rPr>
          <w:rFonts w:ascii="Times New Roman" w:hAnsi="Times New Roman" w:cs="Times New Roman"/>
        </w:rPr>
        <w:t>Rekomendacje FATF ze stycznia 2012, zaktualizowane w listopadzie 2023 r., zostały zweryfikowane w czerwcu 2024 r. W wyniku tej ostatniej ewaluacji, RP nie znajduje się ani na tzw. czarnej liści</w:t>
      </w:r>
      <w:r w:rsidR="00F57968" w:rsidRPr="00853528">
        <w:rPr>
          <w:rFonts w:ascii="Times New Roman" w:hAnsi="Times New Roman" w:cs="Times New Roman"/>
        </w:rPr>
        <w:t>e</w:t>
      </w:r>
      <w:r w:rsidR="00A14A06" w:rsidRPr="00853528">
        <w:rPr>
          <w:rFonts w:ascii="Times New Roman" w:hAnsi="Times New Roman" w:cs="Times New Roman"/>
        </w:rPr>
        <w:t xml:space="preserve"> (</w:t>
      </w:r>
      <w:r w:rsidR="00A14A06" w:rsidRPr="00853528">
        <w:rPr>
          <w:rFonts w:ascii="Times New Roman" w:hAnsi="Times New Roman" w:cs="Times New Roman"/>
          <w:i/>
          <w:iCs/>
        </w:rPr>
        <w:t>call for action</w:t>
      </w:r>
      <w:r w:rsidR="00A14A06" w:rsidRPr="00853528">
        <w:rPr>
          <w:rFonts w:ascii="Times New Roman" w:hAnsi="Times New Roman" w:cs="Times New Roman"/>
        </w:rPr>
        <w:t>), ani też na tzw. „szarej liście” (</w:t>
      </w:r>
      <w:r w:rsidR="00A14A06" w:rsidRPr="00853528">
        <w:rPr>
          <w:rFonts w:ascii="Times New Roman" w:hAnsi="Times New Roman" w:cs="Times New Roman"/>
          <w:i/>
          <w:iCs/>
        </w:rPr>
        <w:t>under increased monitoring</w:t>
      </w:r>
      <w:r w:rsidR="00A14A06" w:rsidRPr="00853528">
        <w:rPr>
          <w:rFonts w:ascii="Times New Roman" w:hAnsi="Times New Roman" w:cs="Times New Roman"/>
        </w:rPr>
        <w:t>), na której znajdują się m.in. państwa UE. Wynika z tego, że zastrzeżenia formułowane pod adresem RP</w:t>
      </w:r>
      <w:r w:rsidRPr="00853528">
        <w:rPr>
          <w:rFonts w:ascii="Times New Roman" w:hAnsi="Times New Roman" w:cs="Times New Roman"/>
        </w:rPr>
        <w:t xml:space="preserve">, przynajmniej z punktu widzenia </w:t>
      </w:r>
      <w:r w:rsidR="00AC64B7" w:rsidRPr="00853528">
        <w:rPr>
          <w:rFonts w:ascii="Times New Roman" w:hAnsi="Times New Roman" w:cs="Times New Roman"/>
        </w:rPr>
        <w:t xml:space="preserve">rekomendacji </w:t>
      </w:r>
      <w:r w:rsidRPr="00853528">
        <w:rPr>
          <w:rFonts w:ascii="Times New Roman" w:hAnsi="Times New Roman" w:cs="Times New Roman"/>
        </w:rPr>
        <w:t>FATF,</w:t>
      </w:r>
      <w:r w:rsidR="00A14A06" w:rsidRPr="00853528">
        <w:rPr>
          <w:rFonts w:ascii="Times New Roman" w:hAnsi="Times New Roman" w:cs="Times New Roman"/>
        </w:rPr>
        <w:t xml:space="preserve"> nie mają charakteru bezwzględnie wymaganych. </w:t>
      </w:r>
    </w:p>
    <w:p w14:paraId="6999E819" w14:textId="7BB907ED" w:rsidR="00DE3263" w:rsidRPr="00853528" w:rsidRDefault="00DE3263"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lastRenderedPageBreak/>
        <w:t xml:space="preserve">Przedmiotem rozpatrywanych zastrzeżeń są określone rekomendacje ewaluatorów MONEYVAL (wynikające z </w:t>
      </w:r>
      <w:r w:rsidR="00AC64B7" w:rsidRPr="00853528">
        <w:rPr>
          <w:rFonts w:ascii="Times New Roman" w:hAnsi="Times New Roman" w:cs="Times New Roman"/>
        </w:rPr>
        <w:t>zakończonej</w:t>
      </w:r>
      <w:r w:rsidRPr="00853528">
        <w:rPr>
          <w:rFonts w:ascii="Times New Roman" w:hAnsi="Times New Roman" w:cs="Times New Roman"/>
        </w:rPr>
        <w:t xml:space="preserve"> 5. rundy ewaluacji), a w szczególności konkretne zalecenia odwołujące się do rekomendacji FATF.</w:t>
      </w:r>
    </w:p>
    <w:p w14:paraId="5FDAD7E9" w14:textId="41CA9157" w:rsidR="00DE3263" w:rsidRPr="00853528" w:rsidRDefault="00DE3263"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t>Na tej podstawie, w lutym 2024 r. Ministerstwo Finansów zwróciło się do Ministerstwa Sprawiedliwości o zainicjowanie zmian legislacyjnych w zakresie ww. zaleceń, opisując je w formie 4 rekomendacji, które</w:t>
      </w:r>
      <w:r w:rsidR="00F57968" w:rsidRPr="00853528">
        <w:rPr>
          <w:rFonts w:ascii="Times New Roman" w:hAnsi="Times New Roman" w:cs="Times New Roman"/>
        </w:rPr>
        <w:t xml:space="preserve"> </w:t>
      </w:r>
      <w:r w:rsidRPr="00853528">
        <w:rPr>
          <w:rFonts w:ascii="Times New Roman" w:hAnsi="Times New Roman" w:cs="Times New Roman"/>
        </w:rPr>
        <w:t>jednak zostały przedstawione stosunkowo ogólnie, albowiem ich opis zajmuje łącznie 1,5 strony</w:t>
      </w:r>
      <w:r w:rsidR="00AC64B7" w:rsidRPr="00853528">
        <w:rPr>
          <w:rFonts w:ascii="Times New Roman" w:hAnsi="Times New Roman" w:cs="Times New Roman"/>
        </w:rPr>
        <w:t>, a ponadto nie mają one charakteru jasnego i uporządkowanego (wymagają klaryfikacji)</w:t>
      </w:r>
      <w:r w:rsidRPr="00853528">
        <w:rPr>
          <w:rFonts w:ascii="Times New Roman" w:hAnsi="Times New Roman" w:cs="Times New Roman"/>
        </w:rPr>
        <w:t>. W marcu 2024 r. Ministerstwo Sprawiedliwości odpowiedziało</w:t>
      </w:r>
      <w:r w:rsidR="00AC64B7" w:rsidRPr="00853528">
        <w:rPr>
          <w:rFonts w:ascii="Times New Roman" w:hAnsi="Times New Roman" w:cs="Times New Roman"/>
        </w:rPr>
        <w:t xml:space="preserve"> na powyższe wystąpienie</w:t>
      </w:r>
      <w:r w:rsidRPr="00853528">
        <w:rPr>
          <w:rFonts w:ascii="Times New Roman" w:hAnsi="Times New Roman" w:cs="Times New Roman"/>
        </w:rPr>
        <w:t>, że kwestie te będą przedmiotem jego prac, jednak w tym zakresie konieczne jest sformułowanie przez wnioskodawcę „konkretnych propozycji legislacyjnych”</w:t>
      </w:r>
      <w:r w:rsidR="00AC64B7" w:rsidRPr="00853528">
        <w:rPr>
          <w:rFonts w:ascii="Times New Roman" w:hAnsi="Times New Roman" w:cs="Times New Roman"/>
        </w:rPr>
        <w:t>. Ostatecznie jednak propozycje te nie zostały przedstawione</w:t>
      </w:r>
      <w:r w:rsidRPr="00853528">
        <w:rPr>
          <w:rFonts w:ascii="Times New Roman" w:hAnsi="Times New Roman" w:cs="Times New Roman"/>
        </w:rPr>
        <w:t>.</w:t>
      </w:r>
    </w:p>
    <w:p w14:paraId="1B5B3B0F" w14:textId="0D15F943" w:rsidR="00DE3263" w:rsidRPr="00853528" w:rsidRDefault="00DE3263" w:rsidP="00F937F5">
      <w:pPr>
        <w:pStyle w:val="Akapitzlist"/>
        <w:numPr>
          <w:ilvl w:val="0"/>
          <w:numId w:val="1"/>
        </w:numPr>
        <w:spacing w:line="360" w:lineRule="auto"/>
        <w:jc w:val="both"/>
        <w:rPr>
          <w:rFonts w:ascii="Times New Roman" w:hAnsi="Times New Roman" w:cs="Times New Roman"/>
        </w:rPr>
      </w:pPr>
      <w:r w:rsidRPr="00853528">
        <w:rPr>
          <w:rFonts w:ascii="Times New Roman" w:hAnsi="Times New Roman" w:cs="Times New Roman"/>
        </w:rPr>
        <w:t>Wobec powyższego, przedmio</w:t>
      </w:r>
      <w:r w:rsidR="00AC64B7" w:rsidRPr="00853528">
        <w:rPr>
          <w:rFonts w:ascii="Times New Roman" w:hAnsi="Times New Roman" w:cs="Times New Roman"/>
        </w:rPr>
        <w:t>t</w:t>
      </w:r>
      <w:r w:rsidRPr="00853528">
        <w:rPr>
          <w:rFonts w:ascii="Times New Roman" w:hAnsi="Times New Roman" w:cs="Times New Roman"/>
        </w:rPr>
        <w:t xml:space="preserve">em niniejszej ekspertyzy będą </w:t>
      </w:r>
      <w:r w:rsidR="00160706" w:rsidRPr="00853528">
        <w:rPr>
          <w:rFonts w:ascii="Times New Roman" w:hAnsi="Times New Roman" w:cs="Times New Roman"/>
        </w:rPr>
        <w:t>tylko ramowe</w:t>
      </w:r>
      <w:r w:rsidRPr="00853528">
        <w:rPr>
          <w:rFonts w:ascii="Times New Roman" w:hAnsi="Times New Roman" w:cs="Times New Roman"/>
        </w:rPr>
        <w:t xml:space="preserve"> 4 </w:t>
      </w:r>
      <w:r w:rsidR="00AC64B7" w:rsidRPr="00853528">
        <w:rPr>
          <w:rFonts w:ascii="Times New Roman" w:hAnsi="Times New Roman" w:cs="Times New Roman"/>
        </w:rPr>
        <w:t>zalecenia</w:t>
      </w:r>
      <w:r w:rsidRPr="00853528">
        <w:rPr>
          <w:rFonts w:ascii="Times New Roman" w:hAnsi="Times New Roman" w:cs="Times New Roman"/>
        </w:rPr>
        <w:t xml:space="preserve"> sformułowane </w:t>
      </w:r>
      <w:r w:rsidR="00160706" w:rsidRPr="00853528">
        <w:rPr>
          <w:rFonts w:ascii="Times New Roman" w:hAnsi="Times New Roman" w:cs="Times New Roman"/>
        </w:rPr>
        <w:t xml:space="preserve">w tej sprawie </w:t>
      </w:r>
      <w:r w:rsidRPr="00853528">
        <w:rPr>
          <w:rFonts w:ascii="Times New Roman" w:hAnsi="Times New Roman" w:cs="Times New Roman"/>
        </w:rPr>
        <w:t>przez Ministerstwo Sprawiedliwości. Odniesienie do nich z tego powodu również musi mieć charakter ogólny.</w:t>
      </w:r>
    </w:p>
    <w:p w14:paraId="15FC7ED8" w14:textId="77777777" w:rsidR="00331603" w:rsidRPr="00853528" w:rsidRDefault="00331603" w:rsidP="00331603">
      <w:pPr>
        <w:spacing w:line="360" w:lineRule="auto"/>
        <w:ind w:left="360"/>
        <w:jc w:val="both"/>
        <w:rPr>
          <w:rFonts w:ascii="Times New Roman" w:hAnsi="Times New Roman" w:cs="Times New Roman"/>
        </w:rPr>
      </w:pPr>
    </w:p>
    <w:p w14:paraId="42BB3A7E" w14:textId="4A7184E4" w:rsidR="00AC64B7" w:rsidRPr="00853528" w:rsidRDefault="00AC64B7" w:rsidP="002E754D">
      <w:pPr>
        <w:pStyle w:val="Akapitzlist"/>
        <w:numPr>
          <w:ilvl w:val="0"/>
          <w:numId w:val="15"/>
        </w:numPr>
        <w:spacing w:line="360" w:lineRule="auto"/>
        <w:jc w:val="both"/>
        <w:rPr>
          <w:rFonts w:ascii="Times New Roman" w:hAnsi="Times New Roman" w:cs="Times New Roman"/>
          <w:b/>
          <w:bCs/>
        </w:rPr>
      </w:pPr>
      <w:r w:rsidRPr="00853528">
        <w:rPr>
          <w:rFonts w:ascii="Times New Roman" w:hAnsi="Times New Roman" w:cs="Times New Roman"/>
          <w:b/>
          <w:bCs/>
        </w:rPr>
        <w:t>Odnośnie do zalecenia nr 1, opartego na Rekomendacji 3 FATF, należy wskazać, co następuje:</w:t>
      </w:r>
    </w:p>
    <w:p w14:paraId="7772FA30" w14:textId="3EE4A2C1" w:rsidR="00AC64B7" w:rsidRPr="00853528" w:rsidRDefault="00AC64B7" w:rsidP="00D53EF0">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u w:val="single"/>
        </w:rPr>
        <w:t>Po</w:t>
      </w:r>
      <w:r w:rsidR="00D53EF0" w:rsidRPr="00853528">
        <w:rPr>
          <w:rFonts w:ascii="Times New Roman" w:hAnsi="Times New Roman" w:cs="Times New Roman"/>
          <w:u w:val="single"/>
        </w:rPr>
        <w:t xml:space="preserve"> pierwsze,</w:t>
      </w:r>
      <w:r w:rsidR="00D53EF0" w:rsidRPr="00853528">
        <w:rPr>
          <w:rFonts w:ascii="Times New Roman" w:hAnsi="Times New Roman" w:cs="Times New Roman"/>
        </w:rPr>
        <w:t xml:space="preserve"> po</w:t>
      </w:r>
      <w:r w:rsidRPr="00853528">
        <w:rPr>
          <w:rFonts w:ascii="Times New Roman" w:hAnsi="Times New Roman" w:cs="Times New Roman"/>
        </w:rPr>
        <w:t>d adresem przepis</w:t>
      </w:r>
      <w:r w:rsidR="00F57968" w:rsidRPr="00853528">
        <w:rPr>
          <w:rFonts w:ascii="Times New Roman" w:hAnsi="Times New Roman" w:cs="Times New Roman"/>
        </w:rPr>
        <w:t>u</w:t>
      </w:r>
      <w:r w:rsidRPr="00853528">
        <w:rPr>
          <w:rFonts w:ascii="Times New Roman" w:hAnsi="Times New Roman" w:cs="Times New Roman"/>
        </w:rPr>
        <w:t xml:space="preserve"> art. 299 § 1 </w:t>
      </w:r>
      <w:r w:rsidR="00F57968" w:rsidRPr="00853528">
        <w:rPr>
          <w:rFonts w:ascii="Times New Roman" w:hAnsi="Times New Roman" w:cs="Times New Roman"/>
        </w:rPr>
        <w:t>k</w:t>
      </w:r>
      <w:r w:rsidRPr="00853528">
        <w:rPr>
          <w:rFonts w:ascii="Times New Roman" w:hAnsi="Times New Roman" w:cs="Times New Roman"/>
        </w:rPr>
        <w:t>.k. formułuje się zarzut, że zawiera on dysfunkcjonaln</w:t>
      </w:r>
      <w:r w:rsidR="00843A92" w:rsidRPr="00853528">
        <w:rPr>
          <w:rFonts w:ascii="Times New Roman" w:hAnsi="Times New Roman" w:cs="Times New Roman"/>
        </w:rPr>
        <w:t xml:space="preserve">y „wymóg istnienia potencjalnego </w:t>
      </w:r>
      <w:r w:rsidRPr="00853528">
        <w:rPr>
          <w:rFonts w:ascii="Times New Roman" w:hAnsi="Times New Roman" w:cs="Times New Roman"/>
        </w:rPr>
        <w:t>skutku</w:t>
      </w:r>
      <w:r w:rsidR="00843A92" w:rsidRPr="00853528">
        <w:rPr>
          <w:rFonts w:ascii="Times New Roman" w:hAnsi="Times New Roman" w:cs="Times New Roman"/>
        </w:rPr>
        <w:t>, wynikającego z działania sprawcy,</w:t>
      </w:r>
      <w:r w:rsidRPr="00853528">
        <w:rPr>
          <w:rFonts w:ascii="Times New Roman" w:hAnsi="Times New Roman" w:cs="Times New Roman"/>
        </w:rPr>
        <w:t xml:space="preserve"> </w:t>
      </w:r>
      <w:r w:rsidR="00843A92" w:rsidRPr="00853528">
        <w:rPr>
          <w:rFonts w:ascii="Times New Roman" w:hAnsi="Times New Roman" w:cs="Times New Roman"/>
        </w:rPr>
        <w:t xml:space="preserve">w postaci </w:t>
      </w:r>
      <w:r w:rsidRPr="00853528">
        <w:rPr>
          <w:rFonts w:ascii="Times New Roman" w:hAnsi="Times New Roman" w:cs="Times New Roman"/>
        </w:rPr>
        <w:t>udaremnienia lub znacznego utrudnienia stwierdzenia przestępnego pochodzenia korzyści majątkowych”.</w:t>
      </w:r>
    </w:p>
    <w:p w14:paraId="3B7A5322" w14:textId="73259C2E" w:rsidR="00843A92" w:rsidRPr="00853528" w:rsidRDefault="00843A92" w:rsidP="00D53EF0">
      <w:pPr>
        <w:pStyle w:val="NormalnyWeb"/>
        <w:numPr>
          <w:ilvl w:val="0"/>
          <w:numId w:val="4"/>
        </w:numPr>
        <w:spacing w:line="360" w:lineRule="auto"/>
        <w:jc w:val="both"/>
      </w:pPr>
      <w:r w:rsidRPr="00853528">
        <w:t xml:space="preserve">Wobec tego należy stwierdzić, że ustawowe znamiona (sformułowanie): „czynności, które mogą udaremnić lub znacznie utrudnić stwierdzenie ich przestępnego pochodzenia lub miejsca umieszczenia, ich wykrycie, zajęcie albo orzeczenie przepadku,” stanowi ustawową okoliczność (modalną) czynności sprawczej określonej w art. 299 § 1 </w:t>
      </w:r>
      <w:r w:rsidR="00F57968" w:rsidRPr="00853528">
        <w:t>k</w:t>
      </w:r>
      <w:r w:rsidRPr="00853528">
        <w:t xml:space="preserve">.k. </w:t>
      </w:r>
      <w:r w:rsidR="00BF0248">
        <w:t xml:space="preserve">w sposób ogólny („inne czynności”). </w:t>
      </w:r>
      <w:r w:rsidRPr="00853528">
        <w:t>Okoliczność ta określa istotę stypizowanego tamże typu czynu zabronionego (przestępstwa prania pieniędzy)</w:t>
      </w:r>
      <w:r w:rsidR="00BF0248">
        <w:t xml:space="preserve"> w omawianym zakresie</w:t>
      </w:r>
      <w:r w:rsidRPr="00853528">
        <w:t xml:space="preserve">. </w:t>
      </w:r>
      <w:r w:rsidR="00F937F5" w:rsidRPr="00853528">
        <w:t>W</w:t>
      </w:r>
      <w:r w:rsidR="00BF0248">
        <w:t>ynika to interpretacji wskazanej w uchwale Sądu Najwyższego z dnia 24 czerwca 2015 r. (I KZP 5/15).</w:t>
      </w:r>
      <w:r w:rsidR="00F937F5" w:rsidRPr="00853528">
        <w:t xml:space="preserve"> </w:t>
      </w:r>
      <w:r w:rsidRPr="00853528">
        <w:t xml:space="preserve">Brak tej </w:t>
      </w:r>
      <w:r w:rsidR="00BF0248">
        <w:t xml:space="preserve">dodatkowej ustawowej </w:t>
      </w:r>
      <w:r w:rsidRPr="00853528">
        <w:t xml:space="preserve">okoliczności sprawiłby, </w:t>
      </w:r>
      <w:r w:rsidR="000B395D" w:rsidRPr="00853528">
        <w:t>że</w:t>
      </w:r>
      <w:r w:rsidRPr="00853528">
        <w:t xml:space="preserve"> czyn taki sprowadzałby się </w:t>
      </w:r>
      <w:r w:rsidR="005538D6">
        <w:t xml:space="preserve">w istocie </w:t>
      </w:r>
      <w:r w:rsidRPr="00853528">
        <w:t xml:space="preserve">do </w:t>
      </w:r>
      <w:r w:rsidR="00BF0248">
        <w:t>zachowania zupełnie nieokreślonego</w:t>
      </w:r>
      <w:r w:rsidRPr="00853528">
        <w:t>.</w:t>
      </w:r>
    </w:p>
    <w:p w14:paraId="36858645" w14:textId="642454E4" w:rsidR="00F937F5" w:rsidRPr="00853528" w:rsidRDefault="00F937F5" w:rsidP="00D53EF0">
      <w:pPr>
        <w:pStyle w:val="NormalnyWeb"/>
        <w:numPr>
          <w:ilvl w:val="0"/>
          <w:numId w:val="4"/>
        </w:numPr>
        <w:spacing w:line="360" w:lineRule="auto"/>
        <w:jc w:val="both"/>
      </w:pPr>
      <w:r w:rsidRPr="00853528">
        <w:lastRenderedPageBreak/>
        <w:t xml:space="preserve">Do tej pory, tak w praktyce, jak i teorii rodzimego prawa karnego nie zgłaszano </w:t>
      </w:r>
      <w:r w:rsidR="005538D6">
        <w:t xml:space="preserve">godnych odnotowania </w:t>
      </w:r>
      <w:r w:rsidRPr="00853528">
        <w:t>zastrzeżeń o rozpatrywanej tutaj treści</w:t>
      </w:r>
      <w:r w:rsidR="00BF0248">
        <w:t xml:space="preserve"> (w omawianym zakresie)</w:t>
      </w:r>
      <w:r w:rsidRPr="00853528">
        <w:t>.</w:t>
      </w:r>
      <w:r w:rsidR="005538D6">
        <w:t xml:space="preserve"> W przeciwieństwie do innych elementów ustawowego opisu omawianego deliktu.</w:t>
      </w:r>
    </w:p>
    <w:p w14:paraId="600849C5" w14:textId="158B1D96" w:rsidR="00843A92" w:rsidRPr="00853528" w:rsidRDefault="00727470" w:rsidP="00D53EF0">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 xml:space="preserve">Typizacja przestępstwa prania pieniędzy </w:t>
      </w:r>
      <w:r w:rsidR="00331603" w:rsidRPr="00853528">
        <w:rPr>
          <w:rFonts w:ascii="Times New Roman" w:hAnsi="Times New Roman" w:cs="Times New Roman"/>
        </w:rPr>
        <w:t>rzeczywiście</w:t>
      </w:r>
      <w:r w:rsidR="00F937F5" w:rsidRPr="00853528">
        <w:rPr>
          <w:rFonts w:ascii="Times New Roman" w:hAnsi="Times New Roman" w:cs="Times New Roman"/>
        </w:rPr>
        <w:t xml:space="preserve"> </w:t>
      </w:r>
      <w:r w:rsidRPr="00853528">
        <w:rPr>
          <w:rFonts w:ascii="Times New Roman" w:hAnsi="Times New Roman" w:cs="Times New Roman"/>
        </w:rPr>
        <w:t xml:space="preserve">rodzi </w:t>
      </w:r>
      <w:r w:rsidR="00331603" w:rsidRPr="00853528">
        <w:rPr>
          <w:rFonts w:ascii="Times New Roman" w:hAnsi="Times New Roman" w:cs="Times New Roman"/>
        </w:rPr>
        <w:t xml:space="preserve">wiele </w:t>
      </w:r>
      <w:r w:rsidRPr="00853528">
        <w:rPr>
          <w:rFonts w:ascii="Times New Roman" w:hAnsi="Times New Roman" w:cs="Times New Roman"/>
        </w:rPr>
        <w:t>istotn</w:t>
      </w:r>
      <w:r w:rsidR="00331603" w:rsidRPr="00853528">
        <w:rPr>
          <w:rFonts w:ascii="Times New Roman" w:hAnsi="Times New Roman" w:cs="Times New Roman"/>
        </w:rPr>
        <w:t xml:space="preserve">ych, w większości </w:t>
      </w:r>
      <w:r w:rsidRPr="00853528">
        <w:rPr>
          <w:rFonts w:ascii="Times New Roman" w:hAnsi="Times New Roman" w:cs="Times New Roman"/>
        </w:rPr>
        <w:t>uzasadnion</w:t>
      </w:r>
      <w:r w:rsidR="00331603" w:rsidRPr="00853528">
        <w:rPr>
          <w:rFonts w:ascii="Times New Roman" w:hAnsi="Times New Roman" w:cs="Times New Roman"/>
        </w:rPr>
        <w:t>ych,</w:t>
      </w:r>
      <w:r w:rsidRPr="00853528">
        <w:rPr>
          <w:rFonts w:ascii="Times New Roman" w:hAnsi="Times New Roman" w:cs="Times New Roman"/>
        </w:rPr>
        <w:t xml:space="preserve"> zastrzeże</w:t>
      </w:r>
      <w:r w:rsidR="00331603" w:rsidRPr="00853528">
        <w:rPr>
          <w:rFonts w:ascii="Times New Roman" w:hAnsi="Times New Roman" w:cs="Times New Roman"/>
        </w:rPr>
        <w:t>ń</w:t>
      </w:r>
      <w:r w:rsidRPr="00853528">
        <w:rPr>
          <w:rFonts w:ascii="Times New Roman" w:hAnsi="Times New Roman" w:cs="Times New Roman"/>
        </w:rPr>
        <w:t xml:space="preserve">, które były już uprzednio przedmiotem </w:t>
      </w:r>
      <w:r w:rsidR="00331603" w:rsidRPr="00853528">
        <w:rPr>
          <w:rFonts w:ascii="Times New Roman" w:hAnsi="Times New Roman" w:cs="Times New Roman"/>
        </w:rPr>
        <w:t xml:space="preserve">szerokiej i pogłębionej </w:t>
      </w:r>
      <w:r w:rsidRPr="00853528">
        <w:rPr>
          <w:rFonts w:ascii="Times New Roman" w:hAnsi="Times New Roman" w:cs="Times New Roman"/>
        </w:rPr>
        <w:t>oceny</w:t>
      </w:r>
      <w:r w:rsidR="00331603" w:rsidRPr="00853528">
        <w:rPr>
          <w:rFonts w:ascii="Times New Roman" w:hAnsi="Times New Roman" w:cs="Times New Roman"/>
        </w:rPr>
        <w:t xml:space="preserve"> </w:t>
      </w:r>
      <w:r w:rsidRPr="00853528">
        <w:rPr>
          <w:rFonts w:ascii="Times New Roman" w:hAnsi="Times New Roman" w:cs="Times New Roman"/>
        </w:rPr>
        <w:t xml:space="preserve">ze strony </w:t>
      </w:r>
      <w:r w:rsidR="00331603" w:rsidRPr="00853528">
        <w:rPr>
          <w:rFonts w:ascii="Times New Roman" w:hAnsi="Times New Roman" w:cs="Times New Roman"/>
        </w:rPr>
        <w:t xml:space="preserve">dawnej </w:t>
      </w:r>
      <w:r w:rsidRPr="00853528">
        <w:rPr>
          <w:rFonts w:ascii="Times New Roman" w:hAnsi="Times New Roman" w:cs="Times New Roman"/>
        </w:rPr>
        <w:t>Komisji Kodyfikacyjnej Prawa Karnego przy Ministrze Sprawiedliwości. W tym zakresie aktualne są tutaj propozycje Komisji wskazane w projekcie zmian Kodeksu karnego z dnia 5 listopada 201</w:t>
      </w:r>
      <w:r w:rsidR="003F457B" w:rsidRPr="00853528">
        <w:rPr>
          <w:rFonts w:ascii="Times New Roman" w:hAnsi="Times New Roman" w:cs="Times New Roman"/>
        </w:rPr>
        <w:t>3</w:t>
      </w:r>
      <w:r w:rsidRPr="00853528">
        <w:rPr>
          <w:rFonts w:ascii="Times New Roman" w:hAnsi="Times New Roman" w:cs="Times New Roman"/>
        </w:rPr>
        <w:t xml:space="preserve"> r. Dodać należy, że w propozycji tej, sformułowanie będące przedmiotem krytyki ewaluatorów zostało co do zasady utrzymane, jako normatywnie i funkcjonalnie właściwe.</w:t>
      </w:r>
    </w:p>
    <w:p w14:paraId="08E829D8" w14:textId="177C88BA" w:rsidR="0086739D" w:rsidRPr="00853528" w:rsidRDefault="00727470" w:rsidP="00D53EF0">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Na koniec omawiania tego zagadnienia należy wskazać, że</w:t>
      </w:r>
      <w:r w:rsidR="00717A55" w:rsidRPr="00853528">
        <w:rPr>
          <w:rFonts w:ascii="Times New Roman" w:hAnsi="Times New Roman" w:cs="Times New Roman"/>
        </w:rPr>
        <w:t xml:space="preserve"> </w:t>
      </w:r>
      <w:r w:rsidR="0086739D" w:rsidRPr="00853528">
        <w:rPr>
          <w:rFonts w:ascii="Times New Roman" w:hAnsi="Times New Roman" w:cs="Times New Roman"/>
        </w:rPr>
        <w:t>zgłoszone zalecenie nie znajduje podstawy formalnej w treści Rekomendacji 3 FATF (</w:t>
      </w:r>
      <w:r w:rsidR="00717A55" w:rsidRPr="00853528">
        <w:rPr>
          <w:rFonts w:ascii="Times New Roman" w:hAnsi="Times New Roman" w:cs="Times New Roman"/>
        </w:rPr>
        <w:t>s. 38-39</w:t>
      </w:r>
      <w:r w:rsidR="0086739D" w:rsidRPr="00853528">
        <w:rPr>
          <w:rFonts w:ascii="Times New Roman" w:hAnsi="Times New Roman" w:cs="Times New Roman"/>
        </w:rPr>
        <w:t xml:space="preserve"> </w:t>
      </w:r>
      <w:r w:rsidR="0086739D" w:rsidRPr="00853528">
        <w:rPr>
          <w:rFonts w:ascii="Times New Roman" w:hAnsi="Times New Roman" w:cs="Times New Roman"/>
          <w:i/>
          <w:iCs/>
        </w:rPr>
        <w:t>The FATF Recommendations</w:t>
      </w:r>
      <w:r w:rsidR="0086739D" w:rsidRPr="00853528">
        <w:rPr>
          <w:rFonts w:ascii="Times New Roman" w:hAnsi="Times New Roman" w:cs="Times New Roman"/>
        </w:rPr>
        <w:t>).</w:t>
      </w:r>
      <w:r w:rsidR="00331603" w:rsidRPr="00853528">
        <w:rPr>
          <w:rFonts w:ascii="Times New Roman" w:hAnsi="Times New Roman" w:cs="Times New Roman"/>
        </w:rPr>
        <w:t xml:space="preserve"> Trudno na podstawie tej rekomendacji przyjąć, że </w:t>
      </w:r>
      <w:r w:rsidR="0086739D" w:rsidRPr="00853528">
        <w:rPr>
          <w:rFonts w:ascii="Times New Roman" w:hAnsi="Times New Roman" w:cs="Times New Roman"/>
        </w:rPr>
        <w:t xml:space="preserve">przepis art. 299 § 1 </w:t>
      </w:r>
      <w:r w:rsidR="000B395D" w:rsidRPr="00853528">
        <w:rPr>
          <w:rFonts w:ascii="Times New Roman" w:hAnsi="Times New Roman" w:cs="Times New Roman"/>
        </w:rPr>
        <w:t>k</w:t>
      </w:r>
      <w:r w:rsidR="0086739D" w:rsidRPr="00853528">
        <w:rPr>
          <w:rFonts w:ascii="Times New Roman" w:hAnsi="Times New Roman" w:cs="Times New Roman"/>
        </w:rPr>
        <w:t xml:space="preserve">.k. </w:t>
      </w:r>
      <w:r w:rsidR="00331603" w:rsidRPr="00853528">
        <w:rPr>
          <w:rFonts w:ascii="Times New Roman" w:hAnsi="Times New Roman" w:cs="Times New Roman"/>
        </w:rPr>
        <w:t>zawiera sprzeczny z nią wymóg istnienia potencjalnego skutku, wynikającego z działania sprawcy, w postaci udaremnienia lub znacznego utrudnienia stwierdzenia przestępnego pochodzenia korzyści majątkowych.</w:t>
      </w:r>
    </w:p>
    <w:p w14:paraId="1B9C4060" w14:textId="79005D48" w:rsidR="00D53EF0" w:rsidRPr="00853528" w:rsidRDefault="00D53EF0" w:rsidP="00D53EF0">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u w:val="single"/>
        </w:rPr>
        <w:t>Po drugie,</w:t>
      </w:r>
      <w:r w:rsidRPr="00853528">
        <w:rPr>
          <w:rFonts w:ascii="Times New Roman" w:hAnsi="Times New Roman" w:cs="Times New Roman"/>
        </w:rPr>
        <w:t xml:space="preserve"> pod adresem przepis</w:t>
      </w:r>
      <w:r w:rsidR="000B395D" w:rsidRPr="00853528">
        <w:rPr>
          <w:rFonts w:ascii="Times New Roman" w:hAnsi="Times New Roman" w:cs="Times New Roman"/>
        </w:rPr>
        <w:t>u</w:t>
      </w:r>
      <w:r w:rsidRPr="00853528">
        <w:rPr>
          <w:rFonts w:ascii="Times New Roman" w:hAnsi="Times New Roman" w:cs="Times New Roman"/>
        </w:rPr>
        <w:t xml:space="preserve"> art. 299 § 1 </w:t>
      </w:r>
      <w:r w:rsidR="000B395D" w:rsidRPr="00853528">
        <w:rPr>
          <w:rFonts w:ascii="Times New Roman" w:hAnsi="Times New Roman" w:cs="Times New Roman"/>
        </w:rPr>
        <w:t>k</w:t>
      </w:r>
      <w:r w:rsidRPr="00853528">
        <w:rPr>
          <w:rFonts w:ascii="Times New Roman" w:hAnsi="Times New Roman" w:cs="Times New Roman"/>
        </w:rPr>
        <w:t>.k. formułuje się zarzut, że zawiera on</w:t>
      </w:r>
      <w:r w:rsidR="00C5432D" w:rsidRPr="00853528">
        <w:rPr>
          <w:rFonts w:ascii="Times New Roman" w:hAnsi="Times New Roman" w:cs="Times New Roman"/>
        </w:rPr>
        <w:t xml:space="preserve"> znamię czynności sprawczej „wywozi za granicę”, zamiast „przemieszcza”.</w:t>
      </w:r>
    </w:p>
    <w:p w14:paraId="2171D6DB" w14:textId="3F388C88" w:rsidR="00C5432D" w:rsidRPr="00853528" w:rsidRDefault="00C5432D" w:rsidP="00D53EF0">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Należy uznać, że jest to zarzut z kilku powodów merytorycznie całkowicie chybiony. I tak:</w:t>
      </w:r>
    </w:p>
    <w:p w14:paraId="1A172F5C" w14:textId="0F826C3E" w:rsidR="00C5432D" w:rsidRPr="00853528" w:rsidRDefault="00C5432D" w:rsidP="00C5432D">
      <w:pPr>
        <w:pStyle w:val="Akapitzlist"/>
        <w:numPr>
          <w:ilvl w:val="0"/>
          <w:numId w:val="6"/>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rPr>
        <w:t xml:space="preserve">Abstrahując już od nietrafnie kazuistycznego wskazania przez ustawodawcę sposobów popełnienia omawianego przestępstwa, należy wskazać, że katalog ten nie jest wyczerpujący, ponieważ – zgodnie z treścią art. 299 § 1 </w:t>
      </w:r>
      <w:r w:rsidR="000B395D" w:rsidRPr="00853528">
        <w:rPr>
          <w:rFonts w:ascii="Times New Roman" w:hAnsi="Times New Roman" w:cs="Times New Roman"/>
        </w:rPr>
        <w:t xml:space="preserve">k.k. </w:t>
      </w:r>
      <w:r w:rsidRPr="00853528">
        <w:rPr>
          <w:rFonts w:ascii="Times New Roman" w:hAnsi="Times New Roman" w:cs="Times New Roman"/>
        </w:rPr>
        <w:t>- dotyczy on każdej czynności</w:t>
      </w:r>
      <w:r w:rsidR="000B395D" w:rsidRPr="00853528">
        <w:rPr>
          <w:rFonts w:ascii="Times New Roman" w:hAnsi="Times New Roman" w:cs="Times New Roman"/>
        </w:rPr>
        <w:t>,</w:t>
      </w:r>
      <w:r w:rsidRPr="00853528">
        <w:rPr>
          <w:rFonts w:ascii="Times New Roman" w:hAnsi="Times New Roman" w:cs="Times New Roman"/>
        </w:rPr>
        <w:t xml:space="preserve"> </w:t>
      </w:r>
      <w:r w:rsidRPr="00853528">
        <w:rPr>
          <w:rFonts w:ascii="Times New Roman" w:eastAsia="Times New Roman" w:hAnsi="Times New Roman" w:cs="Times New Roman"/>
          <w:lang w:eastAsia="pl-PL"/>
        </w:rPr>
        <w:t>która może udaremnić lub znacznie utrudnić stwierdzenie przestępnego pochodzenia środków finansowych lub miejsca ich umieszczenia, wykrycia, zajęcia albo orzeczenia ich przepadku. Uwaga ta dotyczy również postulowanej czynności „przemieszcza”.</w:t>
      </w:r>
    </w:p>
    <w:p w14:paraId="076D6A07" w14:textId="77777777" w:rsidR="002E754D" w:rsidRPr="00853528" w:rsidRDefault="00C5432D" w:rsidP="002E754D">
      <w:pPr>
        <w:pStyle w:val="Akapitzlist"/>
        <w:numPr>
          <w:ilvl w:val="0"/>
          <w:numId w:val="6"/>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Wymienione przez ustawodawcę, konkretne czynności sprawcze, takie jak: </w:t>
      </w:r>
      <w:r w:rsidRPr="00853528">
        <w:rPr>
          <w:rFonts w:ascii="Times New Roman" w:eastAsia="Times New Roman" w:hAnsi="Times New Roman" w:cs="Times New Roman"/>
          <w:i/>
          <w:iCs/>
          <w:lang w:eastAsia="pl-PL"/>
        </w:rPr>
        <w:t>używa, przekazuje lub wywozi za granicę, ukrywa, dokonuje ich transferu lub konwersji, pomaga do przenoszenia ich własności lub posiadania</w:t>
      </w:r>
      <w:r w:rsidRPr="00853528">
        <w:rPr>
          <w:rFonts w:ascii="Times New Roman" w:eastAsia="Times New Roman" w:hAnsi="Times New Roman" w:cs="Times New Roman"/>
          <w:lang w:eastAsia="pl-PL"/>
        </w:rPr>
        <w:t>, odnoszą się do zachowania, którego treścią faktyczną jest „przemieszczanie” środków finansowych.</w:t>
      </w:r>
    </w:p>
    <w:p w14:paraId="03BEC294" w14:textId="77777777" w:rsidR="005538D6" w:rsidRPr="005538D6" w:rsidRDefault="00E04541" w:rsidP="002E754D">
      <w:pPr>
        <w:pStyle w:val="Akapitzlist"/>
        <w:numPr>
          <w:ilvl w:val="0"/>
          <w:numId w:val="6"/>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bCs/>
          <w:lang w:eastAsia="pl-PL"/>
        </w:rPr>
        <w:t xml:space="preserve">Legislacyjna naprawa przepisu art. 299 § 1 </w:t>
      </w:r>
      <w:r w:rsidR="000B395D" w:rsidRPr="00853528">
        <w:rPr>
          <w:rFonts w:ascii="Times New Roman" w:eastAsia="Times New Roman" w:hAnsi="Times New Roman" w:cs="Times New Roman"/>
          <w:bCs/>
          <w:lang w:eastAsia="pl-PL"/>
        </w:rPr>
        <w:t>k</w:t>
      </w:r>
      <w:r w:rsidRPr="00853528">
        <w:rPr>
          <w:rFonts w:ascii="Times New Roman" w:eastAsia="Times New Roman" w:hAnsi="Times New Roman" w:cs="Times New Roman"/>
          <w:bCs/>
          <w:lang w:eastAsia="pl-PL"/>
        </w:rPr>
        <w:t xml:space="preserve">.k. nie może polegać na ujmowaniu lub dodawaniu kolejnych kazuistycznych czynności sprawczych, lecz na zastąpieniu ich </w:t>
      </w:r>
      <w:r w:rsidRPr="00853528">
        <w:rPr>
          <w:rFonts w:ascii="Times New Roman" w:eastAsia="Times New Roman" w:hAnsi="Times New Roman" w:cs="Times New Roman"/>
          <w:bCs/>
          <w:lang w:eastAsia="pl-PL"/>
        </w:rPr>
        <w:lastRenderedPageBreak/>
        <w:t xml:space="preserve">wszystkich znamieniem syntetycznym, które znacznie poprawi funkcjonalność tego przepisu. </w:t>
      </w:r>
    </w:p>
    <w:p w14:paraId="6D806F80" w14:textId="779B379D" w:rsidR="00E04541" w:rsidRPr="00853528" w:rsidRDefault="00E04541" w:rsidP="002E754D">
      <w:pPr>
        <w:pStyle w:val="Akapitzlist"/>
        <w:numPr>
          <w:ilvl w:val="0"/>
          <w:numId w:val="6"/>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bCs/>
          <w:lang w:eastAsia="pl-PL"/>
        </w:rPr>
        <w:t xml:space="preserve">W związku z </w:t>
      </w:r>
      <w:r w:rsidR="005538D6">
        <w:rPr>
          <w:rFonts w:ascii="Times New Roman" w:eastAsia="Times New Roman" w:hAnsi="Times New Roman" w:cs="Times New Roman"/>
          <w:bCs/>
          <w:lang w:eastAsia="pl-PL"/>
        </w:rPr>
        <w:t>powyższym</w:t>
      </w:r>
      <w:r w:rsidRPr="00853528">
        <w:rPr>
          <w:rFonts w:ascii="Times New Roman" w:eastAsia="Times New Roman" w:hAnsi="Times New Roman" w:cs="Times New Roman"/>
          <w:bCs/>
          <w:lang w:eastAsia="pl-PL"/>
        </w:rPr>
        <w:t xml:space="preserve"> należy przypomnieć, że dawna Komisja Kodyfikacyjna Prawa Karnego, w ramach projektu nowelizacji Kodeksu karnego z 5 listopada 201</w:t>
      </w:r>
      <w:r w:rsidR="003F457B" w:rsidRPr="00853528">
        <w:rPr>
          <w:rFonts w:ascii="Times New Roman" w:eastAsia="Times New Roman" w:hAnsi="Times New Roman" w:cs="Times New Roman"/>
          <w:bCs/>
          <w:lang w:eastAsia="pl-PL"/>
        </w:rPr>
        <w:t>3</w:t>
      </w:r>
      <w:r w:rsidRPr="00853528">
        <w:rPr>
          <w:rFonts w:ascii="Times New Roman" w:eastAsia="Times New Roman" w:hAnsi="Times New Roman" w:cs="Times New Roman"/>
          <w:bCs/>
          <w:lang w:eastAsia="pl-PL"/>
        </w:rPr>
        <w:t xml:space="preserve"> r., oficjalnie zaproponowała całkowicie nową - bardzo trafną i nadal aktualną – typizację tego deliktu, odwołując się m.in. właśnie do syntetycznego określenia sposobu jego popełnienia. Odpowiednik obecnego przepisu art. 299 § 1 </w:t>
      </w:r>
      <w:r w:rsidR="000B395D" w:rsidRPr="00853528">
        <w:rPr>
          <w:rFonts w:ascii="Times New Roman" w:eastAsia="Times New Roman" w:hAnsi="Times New Roman" w:cs="Times New Roman"/>
          <w:bCs/>
          <w:lang w:eastAsia="pl-PL"/>
        </w:rPr>
        <w:t>k</w:t>
      </w:r>
      <w:r w:rsidRPr="00853528">
        <w:rPr>
          <w:rFonts w:ascii="Times New Roman" w:eastAsia="Times New Roman" w:hAnsi="Times New Roman" w:cs="Times New Roman"/>
          <w:bCs/>
          <w:lang w:eastAsia="pl-PL"/>
        </w:rPr>
        <w:t xml:space="preserve">.k. (proponowany nowy art. 258a) otrzymałby następujące brzmienie: </w:t>
      </w:r>
    </w:p>
    <w:p w14:paraId="032A1B69" w14:textId="1A23E121" w:rsidR="00E04541" w:rsidRPr="00853528" w:rsidRDefault="00E04541" w:rsidP="00CF7A7D">
      <w:pPr>
        <w:pStyle w:val="Akapitzlist"/>
        <w:autoSpaceDE w:val="0"/>
        <w:autoSpaceDN w:val="0"/>
        <w:adjustRightInd w:val="0"/>
        <w:spacing w:line="360" w:lineRule="auto"/>
        <w:ind w:firstLine="696"/>
        <w:jc w:val="both"/>
        <w:rPr>
          <w:rFonts w:ascii="Times New Roman" w:eastAsia="Times New Roman" w:hAnsi="Times New Roman" w:cs="Times New Roman"/>
          <w:b/>
          <w:i/>
          <w:iCs/>
          <w:lang w:eastAsia="pl-PL"/>
        </w:rPr>
      </w:pPr>
      <w:r w:rsidRPr="00853528">
        <w:rPr>
          <w:rFonts w:ascii="Times New Roman" w:eastAsia="Times New Roman" w:hAnsi="Times New Roman" w:cs="Times New Roman"/>
          <w:b/>
          <w:i/>
          <w:iCs/>
          <w:lang w:eastAsia="pl-PL"/>
        </w:rPr>
        <w:t>§ 1. Kto, w stosunku do wartości majątkowych pochodzących chociażby pośrednio z popełnienia czynu zabronionego przez inną osobę, podejmuje czynności mogące udaremnić lub utrudnić ich identyfikację lub odebranie przez uprawniony organ państwowy, podlega karze pozbawienia wolności od 6 miesięcy do lat 8.</w:t>
      </w:r>
    </w:p>
    <w:p w14:paraId="4E0FF427" w14:textId="2F4031AF" w:rsidR="00C951B3" w:rsidRPr="00853528" w:rsidRDefault="00E04541" w:rsidP="00C951B3">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 xml:space="preserve">Na koniec omawiania tego zagadnienia należy wskazać, że zgłoszone zalecenie nie znajduje podstawy formalnej w treści Rekomendacji 3 FATF (s. 38-39 </w:t>
      </w:r>
      <w:r w:rsidRPr="00853528">
        <w:rPr>
          <w:rFonts w:ascii="Times New Roman" w:hAnsi="Times New Roman" w:cs="Times New Roman"/>
          <w:i/>
          <w:iCs/>
        </w:rPr>
        <w:t>The FATF Recommendations</w:t>
      </w:r>
      <w:r w:rsidRPr="00853528">
        <w:rPr>
          <w:rFonts w:ascii="Times New Roman" w:hAnsi="Times New Roman" w:cs="Times New Roman"/>
        </w:rPr>
        <w:t xml:space="preserve">). Trudno na podstawie tej rekomendacji przyjąć, że przepis art. 299 § 1 </w:t>
      </w:r>
      <w:r w:rsidR="00DA4F39" w:rsidRPr="00853528">
        <w:rPr>
          <w:rFonts w:ascii="Times New Roman" w:hAnsi="Times New Roman" w:cs="Times New Roman"/>
        </w:rPr>
        <w:t>k</w:t>
      </w:r>
      <w:r w:rsidRPr="00853528">
        <w:rPr>
          <w:rFonts w:ascii="Times New Roman" w:hAnsi="Times New Roman" w:cs="Times New Roman"/>
        </w:rPr>
        <w:t>.k. zawiera sprzeczny z nią sposób popełnienia przestępstwa prania pieniędzy.</w:t>
      </w:r>
    </w:p>
    <w:p w14:paraId="6DCC3F88" w14:textId="4E27BD0C" w:rsidR="005839EF" w:rsidRPr="00853528" w:rsidRDefault="00E04541" w:rsidP="00C951B3">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u w:val="single"/>
        </w:rPr>
        <w:t>Po trzecie,</w:t>
      </w:r>
      <w:r w:rsidRPr="00853528">
        <w:rPr>
          <w:rFonts w:ascii="Times New Roman" w:hAnsi="Times New Roman" w:cs="Times New Roman"/>
        </w:rPr>
        <w:t xml:space="preserve"> </w:t>
      </w:r>
      <w:r w:rsidR="007A1B32" w:rsidRPr="00853528">
        <w:rPr>
          <w:rFonts w:ascii="Times New Roman" w:hAnsi="Times New Roman" w:cs="Times New Roman"/>
        </w:rPr>
        <w:t xml:space="preserve">w kontekście przepisu art. 299 § 1 </w:t>
      </w:r>
      <w:r w:rsidR="00DA4F39" w:rsidRPr="00853528">
        <w:rPr>
          <w:rFonts w:ascii="Times New Roman" w:hAnsi="Times New Roman" w:cs="Times New Roman"/>
        </w:rPr>
        <w:t>k</w:t>
      </w:r>
      <w:r w:rsidR="007A1B32" w:rsidRPr="00853528">
        <w:rPr>
          <w:rFonts w:ascii="Times New Roman" w:hAnsi="Times New Roman" w:cs="Times New Roman"/>
        </w:rPr>
        <w:t>.k. (przestępstwa prania pieniędzy)</w:t>
      </w:r>
      <w:r w:rsidR="00C951B3" w:rsidRPr="00853528">
        <w:rPr>
          <w:rFonts w:ascii="Times New Roman" w:hAnsi="Times New Roman" w:cs="Times New Roman"/>
        </w:rPr>
        <w:t xml:space="preserve"> formułuje się zarzut</w:t>
      </w:r>
      <w:r w:rsidR="005839EF" w:rsidRPr="00853528">
        <w:rPr>
          <w:rFonts w:ascii="Times New Roman" w:hAnsi="Times New Roman" w:cs="Times New Roman"/>
        </w:rPr>
        <w:t>, iż treść tego przepisu rodzi „wątpliwości dotyczące objęcia zakresem kryminalizacji korzyści wynikających bezpośrednio z czynu zabronionego”.</w:t>
      </w:r>
    </w:p>
    <w:p w14:paraId="1346E8F7" w14:textId="03B18D61" w:rsidR="00C951B3" w:rsidRPr="005538D6" w:rsidRDefault="00C951B3" w:rsidP="00C951B3">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 xml:space="preserve"> </w:t>
      </w:r>
      <w:r w:rsidR="005839EF" w:rsidRPr="00853528">
        <w:rPr>
          <w:rFonts w:ascii="Times New Roman" w:hAnsi="Times New Roman" w:cs="Times New Roman"/>
        </w:rPr>
        <w:t>Zarzut powyższy jest zupełnie bezzasadny w świetle treści przepisu a</w:t>
      </w:r>
      <w:r w:rsidRPr="00853528">
        <w:rPr>
          <w:rFonts w:ascii="Times New Roman" w:hAnsi="Times New Roman" w:cs="Times New Roman"/>
        </w:rPr>
        <w:t>rt. 45 § 1</w:t>
      </w:r>
      <w:r w:rsidR="00DD05C6" w:rsidRPr="00853528">
        <w:rPr>
          <w:rFonts w:ascii="Times New Roman" w:hAnsi="Times New Roman" w:cs="Times New Roman"/>
        </w:rPr>
        <w:t xml:space="preserve"> </w:t>
      </w:r>
      <w:r w:rsidR="00DA4F39" w:rsidRPr="00853528">
        <w:rPr>
          <w:rFonts w:ascii="Times New Roman" w:hAnsi="Times New Roman" w:cs="Times New Roman"/>
        </w:rPr>
        <w:t>k</w:t>
      </w:r>
      <w:r w:rsidR="00DD05C6" w:rsidRPr="00853528">
        <w:rPr>
          <w:rFonts w:ascii="Times New Roman" w:hAnsi="Times New Roman" w:cs="Times New Roman"/>
        </w:rPr>
        <w:t>.k.</w:t>
      </w:r>
      <w:r w:rsidR="005839EF" w:rsidRPr="00853528">
        <w:rPr>
          <w:rFonts w:ascii="Times New Roman" w:hAnsi="Times New Roman" w:cs="Times New Roman"/>
        </w:rPr>
        <w:t>, zgodnie z którym:</w:t>
      </w:r>
      <w:r w:rsidRPr="00853528">
        <w:rPr>
          <w:rFonts w:ascii="Times New Roman" w:hAnsi="Times New Roman" w:cs="Times New Roman"/>
        </w:rPr>
        <w:t xml:space="preserve"> </w:t>
      </w:r>
      <w:r w:rsidR="005839EF" w:rsidRPr="005538D6">
        <w:rPr>
          <w:rFonts w:ascii="Times New Roman" w:hAnsi="Times New Roman" w:cs="Times New Roman"/>
        </w:rPr>
        <w:t>j</w:t>
      </w:r>
      <w:r w:rsidRPr="005538D6">
        <w:rPr>
          <w:rFonts w:ascii="Times New Roman" w:hAnsi="Times New Roman" w:cs="Times New Roman"/>
        </w:rPr>
        <w:t xml:space="preserve">eżeli sprawca osiągnął z popełnienia przestępstwa, chociażby pośrednio, korzyść majątkową niepodlegającą przepadkowi przedmiotów wymienionych w art. 44 § 1 lub 6, sąd orzeka przepadek takiej korzyści albo jej równowartości. </w:t>
      </w:r>
      <w:r w:rsidR="005538D6">
        <w:rPr>
          <w:rFonts w:ascii="Times New Roman" w:hAnsi="Times New Roman" w:cs="Times New Roman"/>
        </w:rPr>
        <w:t>Wynika więc z niego, że określony w nim rodzaj przepadku odnosi się również do korzyści osiągniętych bezpośrednio z czynu zabronionego.</w:t>
      </w:r>
    </w:p>
    <w:p w14:paraId="065E99FD" w14:textId="35259005" w:rsidR="00E04541" w:rsidRPr="00853528" w:rsidRDefault="007A1B32" w:rsidP="00E04541">
      <w:pPr>
        <w:pStyle w:val="Akapitzlist"/>
        <w:numPr>
          <w:ilvl w:val="0"/>
          <w:numId w:val="4"/>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u w:val="single"/>
        </w:rPr>
        <w:t>Po czwarte,</w:t>
      </w:r>
      <w:r w:rsidRPr="00853528">
        <w:rPr>
          <w:rFonts w:ascii="Times New Roman" w:hAnsi="Times New Roman" w:cs="Times New Roman"/>
        </w:rPr>
        <w:t xml:space="preserve"> </w:t>
      </w:r>
      <w:r w:rsidR="00E04541" w:rsidRPr="00853528">
        <w:rPr>
          <w:rFonts w:ascii="Times New Roman" w:hAnsi="Times New Roman" w:cs="Times New Roman"/>
        </w:rPr>
        <w:t xml:space="preserve">w kontekście przepisu art. 299 § 1 </w:t>
      </w:r>
      <w:r w:rsidR="00DA4F39" w:rsidRPr="00853528">
        <w:rPr>
          <w:rFonts w:ascii="Times New Roman" w:hAnsi="Times New Roman" w:cs="Times New Roman"/>
        </w:rPr>
        <w:t>k</w:t>
      </w:r>
      <w:r w:rsidR="00E04541" w:rsidRPr="00853528">
        <w:rPr>
          <w:rFonts w:ascii="Times New Roman" w:hAnsi="Times New Roman" w:cs="Times New Roman"/>
        </w:rPr>
        <w:t>.k. (przestępstwa prania pi</w:t>
      </w:r>
      <w:r w:rsidR="00823957" w:rsidRPr="00853528">
        <w:rPr>
          <w:rFonts w:ascii="Times New Roman" w:hAnsi="Times New Roman" w:cs="Times New Roman"/>
        </w:rPr>
        <w:t>e</w:t>
      </w:r>
      <w:r w:rsidR="00E04541" w:rsidRPr="00853528">
        <w:rPr>
          <w:rFonts w:ascii="Times New Roman" w:hAnsi="Times New Roman" w:cs="Times New Roman"/>
        </w:rPr>
        <w:t>nię</w:t>
      </w:r>
      <w:r w:rsidR="00823957" w:rsidRPr="00853528">
        <w:rPr>
          <w:rFonts w:ascii="Times New Roman" w:hAnsi="Times New Roman" w:cs="Times New Roman"/>
        </w:rPr>
        <w:t>d</w:t>
      </w:r>
      <w:r w:rsidR="00E04541" w:rsidRPr="00853528">
        <w:rPr>
          <w:rFonts w:ascii="Times New Roman" w:hAnsi="Times New Roman" w:cs="Times New Roman"/>
        </w:rPr>
        <w:t>zy) formułuje się zarzut, że w obecnym stanie prawnym (ustawa z dnia 28 października 2002 r. o odpowiedzialności podmiotów zbiorowych za czyny zabronione pod groźbą kary), odnoszącym się do karania podmiotów zbiorowych</w:t>
      </w:r>
      <w:r w:rsidR="00823957" w:rsidRPr="00853528">
        <w:rPr>
          <w:rFonts w:ascii="Times New Roman" w:hAnsi="Times New Roman" w:cs="Times New Roman"/>
        </w:rPr>
        <w:t>,</w:t>
      </w:r>
      <w:r w:rsidR="00E04541" w:rsidRPr="00853528">
        <w:rPr>
          <w:rFonts w:ascii="Times New Roman" w:hAnsi="Times New Roman" w:cs="Times New Roman"/>
        </w:rPr>
        <w:t xml:space="preserve"> funkcjonują podstawy, które sprawiają, że: „</w:t>
      </w:r>
      <w:r w:rsidR="00823957" w:rsidRPr="00853528">
        <w:rPr>
          <w:rFonts w:ascii="Times New Roman" w:hAnsi="Times New Roman" w:cs="Times New Roman"/>
        </w:rPr>
        <w:t xml:space="preserve">Na mocy ww. ustawy nie można pociągnąć do odpowiedzialności osoby prawnej, jeśli osoba fizyczna (wskazana w art. 3 tejże ustawy) nie może zostać zidentyfikowana, nawet w przypadku istnienia wyraźnych dowodów wskazujących na zawinienie osoby prawnej.”. W istocie </w:t>
      </w:r>
      <w:r w:rsidR="005538D6">
        <w:rPr>
          <w:rFonts w:ascii="Times New Roman" w:hAnsi="Times New Roman" w:cs="Times New Roman"/>
        </w:rPr>
        <w:t xml:space="preserve">zarzut ten </w:t>
      </w:r>
      <w:r w:rsidR="00823957" w:rsidRPr="00853528">
        <w:rPr>
          <w:rFonts w:ascii="Times New Roman" w:hAnsi="Times New Roman" w:cs="Times New Roman"/>
        </w:rPr>
        <w:t xml:space="preserve">sprowadza się do tradycyjnego już pod adresem RP ze strony </w:t>
      </w:r>
      <w:r w:rsidR="00C951B3" w:rsidRPr="00853528">
        <w:rPr>
          <w:rFonts w:ascii="Times New Roman" w:hAnsi="Times New Roman" w:cs="Times New Roman"/>
        </w:rPr>
        <w:t xml:space="preserve">różnych </w:t>
      </w:r>
      <w:r w:rsidR="00823957" w:rsidRPr="00853528">
        <w:rPr>
          <w:rFonts w:ascii="Times New Roman" w:hAnsi="Times New Roman" w:cs="Times New Roman"/>
        </w:rPr>
        <w:t xml:space="preserve">organizacji międzynarodowych, generalnego </w:t>
      </w:r>
      <w:r w:rsidR="00823957" w:rsidRPr="00853528">
        <w:rPr>
          <w:rFonts w:ascii="Times New Roman" w:hAnsi="Times New Roman" w:cs="Times New Roman"/>
        </w:rPr>
        <w:lastRenderedPageBreak/>
        <w:t>zarzutu, że polski model odpowiedzialności penalnej podmiotów zbiorowych (zwłaszcza w realiach praktyki organów ścigania i wymiaru sprawiedliwości) jest zupełnie dysfunkcjonalny.</w:t>
      </w:r>
    </w:p>
    <w:p w14:paraId="35CB3266" w14:textId="0948D2AC" w:rsidR="00CF7A7D" w:rsidRPr="00853528" w:rsidRDefault="00CF7A7D" w:rsidP="00CF7A7D">
      <w:pPr>
        <w:pStyle w:val="Akapitzlist"/>
        <w:numPr>
          <w:ilvl w:val="0"/>
          <w:numId w:val="4"/>
        </w:numPr>
        <w:spacing w:line="360" w:lineRule="auto"/>
        <w:jc w:val="both"/>
        <w:rPr>
          <w:rFonts w:ascii="Times New Roman" w:hAnsi="Times New Roman" w:cs="Times New Roman"/>
        </w:rPr>
      </w:pPr>
      <w:r w:rsidRPr="00853528">
        <w:rPr>
          <w:rFonts w:ascii="Times New Roman" w:hAnsi="Times New Roman" w:cs="Times New Roman"/>
        </w:rPr>
        <w:t xml:space="preserve">Należy </w:t>
      </w:r>
      <w:r w:rsidR="005538D6">
        <w:rPr>
          <w:rFonts w:ascii="Times New Roman" w:hAnsi="Times New Roman" w:cs="Times New Roman"/>
        </w:rPr>
        <w:t xml:space="preserve">w pierwszej kolejności </w:t>
      </w:r>
      <w:r w:rsidRPr="00853528">
        <w:rPr>
          <w:rFonts w:ascii="Times New Roman" w:hAnsi="Times New Roman" w:cs="Times New Roman"/>
        </w:rPr>
        <w:t xml:space="preserve">wskazać, że zgłoszone zalecenie nie znajduje podstawy formalnej w treści Rekomendacji 3 FATF (s. 38-39 </w:t>
      </w:r>
      <w:r w:rsidRPr="00853528">
        <w:rPr>
          <w:rFonts w:ascii="Times New Roman" w:hAnsi="Times New Roman" w:cs="Times New Roman"/>
          <w:i/>
          <w:iCs/>
        </w:rPr>
        <w:t>The FATF Recommendations</w:t>
      </w:r>
      <w:r w:rsidRPr="00853528">
        <w:rPr>
          <w:rFonts w:ascii="Times New Roman" w:hAnsi="Times New Roman" w:cs="Times New Roman"/>
        </w:rPr>
        <w:t xml:space="preserve">). Trudno na podstawie tej rekomendacji sformułować ww. zarzut nie tylko pod adresem art. 299 § 1 </w:t>
      </w:r>
      <w:r w:rsidR="00DA4F39" w:rsidRPr="00853528">
        <w:rPr>
          <w:rFonts w:ascii="Times New Roman" w:hAnsi="Times New Roman" w:cs="Times New Roman"/>
        </w:rPr>
        <w:t>k</w:t>
      </w:r>
      <w:r w:rsidRPr="00853528">
        <w:rPr>
          <w:rFonts w:ascii="Times New Roman" w:hAnsi="Times New Roman" w:cs="Times New Roman"/>
        </w:rPr>
        <w:t>.k., ale również ustawy o odpowiedzialności podmiotów zbiorowych za czyny zabronione pod groźb</w:t>
      </w:r>
      <w:r w:rsidR="00DA4F39" w:rsidRPr="00853528">
        <w:rPr>
          <w:rFonts w:ascii="Times New Roman" w:hAnsi="Times New Roman" w:cs="Times New Roman"/>
        </w:rPr>
        <w:t>ą</w:t>
      </w:r>
      <w:r w:rsidRPr="00853528">
        <w:rPr>
          <w:rFonts w:ascii="Times New Roman" w:hAnsi="Times New Roman" w:cs="Times New Roman"/>
        </w:rPr>
        <w:t xml:space="preserve"> kary.</w:t>
      </w:r>
    </w:p>
    <w:p w14:paraId="423FDD9C" w14:textId="1F17898C" w:rsidR="00B86DF5" w:rsidRPr="00853528" w:rsidRDefault="00CF7A7D" w:rsidP="00E04541">
      <w:pPr>
        <w:pStyle w:val="Akapitzlist"/>
        <w:numPr>
          <w:ilvl w:val="0"/>
          <w:numId w:val="4"/>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rPr>
        <w:t>N</w:t>
      </w:r>
      <w:r w:rsidR="00823957" w:rsidRPr="00853528">
        <w:rPr>
          <w:rFonts w:ascii="Times New Roman" w:hAnsi="Times New Roman" w:cs="Times New Roman"/>
        </w:rPr>
        <w:t xml:space="preserve">ależy </w:t>
      </w:r>
      <w:r w:rsidRPr="00853528">
        <w:rPr>
          <w:rFonts w:ascii="Times New Roman" w:hAnsi="Times New Roman" w:cs="Times New Roman"/>
        </w:rPr>
        <w:t xml:space="preserve">jednak </w:t>
      </w:r>
      <w:r w:rsidR="005538D6">
        <w:rPr>
          <w:rFonts w:ascii="Times New Roman" w:hAnsi="Times New Roman" w:cs="Times New Roman"/>
        </w:rPr>
        <w:t xml:space="preserve">ponadto </w:t>
      </w:r>
      <w:r w:rsidR="00823957" w:rsidRPr="00853528">
        <w:rPr>
          <w:rFonts w:ascii="Times New Roman" w:hAnsi="Times New Roman" w:cs="Times New Roman"/>
        </w:rPr>
        <w:t xml:space="preserve">stwierdzić, że </w:t>
      </w:r>
      <w:r w:rsidRPr="00853528">
        <w:rPr>
          <w:rFonts w:ascii="Times New Roman" w:hAnsi="Times New Roman" w:cs="Times New Roman"/>
        </w:rPr>
        <w:t xml:space="preserve">z merytorycznego punktu widzenia </w:t>
      </w:r>
      <w:r w:rsidR="00823957" w:rsidRPr="00853528">
        <w:rPr>
          <w:rFonts w:ascii="Times New Roman" w:hAnsi="Times New Roman" w:cs="Times New Roman"/>
        </w:rPr>
        <w:t>jest to zarzut</w:t>
      </w:r>
      <w:r w:rsidR="00B86DF5" w:rsidRPr="00853528">
        <w:rPr>
          <w:rFonts w:ascii="Times New Roman" w:hAnsi="Times New Roman" w:cs="Times New Roman"/>
        </w:rPr>
        <w:t xml:space="preserve">, który </w:t>
      </w:r>
      <w:r w:rsidR="000048E7">
        <w:rPr>
          <w:rFonts w:ascii="Times New Roman" w:hAnsi="Times New Roman" w:cs="Times New Roman"/>
        </w:rPr>
        <w:t xml:space="preserve">– ujmowany generalnie - </w:t>
      </w:r>
      <w:r w:rsidR="00B86DF5" w:rsidRPr="00853528">
        <w:rPr>
          <w:rFonts w:ascii="Times New Roman" w:hAnsi="Times New Roman" w:cs="Times New Roman"/>
        </w:rPr>
        <w:t xml:space="preserve">zasługuje na </w:t>
      </w:r>
      <w:r w:rsidR="008F042D" w:rsidRPr="00853528">
        <w:rPr>
          <w:rFonts w:ascii="Times New Roman" w:hAnsi="Times New Roman" w:cs="Times New Roman"/>
        </w:rPr>
        <w:t xml:space="preserve">pozytywną </w:t>
      </w:r>
      <w:r w:rsidR="00B86DF5" w:rsidRPr="00853528">
        <w:rPr>
          <w:rFonts w:ascii="Times New Roman" w:hAnsi="Times New Roman" w:cs="Times New Roman"/>
        </w:rPr>
        <w:t xml:space="preserve">uwagę. </w:t>
      </w:r>
      <w:r w:rsidR="000048E7">
        <w:rPr>
          <w:rFonts w:ascii="Times New Roman" w:hAnsi="Times New Roman" w:cs="Times New Roman"/>
        </w:rPr>
        <w:t>N</w:t>
      </w:r>
      <w:r w:rsidR="00B86DF5" w:rsidRPr="00853528">
        <w:rPr>
          <w:rFonts w:ascii="Times New Roman" w:hAnsi="Times New Roman" w:cs="Times New Roman"/>
        </w:rPr>
        <w:t xml:space="preserve">ależy tutaj poczynić następujące </w:t>
      </w:r>
      <w:r w:rsidR="000048E7">
        <w:rPr>
          <w:rFonts w:ascii="Times New Roman" w:hAnsi="Times New Roman" w:cs="Times New Roman"/>
        </w:rPr>
        <w:t>spo</w:t>
      </w:r>
      <w:r w:rsidR="00B86DF5" w:rsidRPr="00853528">
        <w:rPr>
          <w:rFonts w:ascii="Times New Roman" w:hAnsi="Times New Roman" w:cs="Times New Roman"/>
        </w:rPr>
        <w:t>strzeżenia:</w:t>
      </w:r>
    </w:p>
    <w:p w14:paraId="357A3DB9" w14:textId="27801660" w:rsidR="00B86DF5" w:rsidRPr="00853528" w:rsidRDefault="00B86DF5" w:rsidP="00B86DF5">
      <w:pPr>
        <w:pStyle w:val="Akapitzlist"/>
        <w:numPr>
          <w:ilvl w:val="0"/>
          <w:numId w:val="8"/>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rPr>
        <w:t>Na podstawie funkcjonującego w Polsce systemu prawnego obiektywnie niemożliwa jest sytuacja wskazana w z</w:t>
      </w:r>
      <w:r w:rsidR="00DA4F39" w:rsidRPr="00853528">
        <w:rPr>
          <w:rFonts w:ascii="Times New Roman" w:hAnsi="Times New Roman" w:cs="Times New Roman"/>
        </w:rPr>
        <w:t>a</w:t>
      </w:r>
      <w:r w:rsidRPr="00853528">
        <w:rPr>
          <w:rFonts w:ascii="Times New Roman" w:hAnsi="Times New Roman" w:cs="Times New Roman"/>
        </w:rPr>
        <w:t>rzucie, że zgroma</w:t>
      </w:r>
      <w:r w:rsidR="007B75B9" w:rsidRPr="00853528">
        <w:rPr>
          <w:rFonts w:ascii="Times New Roman" w:hAnsi="Times New Roman" w:cs="Times New Roman"/>
        </w:rPr>
        <w:t>d</w:t>
      </w:r>
      <w:r w:rsidRPr="00853528">
        <w:rPr>
          <w:rFonts w:ascii="Times New Roman" w:hAnsi="Times New Roman" w:cs="Times New Roman"/>
        </w:rPr>
        <w:t xml:space="preserve">zono dowody na </w:t>
      </w:r>
      <w:r w:rsidR="00A37945" w:rsidRPr="00853528">
        <w:rPr>
          <w:rFonts w:ascii="Times New Roman" w:hAnsi="Times New Roman" w:cs="Times New Roman"/>
        </w:rPr>
        <w:t>odpowiedzialność</w:t>
      </w:r>
      <w:r w:rsidRPr="00853528">
        <w:rPr>
          <w:rFonts w:ascii="Times New Roman" w:hAnsi="Times New Roman" w:cs="Times New Roman"/>
        </w:rPr>
        <w:t xml:space="preserve"> podmiotu zbiorowego, a nie ustalono odpowiedzialnej osoby fizycznej. W praktyce zazwyczaj jest odwrotnie.</w:t>
      </w:r>
      <w:r w:rsidR="007B75B9" w:rsidRPr="00853528">
        <w:rPr>
          <w:rFonts w:ascii="Times New Roman" w:hAnsi="Times New Roman" w:cs="Times New Roman"/>
        </w:rPr>
        <w:t xml:space="preserve"> </w:t>
      </w:r>
      <w:r w:rsidRPr="00853528">
        <w:rPr>
          <w:rFonts w:ascii="Times New Roman" w:hAnsi="Times New Roman" w:cs="Times New Roman"/>
        </w:rPr>
        <w:t>Jednak istotne jest to, że w obecnym modelu procesowym nie jest zasadniczo możliwe zgromadzenie dowodów winy podmiotu zbiorowego przed zidentyfikowaniem jego reprezentanta. Abstrahując już od tego, że odpowiedzialność podmiotu zbiorowe</w:t>
      </w:r>
      <w:r w:rsidR="007B75B9" w:rsidRPr="00853528">
        <w:rPr>
          <w:rFonts w:ascii="Times New Roman" w:hAnsi="Times New Roman" w:cs="Times New Roman"/>
        </w:rPr>
        <w:t>g</w:t>
      </w:r>
      <w:r w:rsidRPr="00853528">
        <w:rPr>
          <w:rFonts w:ascii="Times New Roman" w:hAnsi="Times New Roman" w:cs="Times New Roman"/>
        </w:rPr>
        <w:t>o nie je</w:t>
      </w:r>
      <w:r w:rsidR="007B75B9" w:rsidRPr="00853528">
        <w:rPr>
          <w:rFonts w:ascii="Times New Roman" w:hAnsi="Times New Roman" w:cs="Times New Roman"/>
        </w:rPr>
        <w:t>s</w:t>
      </w:r>
      <w:r w:rsidRPr="00853528">
        <w:rPr>
          <w:rFonts w:ascii="Times New Roman" w:hAnsi="Times New Roman" w:cs="Times New Roman"/>
        </w:rPr>
        <w:t>t oparta na przesła</w:t>
      </w:r>
      <w:r w:rsidR="007B75B9" w:rsidRPr="00853528">
        <w:rPr>
          <w:rFonts w:ascii="Times New Roman" w:hAnsi="Times New Roman" w:cs="Times New Roman"/>
        </w:rPr>
        <w:t>n</w:t>
      </w:r>
      <w:r w:rsidRPr="00853528">
        <w:rPr>
          <w:rFonts w:ascii="Times New Roman" w:hAnsi="Times New Roman" w:cs="Times New Roman"/>
        </w:rPr>
        <w:t xml:space="preserve">ce </w:t>
      </w:r>
      <w:r w:rsidR="007B75B9" w:rsidRPr="00853528">
        <w:rPr>
          <w:rFonts w:ascii="Times New Roman" w:hAnsi="Times New Roman" w:cs="Times New Roman"/>
        </w:rPr>
        <w:t xml:space="preserve">(zasadzie) </w:t>
      </w:r>
      <w:r w:rsidRPr="00853528">
        <w:rPr>
          <w:rFonts w:ascii="Times New Roman" w:hAnsi="Times New Roman" w:cs="Times New Roman"/>
        </w:rPr>
        <w:t>winy</w:t>
      </w:r>
      <w:r w:rsidR="007B75B9" w:rsidRPr="00853528">
        <w:rPr>
          <w:rFonts w:ascii="Times New Roman" w:hAnsi="Times New Roman" w:cs="Times New Roman"/>
        </w:rPr>
        <w:t xml:space="preserve"> (</w:t>
      </w:r>
      <w:r w:rsidRPr="00853528">
        <w:rPr>
          <w:rFonts w:ascii="Times New Roman" w:hAnsi="Times New Roman" w:cs="Times New Roman"/>
        </w:rPr>
        <w:t>więc nigdy jej się nie ustala</w:t>
      </w:r>
      <w:r w:rsidR="007B75B9" w:rsidRPr="00853528">
        <w:rPr>
          <w:rFonts w:ascii="Times New Roman" w:hAnsi="Times New Roman" w:cs="Times New Roman"/>
        </w:rPr>
        <w:t>)</w:t>
      </w:r>
      <w:r w:rsidRPr="00853528">
        <w:rPr>
          <w:rFonts w:ascii="Times New Roman" w:hAnsi="Times New Roman" w:cs="Times New Roman"/>
        </w:rPr>
        <w:t>, to jednak obecny model wymaga najpierw ustalenia osoby fizycznej, aby następnie można było pociągnąć do odpowiedzialności penalnej podmiot zbiorowy.</w:t>
      </w:r>
    </w:p>
    <w:p w14:paraId="7DE939FA" w14:textId="5AEB3D03" w:rsidR="00B86DF5" w:rsidRPr="00853528" w:rsidRDefault="00B86DF5" w:rsidP="00B86DF5">
      <w:pPr>
        <w:pStyle w:val="Akapitzlist"/>
        <w:numPr>
          <w:ilvl w:val="0"/>
          <w:numId w:val="8"/>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rPr>
        <w:t>Rozpatrywany zarzut zdaje się opierać na dosyć tradycyjnym w tym zakresie przekonaniu, że właściwym rozwiązaniem powinna być niezależna od odpowiedzialności reprezentanta – bezpośrednia odpowiedzialnoś</w:t>
      </w:r>
      <w:r w:rsidR="007B75B9" w:rsidRPr="00853528">
        <w:rPr>
          <w:rFonts w:ascii="Times New Roman" w:hAnsi="Times New Roman" w:cs="Times New Roman"/>
        </w:rPr>
        <w:t>ć</w:t>
      </w:r>
      <w:r w:rsidRPr="00853528">
        <w:rPr>
          <w:rFonts w:ascii="Times New Roman" w:hAnsi="Times New Roman" w:cs="Times New Roman"/>
        </w:rPr>
        <w:t xml:space="preserve"> karna podmiotu zbiorowego. </w:t>
      </w:r>
      <w:r w:rsidR="007B75B9" w:rsidRPr="00853528">
        <w:rPr>
          <w:rFonts w:ascii="Times New Roman" w:hAnsi="Times New Roman" w:cs="Times New Roman"/>
        </w:rPr>
        <w:t>Tymczasem byłoby to rozwiązanie zupełnie obce rodzimej tradycji i kulturze prawniczej, przez co – w praktyce – rodziłoby zbyt duże komplikacje.</w:t>
      </w:r>
    </w:p>
    <w:p w14:paraId="77FBB8F2" w14:textId="68C7D0D8" w:rsidR="00B86DF5" w:rsidRPr="00853528" w:rsidRDefault="00B86DF5" w:rsidP="00B86DF5">
      <w:pPr>
        <w:pStyle w:val="Akapitzlist"/>
        <w:numPr>
          <w:ilvl w:val="0"/>
          <w:numId w:val="8"/>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Żaden model odpowiedzialności o charakterze penalnym podmiotu zbiorowego w obecny</w:t>
      </w:r>
      <w:r w:rsidR="005538D6">
        <w:rPr>
          <w:rFonts w:ascii="Times New Roman" w:eastAsia="Times New Roman" w:hAnsi="Times New Roman" w:cs="Times New Roman"/>
          <w:lang w:eastAsia="pl-PL"/>
        </w:rPr>
        <w:t>ch</w:t>
      </w:r>
      <w:r w:rsidRPr="00853528">
        <w:rPr>
          <w:rFonts w:ascii="Times New Roman" w:eastAsia="Times New Roman" w:hAnsi="Times New Roman" w:cs="Times New Roman"/>
          <w:lang w:eastAsia="pl-PL"/>
        </w:rPr>
        <w:t xml:space="preserve"> warunkach praktyki procesu karnego nie może być funkcjonalny i efektywny.</w:t>
      </w:r>
    </w:p>
    <w:p w14:paraId="2DAF3637" w14:textId="4601962A" w:rsidR="007B75B9" w:rsidRPr="00853528" w:rsidRDefault="007B75B9" w:rsidP="007B75B9">
      <w:pPr>
        <w:pStyle w:val="Akapitzlist"/>
        <w:numPr>
          <w:ilvl w:val="0"/>
          <w:numId w:val="8"/>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Powyższy zarzut jest godny rozważ</w:t>
      </w:r>
      <w:r w:rsidR="005538D6">
        <w:rPr>
          <w:rFonts w:ascii="Times New Roman" w:eastAsia="Times New Roman" w:hAnsi="Times New Roman" w:cs="Times New Roman"/>
          <w:lang w:eastAsia="pl-PL"/>
        </w:rPr>
        <w:t>e</w:t>
      </w:r>
      <w:r w:rsidRPr="00853528">
        <w:rPr>
          <w:rFonts w:ascii="Times New Roman" w:eastAsia="Times New Roman" w:hAnsi="Times New Roman" w:cs="Times New Roman"/>
          <w:lang w:eastAsia="pl-PL"/>
        </w:rPr>
        <w:t>ni</w:t>
      </w:r>
      <w:r w:rsidR="00DA4F39" w:rsidRPr="00853528">
        <w:rPr>
          <w:rFonts w:ascii="Times New Roman" w:eastAsia="Times New Roman" w:hAnsi="Times New Roman" w:cs="Times New Roman"/>
          <w:lang w:eastAsia="pl-PL"/>
        </w:rPr>
        <w:t>a</w:t>
      </w:r>
      <w:r w:rsidRPr="00853528">
        <w:rPr>
          <w:rFonts w:ascii="Times New Roman" w:eastAsia="Times New Roman" w:hAnsi="Times New Roman" w:cs="Times New Roman"/>
          <w:lang w:eastAsia="pl-PL"/>
        </w:rPr>
        <w:t xml:space="preserve"> z tego względu, że konieczne jest wprowadzenie nowego modelu odpowiedzialności penalnej podmiotu zbiorowego. Wy</w:t>
      </w:r>
      <w:r w:rsidRPr="00853528">
        <w:rPr>
          <w:rFonts w:ascii="Times New Roman" w:hAnsi="Times New Roman" w:cs="Times New Roman"/>
        </w:rPr>
        <w:t xml:space="preserve">daje się, że właściwy byłby tutaj model odpowiedzialności karnej, ale pośredniej podmiotu zbiorowego, połączony z bezpośrednią odpowiedzialnością karną jego reprezentanta. Jednocześnie model taki, dla swojej funkcjonalności, musiałby </w:t>
      </w:r>
      <w:r w:rsidRPr="00853528">
        <w:rPr>
          <w:rFonts w:ascii="Times New Roman" w:hAnsi="Times New Roman" w:cs="Times New Roman"/>
        </w:rPr>
        <w:lastRenderedPageBreak/>
        <w:t xml:space="preserve">opierać się na zupełnie innych założeniach (zasadach) niż model obecny. Właściwym rozwiązaniem mogłaby być tutaj na przykład odpowiedzialność </w:t>
      </w:r>
      <w:r w:rsidR="00791D2C" w:rsidRPr="00853528">
        <w:rPr>
          <w:rFonts w:ascii="Times New Roman" w:hAnsi="Times New Roman" w:cs="Times New Roman"/>
        </w:rPr>
        <w:t xml:space="preserve">karna </w:t>
      </w:r>
      <w:r w:rsidRPr="00853528">
        <w:rPr>
          <w:rFonts w:ascii="Times New Roman" w:hAnsi="Times New Roman" w:cs="Times New Roman"/>
        </w:rPr>
        <w:t>podmiotu zbiorowego</w:t>
      </w:r>
      <w:r w:rsidR="005538D6">
        <w:rPr>
          <w:rFonts w:ascii="Times New Roman" w:hAnsi="Times New Roman" w:cs="Times New Roman"/>
        </w:rPr>
        <w:t xml:space="preserve"> o charakterze równoległym (posiłkowym)</w:t>
      </w:r>
      <w:r w:rsidRPr="00853528">
        <w:rPr>
          <w:rFonts w:ascii="Times New Roman" w:hAnsi="Times New Roman" w:cs="Times New Roman"/>
        </w:rPr>
        <w:t>, stosowana łącznie (obligatoryjnie) do odpowiedzialności karnej sprawcy-reprezentanta. Wymagałoby to wprowadzenia ogólnej klauzuli odpowiedzialności karnej reprezentanta podmiotu zbiorowego</w:t>
      </w:r>
      <w:r w:rsidR="00791D2C" w:rsidRPr="00853528">
        <w:rPr>
          <w:rFonts w:ascii="Times New Roman" w:hAnsi="Times New Roman" w:cs="Times New Roman"/>
        </w:rPr>
        <w:t>, jak również określenia podstaw stosowania równoległych dolegliwości karnoprawnych wobec podmiotu zbiorowego</w:t>
      </w:r>
      <w:r w:rsidRPr="00853528">
        <w:rPr>
          <w:rFonts w:ascii="Times New Roman" w:hAnsi="Times New Roman" w:cs="Times New Roman"/>
        </w:rPr>
        <w:t>.</w:t>
      </w:r>
    </w:p>
    <w:p w14:paraId="2779D2FF" w14:textId="2B13B262" w:rsidR="00823957" w:rsidRPr="00853528" w:rsidRDefault="007B75B9" w:rsidP="007B75B9">
      <w:pPr>
        <w:pStyle w:val="Akapitzlist"/>
        <w:numPr>
          <w:ilvl w:val="0"/>
          <w:numId w:val="4"/>
        </w:numPr>
        <w:spacing w:line="360" w:lineRule="auto"/>
        <w:jc w:val="both"/>
        <w:rPr>
          <w:rFonts w:ascii="Times New Roman" w:eastAsia="Times New Roman" w:hAnsi="Times New Roman" w:cs="Times New Roman"/>
          <w:lang w:eastAsia="pl-PL"/>
        </w:rPr>
      </w:pPr>
      <w:r w:rsidRPr="00853528">
        <w:rPr>
          <w:rFonts w:ascii="Times New Roman" w:hAnsi="Times New Roman" w:cs="Times New Roman"/>
        </w:rPr>
        <w:t>Na koniec należy wskazać, że</w:t>
      </w:r>
      <w:r w:rsidR="00823957" w:rsidRPr="00853528">
        <w:rPr>
          <w:rFonts w:ascii="Times New Roman" w:hAnsi="Times New Roman" w:cs="Times New Roman"/>
        </w:rPr>
        <w:t xml:space="preserve"> </w:t>
      </w:r>
      <w:r w:rsidRPr="00853528">
        <w:rPr>
          <w:rFonts w:ascii="Times New Roman" w:hAnsi="Times New Roman" w:cs="Times New Roman"/>
        </w:rPr>
        <w:t>p</w:t>
      </w:r>
      <w:r w:rsidR="00823957" w:rsidRPr="00853528">
        <w:rPr>
          <w:rFonts w:ascii="Times New Roman" w:hAnsi="Times New Roman" w:cs="Times New Roman"/>
        </w:rPr>
        <w:t>olski rząd już od ponad 20 lat próbuje bezskutecznie naprawić ten stan rzeczy, a jego kolejne projekty nie tylko nie są udane z prawnego punktu widzenia, lecz nie były nawet przedmiotem zaawansowanych prac legislacyjnych. Dodać należy, że wskazany problem powinien być priorytetowym projektem legislacyjnym dla Ministerstwa Sprawiedliwości.</w:t>
      </w:r>
    </w:p>
    <w:p w14:paraId="6BD8B9E1" w14:textId="77777777" w:rsidR="00AC64B7" w:rsidRPr="00853528" w:rsidRDefault="00AC64B7" w:rsidP="00F937F5">
      <w:pPr>
        <w:spacing w:line="360" w:lineRule="auto"/>
        <w:jc w:val="both"/>
        <w:rPr>
          <w:rFonts w:ascii="Times New Roman" w:hAnsi="Times New Roman" w:cs="Times New Roman"/>
        </w:rPr>
      </w:pPr>
    </w:p>
    <w:p w14:paraId="66DAE4D9" w14:textId="067A15FD" w:rsidR="00331603" w:rsidRPr="00853528" w:rsidRDefault="00331603" w:rsidP="002E754D">
      <w:pPr>
        <w:pStyle w:val="Akapitzlist"/>
        <w:numPr>
          <w:ilvl w:val="0"/>
          <w:numId w:val="15"/>
        </w:numPr>
        <w:spacing w:line="360" w:lineRule="auto"/>
        <w:jc w:val="both"/>
        <w:rPr>
          <w:rFonts w:ascii="Times New Roman" w:hAnsi="Times New Roman" w:cs="Times New Roman"/>
          <w:b/>
          <w:bCs/>
        </w:rPr>
      </w:pPr>
      <w:r w:rsidRPr="00853528">
        <w:rPr>
          <w:rFonts w:ascii="Times New Roman" w:hAnsi="Times New Roman" w:cs="Times New Roman"/>
          <w:b/>
          <w:bCs/>
        </w:rPr>
        <w:t xml:space="preserve">Odnośnie do zalecenia nr 2, opartego na Rekomendacji </w:t>
      </w:r>
      <w:r w:rsidR="00D53EF0" w:rsidRPr="00853528">
        <w:rPr>
          <w:rFonts w:ascii="Times New Roman" w:hAnsi="Times New Roman" w:cs="Times New Roman"/>
          <w:b/>
          <w:bCs/>
        </w:rPr>
        <w:t>4</w:t>
      </w:r>
      <w:r w:rsidRPr="00853528">
        <w:rPr>
          <w:rFonts w:ascii="Times New Roman" w:hAnsi="Times New Roman" w:cs="Times New Roman"/>
          <w:b/>
          <w:bCs/>
        </w:rPr>
        <w:t xml:space="preserve"> FATF, należy wskazać, co następuje:</w:t>
      </w:r>
    </w:p>
    <w:p w14:paraId="475634D6" w14:textId="46C641F3" w:rsidR="005A2041" w:rsidRPr="00853528" w:rsidRDefault="00826FB3"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u w:val="single"/>
        </w:rPr>
        <w:t>Po pierwsze</w:t>
      </w:r>
      <w:r w:rsidRPr="00853528">
        <w:rPr>
          <w:rFonts w:ascii="Times New Roman" w:hAnsi="Times New Roman" w:cs="Times New Roman"/>
        </w:rPr>
        <w:t xml:space="preserve">, w odniesieniu do przepisu art. 165a </w:t>
      </w:r>
      <w:r w:rsidR="00DA4F39" w:rsidRPr="00853528">
        <w:rPr>
          <w:rFonts w:ascii="Times New Roman" w:hAnsi="Times New Roman" w:cs="Times New Roman"/>
        </w:rPr>
        <w:t>k</w:t>
      </w:r>
      <w:r w:rsidRPr="00853528">
        <w:rPr>
          <w:rFonts w:ascii="Times New Roman" w:hAnsi="Times New Roman" w:cs="Times New Roman"/>
        </w:rPr>
        <w:t>.k. (przestępstwa finansowania terroryzmu) formułuje się zarzut, że konfiskata narzędzi wykorzystywanych do popełnienia tego przestępstwa „ma charakter wyłącznie uznaniowy”.</w:t>
      </w:r>
    </w:p>
    <w:p w14:paraId="217B4936" w14:textId="0E912B79" w:rsidR="00BF0248" w:rsidRPr="00FE50B8" w:rsidRDefault="005A2041"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 xml:space="preserve">Wobec powyższego należy wskazać, że powyższe twierdzenie zasadniczo </w:t>
      </w:r>
      <w:r w:rsidR="00BF0248">
        <w:rPr>
          <w:rFonts w:ascii="Times New Roman" w:hAnsi="Times New Roman" w:cs="Times New Roman"/>
        </w:rPr>
        <w:t xml:space="preserve">nie </w:t>
      </w:r>
      <w:r w:rsidRPr="00853528">
        <w:rPr>
          <w:rFonts w:ascii="Times New Roman" w:hAnsi="Times New Roman" w:cs="Times New Roman"/>
        </w:rPr>
        <w:t xml:space="preserve">jest trafne. Zgodnie bowiem z art. 44 § 2 </w:t>
      </w:r>
      <w:r w:rsidR="00DA4F39" w:rsidRPr="00853528">
        <w:rPr>
          <w:rFonts w:ascii="Times New Roman" w:hAnsi="Times New Roman" w:cs="Times New Roman"/>
        </w:rPr>
        <w:t>k</w:t>
      </w:r>
      <w:r w:rsidRPr="00853528">
        <w:rPr>
          <w:rFonts w:ascii="Times New Roman" w:hAnsi="Times New Roman" w:cs="Times New Roman"/>
        </w:rPr>
        <w:t xml:space="preserve">.k., sąd może orzec, a w wypadkach wskazanych w ustawie orzeka, przepadek przedmiotów, które służyły lub były przeznaczone do popełnienia przestępstwa. </w:t>
      </w:r>
      <w:r w:rsidR="00BF0248">
        <w:rPr>
          <w:rFonts w:ascii="Times New Roman" w:hAnsi="Times New Roman" w:cs="Times New Roman"/>
        </w:rPr>
        <w:t xml:space="preserve">Wskazaną kompetencję sądu orzekającego w konkretnej sprawie trudno skwitować jako „wyłącznie uznaniową”. Niewątpliwie bowiem sąd w praktyce orzeknie taki przypadek, jeżeli będzie to konieczne w szczególnych </w:t>
      </w:r>
      <w:r w:rsidR="00BF0248" w:rsidRPr="00FE50B8">
        <w:rPr>
          <w:rFonts w:ascii="Times New Roman" w:hAnsi="Times New Roman" w:cs="Times New Roman"/>
        </w:rPr>
        <w:t>okolicznościach danej sprawy.</w:t>
      </w:r>
    </w:p>
    <w:p w14:paraId="3AF074C3" w14:textId="57488CBD" w:rsidR="00BF0248" w:rsidRPr="00FE50B8" w:rsidRDefault="00BF0248" w:rsidP="00FE50B8">
      <w:pPr>
        <w:pStyle w:val="Akapitzlist"/>
        <w:numPr>
          <w:ilvl w:val="0"/>
          <w:numId w:val="7"/>
        </w:numPr>
        <w:spacing w:line="360" w:lineRule="auto"/>
        <w:jc w:val="both"/>
        <w:rPr>
          <w:rFonts w:ascii="Times New Roman" w:hAnsi="Times New Roman" w:cs="Times New Roman"/>
        </w:rPr>
      </w:pPr>
      <w:r w:rsidRPr="00FE50B8">
        <w:rPr>
          <w:rFonts w:ascii="Times New Roman" w:hAnsi="Times New Roman" w:cs="Times New Roman"/>
        </w:rPr>
        <w:t xml:space="preserve">Wskazana uzasadniona fakultatywność omawianego przepadku nie zmienia jednak faktu, że </w:t>
      </w:r>
      <w:r w:rsidR="00FE50B8" w:rsidRPr="00FE50B8">
        <w:rPr>
          <w:rFonts w:ascii="Times New Roman" w:hAnsi="Times New Roman" w:cs="Times New Roman"/>
        </w:rPr>
        <w:t xml:space="preserve">w świetle art. 44 § 7, jeżeli przedmioty wymienione w § 2 lub 6 nie stanowią własności sprawcy, ich przepadek można orzec tylko w wypadkach przewidzianych w ustawie. Zatem, na gruncie art. 165a K.k. możliwość taka jest wyłączona. Konieczne jest więc tutaj zastosowanie odpowiedniej klauzuli szczególnej. </w:t>
      </w:r>
    </w:p>
    <w:p w14:paraId="34047F21" w14:textId="7DA55805" w:rsidR="001E435E" w:rsidRPr="00853528" w:rsidRDefault="00596D07" w:rsidP="001E435E">
      <w:pPr>
        <w:pStyle w:val="Akapitzlist"/>
        <w:numPr>
          <w:ilvl w:val="0"/>
          <w:numId w:val="7"/>
        </w:numPr>
        <w:spacing w:line="360" w:lineRule="auto"/>
        <w:jc w:val="both"/>
        <w:rPr>
          <w:rFonts w:ascii="Times New Roman" w:hAnsi="Times New Roman" w:cs="Times New Roman"/>
        </w:rPr>
      </w:pPr>
      <w:r w:rsidRPr="00FE50B8">
        <w:rPr>
          <w:rFonts w:ascii="Times New Roman" w:hAnsi="Times New Roman" w:cs="Times New Roman"/>
        </w:rPr>
        <w:t xml:space="preserve">W części szczególnej Kodeksu karnego klauzule </w:t>
      </w:r>
      <w:r w:rsidR="001B58E1" w:rsidRPr="00FE50B8">
        <w:rPr>
          <w:rFonts w:ascii="Times New Roman" w:hAnsi="Times New Roman" w:cs="Times New Roman"/>
        </w:rPr>
        <w:t xml:space="preserve">omawianego </w:t>
      </w:r>
      <w:r w:rsidRPr="00FE50B8">
        <w:rPr>
          <w:rFonts w:ascii="Times New Roman" w:hAnsi="Times New Roman" w:cs="Times New Roman"/>
        </w:rPr>
        <w:t>rodzaj</w:t>
      </w:r>
      <w:r w:rsidR="00FE50B8" w:rsidRPr="00FE50B8">
        <w:rPr>
          <w:rFonts w:ascii="Times New Roman" w:hAnsi="Times New Roman" w:cs="Times New Roman"/>
        </w:rPr>
        <w:t>u</w:t>
      </w:r>
      <w:r w:rsidRPr="00FE50B8">
        <w:rPr>
          <w:rFonts w:ascii="Times New Roman" w:hAnsi="Times New Roman" w:cs="Times New Roman"/>
        </w:rPr>
        <w:t xml:space="preserve"> są rzadkie (zob. art.: 256, 269b i 316). Na ich podstawie można sformułować treść odpowiedniej</w:t>
      </w:r>
      <w:r w:rsidRPr="00853528">
        <w:rPr>
          <w:rFonts w:ascii="Times New Roman" w:hAnsi="Times New Roman" w:cs="Times New Roman"/>
        </w:rPr>
        <w:t xml:space="preserve"> klauzuli na użytek przestępstw z art. 165a </w:t>
      </w:r>
      <w:r w:rsidR="00DA4F39" w:rsidRPr="00853528">
        <w:rPr>
          <w:rFonts w:ascii="Times New Roman" w:hAnsi="Times New Roman" w:cs="Times New Roman"/>
        </w:rPr>
        <w:t>k</w:t>
      </w:r>
      <w:r w:rsidRPr="00853528">
        <w:rPr>
          <w:rFonts w:ascii="Times New Roman" w:hAnsi="Times New Roman" w:cs="Times New Roman"/>
        </w:rPr>
        <w:t xml:space="preserve">.k. W szczególności należałoby wprowadzić nowy przepis § </w:t>
      </w:r>
      <w:r w:rsidR="001B58E1" w:rsidRPr="00853528">
        <w:rPr>
          <w:rFonts w:ascii="Times New Roman" w:hAnsi="Times New Roman" w:cs="Times New Roman"/>
        </w:rPr>
        <w:t>5</w:t>
      </w:r>
      <w:r w:rsidRPr="00853528">
        <w:rPr>
          <w:rFonts w:ascii="Times New Roman" w:hAnsi="Times New Roman" w:cs="Times New Roman"/>
        </w:rPr>
        <w:t xml:space="preserve"> art. 165a o następującym brzmieni</w:t>
      </w:r>
      <w:r w:rsidR="001E435E" w:rsidRPr="00853528">
        <w:rPr>
          <w:rFonts w:ascii="Times New Roman" w:hAnsi="Times New Roman" w:cs="Times New Roman"/>
        </w:rPr>
        <w:t>u</w:t>
      </w:r>
      <w:r w:rsidRPr="00853528">
        <w:rPr>
          <w:rFonts w:ascii="Times New Roman" w:hAnsi="Times New Roman" w:cs="Times New Roman"/>
        </w:rPr>
        <w:t xml:space="preserve">: </w:t>
      </w:r>
    </w:p>
    <w:p w14:paraId="2CEAB826" w14:textId="0D0303B8" w:rsidR="001E435E" w:rsidRPr="00853528" w:rsidRDefault="001E435E" w:rsidP="0089557B">
      <w:pPr>
        <w:pStyle w:val="Akapitzlist"/>
        <w:spacing w:line="360" w:lineRule="auto"/>
        <w:ind w:firstLine="696"/>
        <w:jc w:val="both"/>
        <w:rPr>
          <w:rFonts w:ascii="Times New Roman" w:hAnsi="Times New Roman" w:cs="Times New Roman"/>
          <w:b/>
          <w:bCs/>
          <w:i/>
          <w:iCs/>
        </w:rPr>
      </w:pPr>
      <w:r w:rsidRPr="00853528">
        <w:rPr>
          <w:rFonts w:ascii="Times New Roman" w:hAnsi="Times New Roman" w:cs="Times New Roman"/>
          <w:b/>
          <w:bCs/>
          <w:i/>
          <w:iCs/>
        </w:rPr>
        <w:lastRenderedPageBreak/>
        <w:t xml:space="preserve">W razie skazania za przestępstwo określone w § 1-4, sąd </w:t>
      </w:r>
      <w:r w:rsidR="00FE50B8">
        <w:rPr>
          <w:rFonts w:ascii="Times New Roman" w:hAnsi="Times New Roman" w:cs="Times New Roman"/>
          <w:b/>
          <w:bCs/>
          <w:i/>
          <w:iCs/>
        </w:rPr>
        <w:t xml:space="preserve">może </w:t>
      </w:r>
      <w:r w:rsidRPr="00853528">
        <w:rPr>
          <w:rFonts w:ascii="Times New Roman" w:hAnsi="Times New Roman" w:cs="Times New Roman"/>
          <w:b/>
          <w:bCs/>
          <w:i/>
          <w:iCs/>
        </w:rPr>
        <w:t>orze</w:t>
      </w:r>
      <w:r w:rsidR="00FE50B8">
        <w:rPr>
          <w:rFonts w:ascii="Times New Roman" w:hAnsi="Times New Roman" w:cs="Times New Roman"/>
          <w:b/>
          <w:bCs/>
          <w:i/>
          <w:iCs/>
        </w:rPr>
        <w:t>c</w:t>
      </w:r>
      <w:r w:rsidRPr="00853528">
        <w:rPr>
          <w:rFonts w:ascii="Times New Roman" w:hAnsi="Times New Roman" w:cs="Times New Roman"/>
          <w:b/>
          <w:bCs/>
          <w:i/>
          <w:iCs/>
        </w:rPr>
        <w:t xml:space="preserve"> przepadek przedmiotów, o których mowa w § 1, chociażby nie stanowiły własność sprawcy.</w:t>
      </w:r>
    </w:p>
    <w:p w14:paraId="02736906" w14:textId="45A1E5F4" w:rsidR="005060F3" w:rsidRPr="00853528" w:rsidRDefault="005060F3" w:rsidP="002E754D">
      <w:pPr>
        <w:pStyle w:val="Akapitzlist"/>
        <w:spacing w:line="360" w:lineRule="auto"/>
        <w:ind w:firstLine="696"/>
        <w:jc w:val="both"/>
        <w:rPr>
          <w:rFonts w:ascii="Times New Roman" w:hAnsi="Times New Roman" w:cs="Times New Roman"/>
        </w:rPr>
      </w:pPr>
      <w:r w:rsidRPr="00853528">
        <w:rPr>
          <w:rFonts w:ascii="Times New Roman" w:hAnsi="Times New Roman" w:cs="Times New Roman"/>
        </w:rPr>
        <w:t>Odnotować przy tym należy, że pojęcie „przedmiotu” użyte w proponowanym przepisie odnosi się również do dóbr niematerialnych w nim wskazanych.</w:t>
      </w:r>
    </w:p>
    <w:p w14:paraId="62E2E592" w14:textId="182E693B" w:rsidR="00596D07" w:rsidRPr="00853528" w:rsidRDefault="00256C95"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Na marginesie należy wskazać, że odpowiednik takiej klau</w:t>
      </w:r>
      <w:r w:rsidR="003B7C44" w:rsidRPr="00853528">
        <w:rPr>
          <w:rFonts w:ascii="Times New Roman" w:hAnsi="Times New Roman" w:cs="Times New Roman"/>
        </w:rPr>
        <w:t xml:space="preserve">zuli powinien znaleźć się również w art. 299 </w:t>
      </w:r>
      <w:r w:rsidR="00DA4F39" w:rsidRPr="00853528">
        <w:rPr>
          <w:rFonts w:ascii="Times New Roman" w:hAnsi="Times New Roman" w:cs="Times New Roman"/>
        </w:rPr>
        <w:t>k</w:t>
      </w:r>
      <w:r w:rsidR="003B7C44" w:rsidRPr="00853528">
        <w:rPr>
          <w:rFonts w:ascii="Times New Roman" w:hAnsi="Times New Roman" w:cs="Times New Roman"/>
        </w:rPr>
        <w:t>.k.</w:t>
      </w:r>
      <w:r w:rsidR="002E754D" w:rsidRPr="00853528">
        <w:rPr>
          <w:rFonts w:ascii="Times New Roman" w:hAnsi="Times New Roman" w:cs="Times New Roman"/>
        </w:rPr>
        <w:t>, o czym będzie mowa poniżej.</w:t>
      </w:r>
    </w:p>
    <w:p w14:paraId="47B5CD38" w14:textId="532422E9" w:rsidR="007B75B9" w:rsidRPr="00853528" w:rsidRDefault="007B75B9" w:rsidP="009B3DDB">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u w:val="single"/>
        </w:rPr>
        <w:t>Po drugie</w:t>
      </w:r>
      <w:r w:rsidRPr="00853528">
        <w:rPr>
          <w:rFonts w:ascii="Times New Roman" w:hAnsi="Times New Roman" w:cs="Times New Roman"/>
        </w:rPr>
        <w:t xml:space="preserve">, formułuje się zarzut, że </w:t>
      </w:r>
      <w:r w:rsidR="00751CAF" w:rsidRPr="00853528">
        <w:rPr>
          <w:rFonts w:ascii="Times New Roman" w:hAnsi="Times New Roman" w:cs="Times New Roman"/>
        </w:rPr>
        <w:t xml:space="preserve">„mienie podlegające konfiskacie nie obejmuje wartości niematerialnych i prawnych”. </w:t>
      </w:r>
      <w:r w:rsidR="0041067F" w:rsidRPr="00853528">
        <w:rPr>
          <w:rFonts w:ascii="Times New Roman" w:hAnsi="Times New Roman" w:cs="Times New Roman"/>
        </w:rPr>
        <w:t>Przy czym</w:t>
      </w:r>
      <w:r w:rsidR="00D35F1B" w:rsidRPr="00853528">
        <w:rPr>
          <w:rFonts w:ascii="Times New Roman" w:hAnsi="Times New Roman" w:cs="Times New Roman"/>
        </w:rPr>
        <w:t xml:space="preserve">, na podstawie zalecenia (treści zarzutu) nie można jednoznacznie wskazać, czy jest on formułowany w odniesieniu do art. 165a </w:t>
      </w:r>
      <w:r w:rsidR="00DA4F39" w:rsidRPr="00853528">
        <w:rPr>
          <w:rFonts w:ascii="Times New Roman" w:hAnsi="Times New Roman" w:cs="Times New Roman"/>
        </w:rPr>
        <w:t>k</w:t>
      </w:r>
      <w:r w:rsidR="00D35F1B" w:rsidRPr="00853528">
        <w:rPr>
          <w:rFonts w:ascii="Times New Roman" w:hAnsi="Times New Roman" w:cs="Times New Roman"/>
        </w:rPr>
        <w:t xml:space="preserve">.k. albo art. 299 </w:t>
      </w:r>
      <w:r w:rsidR="00DA4F39" w:rsidRPr="00853528">
        <w:rPr>
          <w:rFonts w:ascii="Times New Roman" w:hAnsi="Times New Roman" w:cs="Times New Roman"/>
        </w:rPr>
        <w:t>k</w:t>
      </w:r>
      <w:r w:rsidR="00D35F1B" w:rsidRPr="00853528">
        <w:rPr>
          <w:rFonts w:ascii="Times New Roman" w:hAnsi="Times New Roman" w:cs="Times New Roman"/>
        </w:rPr>
        <w:t xml:space="preserve">.k., czy też pod adresem ogólnie instytucji przepadku w polskim prawie karnym. Jest to o tyle istotne, że nie pozwala ustalić, czy zarzut ten formułowany jest w związku ze, wskazanymi w art. 165a i 299 </w:t>
      </w:r>
      <w:r w:rsidR="00DA4F39" w:rsidRPr="00853528">
        <w:rPr>
          <w:rFonts w:ascii="Times New Roman" w:hAnsi="Times New Roman" w:cs="Times New Roman"/>
        </w:rPr>
        <w:t>k</w:t>
      </w:r>
      <w:r w:rsidR="00D35F1B" w:rsidRPr="00853528">
        <w:rPr>
          <w:rFonts w:ascii="Times New Roman" w:hAnsi="Times New Roman" w:cs="Times New Roman"/>
        </w:rPr>
        <w:t>.k., enumeratywnie i kazuistycznie stypizowanymi przedmiot</w:t>
      </w:r>
      <w:r w:rsidR="00DA4F39" w:rsidRPr="00853528">
        <w:rPr>
          <w:rFonts w:ascii="Times New Roman" w:hAnsi="Times New Roman" w:cs="Times New Roman"/>
        </w:rPr>
        <w:t>ami</w:t>
      </w:r>
      <w:r w:rsidR="00D35F1B" w:rsidRPr="00853528">
        <w:rPr>
          <w:rFonts w:ascii="Times New Roman" w:hAnsi="Times New Roman" w:cs="Times New Roman"/>
        </w:rPr>
        <w:t xml:space="preserve"> służącymi do popełnienia tych przestępstw, czy z odpowiednio określonymi przedmiotami podl</w:t>
      </w:r>
      <w:r w:rsidR="00FF3039" w:rsidRPr="00853528">
        <w:rPr>
          <w:rFonts w:ascii="Times New Roman" w:hAnsi="Times New Roman" w:cs="Times New Roman"/>
        </w:rPr>
        <w:t>e</w:t>
      </w:r>
      <w:r w:rsidR="00D35F1B" w:rsidRPr="00853528">
        <w:rPr>
          <w:rFonts w:ascii="Times New Roman" w:hAnsi="Times New Roman" w:cs="Times New Roman"/>
        </w:rPr>
        <w:t xml:space="preserve">gającymi przepadkowi w Rozdziale Va </w:t>
      </w:r>
      <w:r w:rsidR="005538D6">
        <w:rPr>
          <w:rFonts w:ascii="Times New Roman" w:hAnsi="Times New Roman" w:cs="Times New Roman"/>
        </w:rPr>
        <w:t>K</w:t>
      </w:r>
      <w:r w:rsidR="00D35F1B" w:rsidRPr="00853528">
        <w:rPr>
          <w:rFonts w:ascii="Times New Roman" w:hAnsi="Times New Roman" w:cs="Times New Roman"/>
        </w:rPr>
        <w:t xml:space="preserve">.k. </w:t>
      </w:r>
      <w:r w:rsidR="00BC09FD" w:rsidRPr="00853528">
        <w:rPr>
          <w:rFonts w:ascii="Times New Roman" w:hAnsi="Times New Roman" w:cs="Times New Roman"/>
        </w:rPr>
        <w:t>(oczywiście w kontekście ww. rodzajów przest</w:t>
      </w:r>
      <w:r w:rsidR="00B71394" w:rsidRPr="00853528">
        <w:rPr>
          <w:rFonts w:ascii="Times New Roman" w:hAnsi="Times New Roman" w:cs="Times New Roman"/>
        </w:rPr>
        <w:t>ę</w:t>
      </w:r>
      <w:r w:rsidR="00BC09FD" w:rsidRPr="00853528">
        <w:rPr>
          <w:rFonts w:ascii="Times New Roman" w:hAnsi="Times New Roman" w:cs="Times New Roman"/>
        </w:rPr>
        <w:t>pstw, albowiem</w:t>
      </w:r>
      <w:r w:rsidR="00B71394" w:rsidRPr="00853528">
        <w:rPr>
          <w:rFonts w:ascii="Times New Roman" w:hAnsi="Times New Roman" w:cs="Times New Roman"/>
        </w:rPr>
        <w:t xml:space="preserve"> generalnie</w:t>
      </w:r>
      <w:r w:rsidR="00BC09FD" w:rsidRPr="00853528">
        <w:rPr>
          <w:rFonts w:ascii="Times New Roman" w:hAnsi="Times New Roman" w:cs="Times New Roman"/>
        </w:rPr>
        <w:t xml:space="preserve"> to właśnie do nich odnoszą się </w:t>
      </w:r>
      <w:r w:rsidR="00B71394" w:rsidRPr="00853528">
        <w:rPr>
          <w:rFonts w:ascii="Times New Roman" w:hAnsi="Times New Roman" w:cs="Times New Roman"/>
        </w:rPr>
        <w:t>rozpatrywane zarzuty i rekomendacje).</w:t>
      </w:r>
    </w:p>
    <w:p w14:paraId="4FE2B7E6" w14:textId="2AE89593" w:rsidR="007B75B9" w:rsidRPr="00853528" w:rsidRDefault="00D35F1B"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 xml:space="preserve">W pierwszej kolejności i w każdym wariancie rozważań należy wskazać, że twierdzenie z zarzutu, iż „mienie podlegające konfiskacie nie obejmuje wartości niematerialnych i prawnych” stanowi swoisty skrót myślowy, ponieważ definicja pojęcia prawnego „mienia” </w:t>
      </w:r>
      <w:r w:rsidR="00FF3039" w:rsidRPr="00853528">
        <w:rPr>
          <w:rFonts w:ascii="Times New Roman" w:hAnsi="Times New Roman" w:cs="Times New Roman"/>
        </w:rPr>
        <w:t xml:space="preserve">(zob. art. 44 </w:t>
      </w:r>
      <w:r w:rsidR="00DA4F39" w:rsidRPr="00853528">
        <w:rPr>
          <w:rFonts w:ascii="Times New Roman" w:hAnsi="Times New Roman" w:cs="Times New Roman"/>
        </w:rPr>
        <w:t>k</w:t>
      </w:r>
      <w:r w:rsidR="00FF3039" w:rsidRPr="00853528">
        <w:rPr>
          <w:rFonts w:ascii="Times New Roman" w:hAnsi="Times New Roman" w:cs="Times New Roman"/>
        </w:rPr>
        <w:t xml:space="preserve">.c.) </w:t>
      </w:r>
      <w:r w:rsidRPr="00853528">
        <w:rPr>
          <w:rFonts w:ascii="Times New Roman" w:hAnsi="Times New Roman" w:cs="Times New Roman"/>
        </w:rPr>
        <w:t xml:space="preserve">obejmuje również </w:t>
      </w:r>
      <w:r w:rsidR="00FF3039" w:rsidRPr="00853528">
        <w:rPr>
          <w:rFonts w:ascii="Times New Roman" w:hAnsi="Times New Roman" w:cs="Times New Roman"/>
        </w:rPr>
        <w:t xml:space="preserve">prawa majątkowe do dóbr o charakterze niematerialnym (np. majątkowe prawa autorskie). Wydaje się zatem, że zarzut </w:t>
      </w:r>
      <w:r w:rsidR="00863043" w:rsidRPr="00853528">
        <w:rPr>
          <w:rFonts w:ascii="Times New Roman" w:hAnsi="Times New Roman" w:cs="Times New Roman"/>
        </w:rPr>
        <w:t xml:space="preserve">najprawdopodobniej </w:t>
      </w:r>
      <w:r w:rsidR="00FF3039" w:rsidRPr="00853528">
        <w:rPr>
          <w:rFonts w:ascii="Times New Roman" w:hAnsi="Times New Roman" w:cs="Times New Roman"/>
        </w:rPr>
        <w:t>dotyczył praw majątkowych na dobrach niematerialnych.</w:t>
      </w:r>
      <w:r w:rsidR="00863043" w:rsidRPr="00853528">
        <w:rPr>
          <w:rFonts w:ascii="Times New Roman" w:hAnsi="Times New Roman" w:cs="Times New Roman"/>
        </w:rPr>
        <w:t xml:space="preserve"> Należy przy tym zastrzec, że treść przywołanej rekomendacji nie pozwala tutaj na wyklarowanie rozważanej wątpliwości.</w:t>
      </w:r>
      <w:r w:rsidR="00E843F3" w:rsidRPr="00853528">
        <w:rPr>
          <w:rFonts w:ascii="Times New Roman" w:hAnsi="Times New Roman" w:cs="Times New Roman"/>
        </w:rPr>
        <w:t xml:space="preserve"> Konieczne jest też tutaj odnotowanie, że w art. 165a i art. 299 </w:t>
      </w:r>
      <w:r w:rsidR="00DA4F39" w:rsidRPr="00853528">
        <w:rPr>
          <w:rFonts w:ascii="Times New Roman" w:hAnsi="Times New Roman" w:cs="Times New Roman"/>
        </w:rPr>
        <w:t>k</w:t>
      </w:r>
      <w:r w:rsidR="00E843F3" w:rsidRPr="00853528">
        <w:rPr>
          <w:rFonts w:ascii="Times New Roman" w:hAnsi="Times New Roman" w:cs="Times New Roman"/>
        </w:rPr>
        <w:t>.k. ustawodawca wymienił m.in. prawa majątkowe, jako jeden z „przedmiotów” służących do popełnienia przestępstwa.</w:t>
      </w:r>
    </w:p>
    <w:p w14:paraId="0F267457" w14:textId="2BBB3E1E" w:rsidR="00DC0F67" w:rsidRPr="00853528" w:rsidRDefault="00DC0F67"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 xml:space="preserve">W drugiej kolejności i w każdym wariancie rozważań należy wskazać, że w rozpatrywanym zarzucie używa się </w:t>
      </w:r>
      <w:r w:rsidR="00E843F3" w:rsidRPr="00853528">
        <w:rPr>
          <w:rFonts w:ascii="Times New Roman" w:hAnsi="Times New Roman" w:cs="Times New Roman"/>
        </w:rPr>
        <w:t xml:space="preserve">ogólnego i pozakarnego pojęcia </w:t>
      </w:r>
      <w:r w:rsidRPr="00853528">
        <w:rPr>
          <w:rFonts w:ascii="Times New Roman" w:hAnsi="Times New Roman" w:cs="Times New Roman"/>
        </w:rPr>
        <w:t>„konfiskata”, w związku z czym nie sposób jednoznacznie rozstrzygnąć - jakiego konkretnie rodzaju przepadku zarzut ten dotyczy.</w:t>
      </w:r>
    </w:p>
    <w:p w14:paraId="64591B03" w14:textId="32F456A8" w:rsidR="00143F23" w:rsidRPr="00853528" w:rsidRDefault="00FF3039" w:rsidP="005A2041">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W powyższym kontekście należ</w:t>
      </w:r>
      <w:r w:rsidR="00143F23" w:rsidRPr="00853528">
        <w:rPr>
          <w:rFonts w:ascii="Times New Roman" w:hAnsi="Times New Roman" w:cs="Times New Roman"/>
        </w:rPr>
        <w:t xml:space="preserve">ałoby rozpatrzyć problematykę przepadku praw majątkowych do dóbr niematerialnych, w zakresie ogólnej instytucji karnoprawnego przepadku oraz przepadku określonego w przepisach art. 165a i art. 299 </w:t>
      </w:r>
      <w:r w:rsidR="00DA4F39" w:rsidRPr="00853528">
        <w:rPr>
          <w:rFonts w:ascii="Times New Roman" w:hAnsi="Times New Roman" w:cs="Times New Roman"/>
        </w:rPr>
        <w:t>k</w:t>
      </w:r>
      <w:r w:rsidR="00143F23" w:rsidRPr="00853528">
        <w:rPr>
          <w:rFonts w:ascii="Times New Roman" w:hAnsi="Times New Roman" w:cs="Times New Roman"/>
        </w:rPr>
        <w:t xml:space="preserve">.k., w </w:t>
      </w:r>
      <w:r w:rsidR="00143F23" w:rsidRPr="00853528">
        <w:rPr>
          <w:rFonts w:ascii="Times New Roman" w:hAnsi="Times New Roman" w:cs="Times New Roman"/>
        </w:rPr>
        <w:lastRenderedPageBreak/>
        <w:t>odniesieniu do dwóch rodzaju przepadku, które w praktyce jawią się jako najistotniejsze, tj. przepadku przedmiotów przeznaczonych do popełnienia przestępstwa oraz przepadku korzyści pochodzących z przestępstwa.</w:t>
      </w:r>
    </w:p>
    <w:p w14:paraId="2CB90F38" w14:textId="0E57C9EE" w:rsidR="00FF3039" w:rsidRDefault="00143F23" w:rsidP="005060F3">
      <w:pPr>
        <w:pStyle w:val="Akapitzlist"/>
        <w:numPr>
          <w:ilvl w:val="0"/>
          <w:numId w:val="7"/>
        </w:numPr>
        <w:spacing w:line="360" w:lineRule="auto"/>
        <w:jc w:val="both"/>
        <w:rPr>
          <w:rFonts w:ascii="Times New Roman" w:hAnsi="Times New Roman" w:cs="Times New Roman"/>
        </w:rPr>
      </w:pPr>
      <w:r w:rsidRPr="00853528">
        <w:rPr>
          <w:rFonts w:ascii="Times New Roman" w:hAnsi="Times New Roman" w:cs="Times New Roman"/>
        </w:rPr>
        <w:t xml:space="preserve">W pierwszym przypadku </w:t>
      </w:r>
      <w:r w:rsidR="005060F3" w:rsidRPr="00853528">
        <w:rPr>
          <w:rFonts w:ascii="Times New Roman" w:hAnsi="Times New Roman" w:cs="Times New Roman"/>
        </w:rPr>
        <w:t xml:space="preserve">(przepadku </w:t>
      </w:r>
      <w:r w:rsidRPr="00853528">
        <w:rPr>
          <w:rFonts w:ascii="Times New Roman" w:hAnsi="Times New Roman" w:cs="Times New Roman"/>
        </w:rPr>
        <w:t xml:space="preserve">przedmiotów przeznaczonych do popełnienia przestępstwa) ustawodawca przewiduje ogólną regulację w art. 44 § </w:t>
      </w:r>
      <w:r w:rsidR="00E843F3" w:rsidRPr="00853528">
        <w:rPr>
          <w:rFonts w:ascii="Times New Roman" w:hAnsi="Times New Roman" w:cs="Times New Roman"/>
        </w:rPr>
        <w:t>2</w:t>
      </w:r>
      <w:r w:rsidRPr="00853528">
        <w:rPr>
          <w:rFonts w:ascii="Times New Roman" w:hAnsi="Times New Roman" w:cs="Times New Roman"/>
        </w:rPr>
        <w:t xml:space="preserve"> </w:t>
      </w:r>
      <w:r w:rsidR="00DA4F39" w:rsidRPr="00853528">
        <w:rPr>
          <w:rFonts w:ascii="Times New Roman" w:hAnsi="Times New Roman" w:cs="Times New Roman"/>
        </w:rPr>
        <w:t>k</w:t>
      </w:r>
      <w:r w:rsidRPr="00853528">
        <w:rPr>
          <w:rFonts w:ascii="Times New Roman" w:hAnsi="Times New Roman" w:cs="Times New Roman"/>
        </w:rPr>
        <w:t xml:space="preserve">.k. Jakkolwiek w przepisie tym pojęcie „przedmiotu” używa się w ujęciu tradycyjnym (materialnym), to jednak ustawodawca przewidział w § </w:t>
      </w:r>
      <w:r w:rsidR="00B10E5E" w:rsidRPr="00853528">
        <w:rPr>
          <w:rFonts w:ascii="Times New Roman" w:hAnsi="Times New Roman" w:cs="Times New Roman"/>
        </w:rPr>
        <w:t>4</w:t>
      </w:r>
      <w:r w:rsidRPr="00853528">
        <w:rPr>
          <w:rFonts w:ascii="Times New Roman" w:hAnsi="Times New Roman" w:cs="Times New Roman"/>
        </w:rPr>
        <w:t xml:space="preserve"> art. 44 </w:t>
      </w:r>
      <w:r w:rsidR="00DA4F39" w:rsidRPr="00853528">
        <w:rPr>
          <w:rFonts w:ascii="Times New Roman" w:hAnsi="Times New Roman" w:cs="Times New Roman"/>
        </w:rPr>
        <w:t>k</w:t>
      </w:r>
      <w:r w:rsidRPr="00853528">
        <w:rPr>
          <w:rFonts w:ascii="Times New Roman" w:hAnsi="Times New Roman" w:cs="Times New Roman"/>
        </w:rPr>
        <w:t xml:space="preserve">.k. możliwość orzeczenia również </w:t>
      </w:r>
      <w:r w:rsidR="00E843F3" w:rsidRPr="00853528">
        <w:rPr>
          <w:rFonts w:ascii="Times New Roman" w:hAnsi="Times New Roman" w:cs="Times New Roman"/>
        </w:rPr>
        <w:t xml:space="preserve">przepadku </w:t>
      </w:r>
      <w:r w:rsidRPr="00853528">
        <w:rPr>
          <w:rFonts w:ascii="Times New Roman" w:hAnsi="Times New Roman" w:cs="Times New Roman"/>
        </w:rPr>
        <w:t>równowartości takiego przedmiotu</w:t>
      </w:r>
      <w:r w:rsidR="00E843F3" w:rsidRPr="00853528">
        <w:rPr>
          <w:rFonts w:ascii="Times New Roman" w:hAnsi="Times New Roman" w:cs="Times New Roman"/>
        </w:rPr>
        <w:t xml:space="preserve"> (jeżeli nie jest możliwe orzeczenie przepadku przedmiotu określonego w art. 44 § 2 </w:t>
      </w:r>
      <w:r w:rsidR="00DA4F39" w:rsidRPr="00853528">
        <w:rPr>
          <w:rFonts w:ascii="Times New Roman" w:hAnsi="Times New Roman" w:cs="Times New Roman"/>
        </w:rPr>
        <w:t>k</w:t>
      </w:r>
      <w:r w:rsidR="00E843F3" w:rsidRPr="00853528">
        <w:rPr>
          <w:rFonts w:ascii="Times New Roman" w:hAnsi="Times New Roman" w:cs="Times New Roman"/>
        </w:rPr>
        <w:t xml:space="preserve">.k.). Ustawodawca nie przewidział w tym zakresie szczególnych regulacji w odniesieniu do art. 165a i 299 </w:t>
      </w:r>
      <w:r w:rsidR="00DA4F39" w:rsidRPr="00853528">
        <w:rPr>
          <w:rFonts w:ascii="Times New Roman" w:hAnsi="Times New Roman" w:cs="Times New Roman"/>
        </w:rPr>
        <w:t>k</w:t>
      </w:r>
      <w:r w:rsidR="00E843F3" w:rsidRPr="00853528">
        <w:rPr>
          <w:rFonts w:ascii="Times New Roman" w:hAnsi="Times New Roman" w:cs="Times New Roman"/>
        </w:rPr>
        <w:t xml:space="preserve">.k. </w:t>
      </w:r>
      <w:r w:rsidR="005060F3" w:rsidRPr="00853528">
        <w:rPr>
          <w:rFonts w:ascii="Times New Roman" w:hAnsi="Times New Roman" w:cs="Times New Roman"/>
        </w:rPr>
        <w:t xml:space="preserve">Jednakże powyżej wskazano na </w:t>
      </w:r>
      <w:r w:rsidR="00863043" w:rsidRPr="00853528">
        <w:rPr>
          <w:rFonts w:ascii="Times New Roman" w:hAnsi="Times New Roman" w:cs="Times New Roman"/>
        </w:rPr>
        <w:t>koniecznoś</w:t>
      </w:r>
      <w:r w:rsidR="005060F3" w:rsidRPr="00853528">
        <w:rPr>
          <w:rFonts w:ascii="Times New Roman" w:hAnsi="Times New Roman" w:cs="Times New Roman"/>
        </w:rPr>
        <w:t>ć odpowiedniej</w:t>
      </w:r>
      <w:r w:rsidR="00863043" w:rsidRPr="00853528">
        <w:rPr>
          <w:rFonts w:ascii="Times New Roman" w:hAnsi="Times New Roman" w:cs="Times New Roman"/>
        </w:rPr>
        <w:t xml:space="preserve"> interwencji legislacyjnej</w:t>
      </w:r>
      <w:r w:rsidR="00FE50B8">
        <w:rPr>
          <w:rFonts w:ascii="Times New Roman" w:hAnsi="Times New Roman" w:cs="Times New Roman"/>
        </w:rPr>
        <w:t xml:space="preserve">. </w:t>
      </w:r>
      <w:r w:rsidR="00B71394" w:rsidRPr="00853528">
        <w:rPr>
          <w:rFonts w:ascii="Times New Roman" w:hAnsi="Times New Roman" w:cs="Times New Roman"/>
        </w:rPr>
        <w:t>Zmiany takie umożliwi</w:t>
      </w:r>
      <w:r w:rsidR="005060F3" w:rsidRPr="00853528">
        <w:rPr>
          <w:rFonts w:ascii="Times New Roman" w:hAnsi="Times New Roman" w:cs="Times New Roman"/>
        </w:rPr>
        <w:t>łyby</w:t>
      </w:r>
      <w:r w:rsidR="00B71394" w:rsidRPr="00853528">
        <w:rPr>
          <w:rFonts w:ascii="Times New Roman" w:hAnsi="Times New Roman" w:cs="Times New Roman"/>
        </w:rPr>
        <w:t xml:space="preserve"> </w:t>
      </w:r>
      <w:r w:rsidR="005060F3" w:rsidRPr="00853528">
        <w:rPr>
          <w:rFonts w:ascii="Times New Roman" w:hAnsi="Times New Roman" w:cs="Times New Roman"/>
        </w:rPr>
        <w:t xml:space="preserve">orzeczenie </w:t>
      </w:r>
      <w:r w:rsidR="0040016C" w:rsidRPr="00853528">
        <w:rPr>
          <w:rFonts w:ascii="Times New Roman" w:hAnsi="Times New Roman" w:cs="Times New Roman"/>
        </w:rPr>
        <w:t>przepadk</w:t>
      </w:r>
      <w:r w:rsidR="005060F3" w:rsidRPr="00853528">
        <w:rPr>
          <w:rFonts w:ascii="Times New Roman" w:hAnsi="Times New Roman" w:cs="Times New Roman"/>
        </w:rPr>
        <w:t>u</w:t>
      </w:r>
      <w:r w:rsidR="0040016C" w:rsidRPr="00853528">
        <w:rPr>
          <w:rFonts w:ascii="Times New Roman" w:hAnsi="Times New Roman" w:cs="Times New Roman"/>
        </w:rPr>
        <w:t xml:space="preserve"> </w:t>
      </w:r>
      <w:r w:rsidR="005060F3" w:rsidRPr="00853528">
        <w:rPr>
          <w:rFonts w:ascii="Times New Roman" w:hAnsi="Times New Roman" w:cs="Times New Roman"/>
        </w:rPr>
        <w:t xml:space="preserve">wszystkich </w:t>
      </w:r>
      <w:r w:rsidR="0040016C" w:rsidRPr="00853528">
        <w:rPr>
          <w:rFonts w:ascii="Times New Roman" w:hAnsi="Times New Roman" w:cs="Times New Roman"/>
        </w:rPr>
        <w:t>przedmiotów</w:t>
      </w:r>
      <w:r w:rsidR="005060F3" w:rsidRPr="00853528">
        <w:rPr>
          <w:rFonts w:ascii="Times New Roman" w:hAnsi="Times New Roman" w:cs="Times New Roman"/>
        </w:rPr>
        <w:t xml:space="preserve"> służących do popełnienia przestępstw z art. 165a i art. 299 </w:t>
      </w:r>
      <w:r w:rsidR="00DA4F39" w:rsidRPr="00853528">
        <w:rPr>
          <w:rFonts w:ascii="Times New Roman" w:hAnsi="Times New Roman" w:cs="Times New Roman"/>
        </w:rPr>
        <w:t>k</w:t>
      </w:r>
      <w:r w:rsidR="005060F3" w:rsidRPr="00853528">
        <w:rPr>
          <w:rFonts w:ascii="Times New Roman" w:hAnsi="Times New Roman" w:cs="Times New Roman"/>
        </w:rPr>
        <w:t>.k., w tym również „przedmiotów”</w:t>
      </w:r>
      <w:r w:rsidR="0040016C" w:rsidRPr="00853528">
        <w:rPr>
          <w:rFonts w:ascii="Times New Roman" w:hAnsi="Times New Roman" w:cs="Times New Roman"/>
        </w:rPr>
        <w:t xml:space="preserve"> o charakterze niematerialnym (praw majątkowych).</w:t>
      </w:r>
    </w:p>
    <w:p w14:paraId="1E8862E3" w14:textId="574905A3" w:rsidR="002101E4" w:rsidRPr="00853528" w:rsidRDefault="002101E4" w:rsidP="005060F3">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 xml:space="preserve">Należy jednak zauważyć, że o ile w przypadku art. </w:t>
      </w:r>
      <w:r w:rsidR="003E417B">
        <w:rPr>
          <w:rFonts w:ascii="Times New Roman" w:hAnsi="Times New Roman" w:cs="Times New Roman"/>
        </w:rPr>
        <w:t xml:space="preserve">165a nie zachodzi konieczność </w:t>
      </w:r>
      <w:r w:rsidR="00F46317">
        <w:rPr>
          <w:rFonts w:ascii="Times New Roman" w:hAnsi="Times New Roman" w:cs="Times New Roman"/>
        </w:rPr>
        <w:t xml:space="preserve">wprowadzenia </w:t>
      </w:r>
      <w:r w:rsidR="003E417B">
        <w:rPr>
          <w:rFonts w:ascii="Times New Roman" w:hAnsi="Times New Roman" w:cs="Times New Roman"/>
        </w:rPr>
        <w:t xml:space="preserve">obligatoryjnego </w:t>
      </w:r>
      <w:r w:rsidR="00F46317">
        <w:rPr>
          <w:rFonts w:ascii="Times New Roman" w:hAnsi="Times New Roman" w:cs="Times New Roman"/>
        </w:rPr>
        <w:t>przepadku, to jednak zachodzi ona w przypadku art. 299 K.k.</w:t>
      </w:r>
    </w:p>
    <w:p w14:paraId="4FD4FE2F" w14:textId="2C5C3377" w:rsidR="008B6939" w:rsidRPr="00853528" w:rsidRDefault="00350B98" w:rsidP="008B6939">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b/>
          <w:bCs/>
        </w:rPr>
        <w:t xml:space="preserve">Wynika z powyższego, że w omawianym zakresie konieczna byłaby nowelizacja w zakresie art. 165a i 299 </w:t>
      </w:r>
      <w:r w:rsidR="00DA4F39" w:rsidRPr="00853528">
        <w:rPr>
          <w:rFonts w:ascii="Times New Roman" w:hAnsi="Times New Roman" w:cs="Times New Roman"/>
          <w:b/>
          <w:bCs/>
        </w:rPr>
        <w:t>k</w:t>
      </w:r>
      <w:r w:rsidRPr="00853528">
        <w:rPr>
          <w:rFonts w:ascii="Times New Roman" w:hAnsi="Times New Roman" w:cs="Times New Roman"/>
          <w:b/>
          <w:bCs/>
        </w:rPr>
        <w:t>.k. (zgodnie z propozycją wskazaną powyżej w pkt I</w:t>
      </w:r>
      <w:r w:rsidR="005538D6">
        <w:rPr>
          <w:rFonts w:ascii="Times New Roman" w:hAnsi="Times New Roman" w:cs="Times New Roman"/>
          <w:b/>
          <w:bCs/>
        </w:rPr>
        <w:t>I</w:t>
      </w:r>
      <w:r w:rsidRPr="00853528">
        <w:rPr>
          <w:rFonts w:ascii="Times New Roman" w:hAnsi="Times New Roman" w:cs="Times New Roman"/>
          <w:b/>
          <w:bCs/>
        </w:rPr>
        <w:t>I.4).</w:t>
      </w:r>
      <w:r w:rsidR="008B6939" w:rsidRPr="00853528">
        <w:rPr>
          <w:rFonts w:ascii="Times New Roman" w:hAnsi="Times New Roman" w:cs="Times New Roman"/>
          <w:b/>
          <w:bCs/>
        </w:rPr>
        <w:t xml:space="preserve"> W odniesieniu do art. 299 </w:t>
      </w:r>
      <w:r w:rsidR="00DA4F39" w:rsidRPr="00853528">
        <w:rPr>
          <w:rFonts w:ascii="Times New Roman" w:hAnsi="Times New Roman" w:cs="Times New Roman"/>
          <w:b/>
          <w:bCs/>
        </w:rPr>
        <w:t>k</w:t>
      </w:r>
      <w:r w:rsidR="008B6939" w:rsidRPr="00853528">
        <w:rPr>
          <w:rFonts w:ascii="Times New Roman" w:hAnsi="Times New Roman" w:cs="Times New Roman"/>
          <w:b/>
          <w:bCs/>
        </w:rPr>
        <w:t>.k. należałoby dodać nowy przepis § 7a o następującym brzmieniu:</w:t>
      </w:r>
    </w:p>
    <w:p w14:paraId="390FD974" w14:textId="56336B1B" w:rsidR="008B6939" w:rsidRPr="00853528" w:rsidRDefault="008B6939" w:rsidP="00E43C79">
      <w:pPr>
        <w:pStyle w:val="Akapitzlist"/>
        <w:spacing w:line="360" w:lineRule="auto"/>
        <w:ind w:firstLine="696"/>
        <w:jc w:val="both"/>
        <w:rPr>
          <w:rFonts w:ascii="Times New Roman" w:hAnsi="Times New Roman" w:cs="Times New Roman"/>
          <w:b/>
          <w:bCs/>
          <w:i/>
          <w:iCs/>
        </w:rPr>
      </w:pPr>
      <w:r w:rsidRPr="00853528">
        <w:rPr>
          <w:rFonts w:ascii="Times New Roman" w:hAnsi="Times New Roman" w:cs="Times New Roman"/>
          <w:b/>
          <w:bCs/>
          <w:i/>
          <w:iCs/>
        </w:rPr>
        <w:t>W razie skazania za przestępstwo określone w § 1</w:t>
      </w:r>
      <w:r w:rsidR="00E43C79" w:rsidRPr="00853528">
        <w:rPr>
          <w:rFonts w:ascii="Times New Roman" w:hAnsi="Times New Roman" w:cs="Times New Roman"/>
          <w:b/>
          <w:bCs/>
          <w:i/>
          <w:iCs/>
        </w:rPr>
        <w:t xml:space="preserve"> lub 2</w:t>
      </w:r>
      <w:r w:rsidRPr="00853528">
        <w:rPr>
          <w:rFonts w:ascii="Times New Roman" w:hAnsi="Times New Roman" w:cs="Times New Roman"/>
          <w:b/>
          <w:bCs/>
          <w:i/>
          <w:iCs/>
        </w:rPr>
        <w:t>, sąd orzeka przepadek przedmiotów, o których mowa w § 1, chociażby nie stanowiły własność sprawcy.</w:t>
      </w:r>
    </w:p>
    <w:p w14:paraId="081D2D08" w14:textId="0908A434" w:rsidR="0089557B" w:rsidRPr="00853528" w:rsidRDefault="002E754D" w:rsidP="002E754D">
      <w:pPr>
        <w:pStyle w:val="Akapitzlist"/>
        <w:spacing w:line="360" w:lineRule="auto"/>
        <w:ind w:firstLine="696"/>
        <w:jc w:val="both"/>
        <w:rPr>
          <w:rFonts w:ascii="Times New Roman" w:hAnsi="Times New Roman" w:cs="Times New Roman"/>
        </w:rPr>
      </w:pPr>
      <w:r w:rsidRPr="00853528">
        <w:rPr>
          <w:rFonts w:ascii="Times New Roman" w:hAnsi="Times New Roman" w:cs="Times New Roman"/>
        </w:rPr>
        <w:t>T</w:t>
      </w:r>
      <w:r w:rsidR="008F042D" w:rsidRPr="00853528">
        <w:rPr>
          <w:rFonts w:ascii="Times New Roman" w:hAnsi="Times New Roman" w:cs="Times New Roman"/>
        </w:rPr>
        <w:t xml:space="preserve">akże </w:t>
      </w:r>
      <w:r w:rsidR="0089557B" w:rsidRPr="00853528">
        <w:rPr>
          <w:rFonts w:ascii="Times New Roman" w:hAnsi="Times New Roman" w:cs="Times New Roman"/>
        </w:rPr>
        <w:t>tutaj, podobnie jak przy powyższej propozycji, odnotować należy, że pojęcie „przedmiotu” użyte w proponowanym przepisie odnosi się również do dóbr (np. praw majątkowych) niematerialnych w nim wskazanych.</w:t>
      </w:r>
    </w:p>
    <w:p w14:paraId="6D022C07" w14:textId="46DE2C61" w:rsidR="005A2041" w:rsidRPr="00853528" w:rsidRDefault="005060F3" w:rsidP="005A2041">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rPr>
        <w:t xml:space="preserve">W drugim przypadku (przepadku korzyści pochodzących z przestępstwa) ustawodawca przewiduje ogólną regulację w art. 45 </w:t>
      </w:r>
      <w:r w:rsidR="00245BC5" w:rsidRPr="00853528">
        <w:rPr>
          <w:rFonts w:ascii="Times New Roman" w:hAnsi="Times New Roman" w:cs="Times New Roman"/>
        </w:rPr>
        <w:t>k</w:t>
      </w:r>
      <w:r w:rsidRPr="00853528">
        <w:rPr>
          <w:rFonts w:ascii="Times New Roman" w:hAnsi="Times New Roman" w:cs="Times New Roman"/>
        </w:rPr>
        <w:t>.k., zgodnie z którą: jeżeli sprawca osiągnął z popełnienia przestępstwa, chociażby pośrednio, korzyść majątkową, sąd orzeka przepadek takiej korzyści albo jej równowartości, za korzyść majątkową osiągniętą z popełnienia przestępstwa uważa się także pożytki z rzeczy lub praw stanowiących tę korzyść</w:t>
      </w:r>
      <w:r w:rsidR="0040614C" w:rsidRPr="00853528">
        <w:rPr>
          <w:rFonts w:ascii="Times New Roman" w:hAnsi="Times New Roman" w:cs="Times New Roman"/>
        </w:rPr>
        <w:t xml:space="preserve"> (§ 1 i 2)</w:t>
      </w:r>
      <w:r w:rsidRPr="00853528">
        <w:rPr>
          <w:rFonts w:ascii="Times New Roman" w:hAnsi="Times New Roman" w:cs="Times New Roman"/>
        </w:rPr>
        <w:t xml:space="preserve">. </w:t>
      </w:r>
      <w:r w:rsidR="0040614C" w:rsidRPr="00853528">
        <w:rPr>
          <w:rFonts w:ascii="Times New Roman" w:hAnsi="Times New Roman" w:cs="Times New Roman"/>
        </w:rPr>
        <w:t xml:space="preserve">Przy czym, zgodnie z art. 45 § 3 </w:t>
      </w:r>
      <w:r w:rsidR="00245BC5" w:rsidRPr="00853528">
        <w:rPr>
          <w:rFonts w:ascii="Times New Roman" w:hAnsi="Times New Roman" w:cs="Times New Roman"/>
        </w:rPr>
        <w:t>k</w:t>
      </w:r>
      <w:r w:rsidR="0040614C" w:rsidRPr="00853528">
        <w:rPr>
          <w:rFonts w:ascii="Times New Roman" w:hAnsi="Times New Roman" w:cs="Times New Roman"/>
        </w:rPr>
        <w:t xml:space="preserve">.k.: jeżeli mienie stanowiące korzyść uzyskaną z popełnienia przestępstwa zostało przeniesione na osobę fizyczną, prawną lub jednostkę organizacyjną niemającą osobowości prawnej, faktycznie lub pod </w:t>
      </w:r>
      <w:r w:rsidR="0040614C" w:rsidRPr="00853528">
        <w:rPr>
          <w:rFonts w:ascii="Times New Roman" w:hAnsi="Times New Roman" w:cs="Times New Roman"/>
        </w:rPr>
        <w:lastRenderedPageBreak/>
        <w:t xml:space="preserve">jakimkolwiek tytułem prawnym, uważa się, że rzeczy będące w samoistnym posiadaniu tej osoby lub jednostki oraz przysługujące jej prawa majątkowe należą do sprawcy, chyba że na podstawie okoliczności towarzyszących ich nabyciu nie można było przypuszczać, że mienie to, chociażby pośrednio, pochodziło z czynu zabronionego. Oznacza to, że omawiany przepadek korzyści odnosi się do sytuacji, w której </w:t>
      </w:r>
      <w:r w:rsidR="00350B98" w:rsidRPr="00853528">
        <w:rPr>
          <w:rFonts w:ascii="Times New Roman" w:hAnsi="Times New Roman" w:cs="Times New Roman"/>
        </w:rPr>
        <w:t xml:space="preserve">korzyści nie stanowią własności sprawcy. Jest przy tym bezsporne, że omawiana korzyść majątkowa odnosi się również do prawa majątkowego do dobra niematerialnego. </w:t>
      </w:r>
      <w:r w:rsidR="0040614C" w:rsidRPr="00853528">
        <w:rPr>
          <w:rFonts w:ascii="Times New Roman" w:hAnsi="Times New Roman" w:cs="Times New Roman"/>
        </w:rPr>
        <w:t xml:space="preserve">W odniesieniu do przestępstwa z art. 299 </w:t>
      </w:r>
      <w:r w:rsidR="00245BC5" w:rsidRPr="00853528">
        <w:rPr>
          <w:rFonts w:ascii="Times New Roman" w:hAnsi="Times New Roman" w:cs="Times New Roman"/>
        </w:rPr>
        <w:t>k</w:t>
      </w:r>
      <w:r w:rsidR="0040614C" w:rsidRPr="00853528">
        <w:rPr>
          <w:rFonts w:ascii="Times New Roman" w:hAnsi="Times New Roman" w:cs="Times New Roman"/>
        </w:rPr>
        <w:t xml:space="preserve">.k. ustawodawca przewidział regulację szczególną, zgodnie z którą sąd orzeka przepadek „korzyści z tego przestępstwa lub ich </w:t>
      </w:r>
      <w:r w:rsidR="0040614C" w:rsidRPr="00853528">
        <w:rPr>
          <w:rFonts w:ascii="Times New Roman" w:eastAsia="Times New Roman" w:hAnsi="Times New Roman" w:cs="Times New Roman"/>
          <w:lang w:eastAsia="pl-PL"/>
        </w:rPr>
        <w:t>równowartoś</w:t>
      </w:r>
      <w:r w:rsidR="00245BC5" w:rsidRPr="00853528">
        <w:rPr>
          <w:rFonts w:ascii="Times New Roman" w:eastAsia="Times New Roman" w:hAnsi="Times New Roman" w:cs="Times New Roman"/>
          <w:lang w:eastAsia="pl-PL"/>
        </w:rPr>
        <w:t>ci</w:t>
      </w:r>
      <w:r w:rsidR="0040614C" w:rsidRPr="00853528">
        <w:rPr>
          <w:rFonts w:ascii="Times New Roman" w:eastAsia="Times New Roman" w:hAnsi="Times New Roman" w:cs="Times New Roman"/>
          <w:lang w:eastAsia="pl-PL"/>
        </w:rPr>
        <w:t>, chociażby nie stanowiły one własności sprawcy</w:t>
      </w:r>
      <w:r w:rsidR="007F0817" w:rsidRPr="00853528">
        <w:rPr>
          <w:rFonts w:ascii="Times New Roman" w:eastAsia="Times New Roman" w:hAnsi="Times New Roman" w:cs="Times New Roman"/>
          <w:lang w:eastAsia="pl-PL"/>
        </w:rPr>
        <w:t>”</w:t>
      </w:r>
      <w:r w:rsidR="0040614C" w:rsidRPr="00853528">
        <w:rPr>
          <w:rFonts w:ascii="Times New Roman" w:eastAsia="Times New Roman" w:hAnsi="Times New Roman" w:cs="Times New Roman"/>
          <w:lang w:eastAsia="pl-PL"/>
        </w:rPr>
        <w:t xml:space="preserve"> (art. 299 § 7 </w:t>
      </w:r>
      <w:r w:rsidR="00245BC5" w:rsidRPr="00853528">
        <w:rPr>
          <w:rFonts w:ascii="Times New Roman" w:eastAsia="Times New Roman" w:hAnsi="Times New Roman" w:cs="Times New Roman"/>
          <w:lang w:eastAsia="pl-PL"/>
        </w:rPr>
        <w:t>k</w:t>
      </w:r>
      <w:r w:rsidR="0040614C" w:rsidRPr="00853528">
        <w:rPr>
          <w:rFonts w:ascii="Times New Roman" w:eastAsia="Times New Roman" w:hAnsi="Times New Roman" w:cs="Times New Roman"/>
          <w:lang w:eastAsia="pl-PL"/>
        </w:rPr>
        <w:t xml:space="preserve">.k.). W porównaniu do </w:t>
      </w:r>
      <w:r w:rsidR="00350B98" w:rsidRPr="00853528">
        <w:rPr>
          <w:rFonts w:ascii="Times New Roman" w:eastAsia="Times New Roman" w:hAnsi="Times New Roman" w:cs="Times New Roman"/>
          <w:lang w:eastAsia="pl-PL"/>
        </w:rPr>
        <w:t xml:space="preserve">przepisów </w:t>
      </w:r>
      <w:r w:rsidR="0040614C" w:rsidRPr="00853528">
        <w:rPr>
          <w:rFonts w:ascii="Times New Roman" w:eastAsia="Times New Roman" w:hAnsi="Times New Roman" w:cs="Times New Roman"/>
          <w:lang w:eastAsia="pl-PL"/>
        </w:rPr>
        <w:t xml:space="preserve">art. 45 </w:t>
      </w:r>
      <w:r w:rsidR="00245BC5" w:rsidRPr="00853528">
        <w:rPr>
          <w:rFonts w:ascii="Times New Roman" w:eastAsia="Times New Roman" w:hAnsi="Times New Roman" w:cs="Times New Roman"/>
          <w:lang w:eastAsia="pl-PL"/>
        </w:rPr>
        <w:t>k</w:t>
      </w:r>
      <w:r w:rsidR="0040614C" w:rsidRPr="00853528">
        <w:rPr>
          <w:rFonts w:ascii="Times New Roman" w:eastAsia="Times New Roman" w:hAnsi="Times New Roman" w:cs="Times New Roman"/>
          <w:lang w:eastAsia="pl-PL"/>
        </w:rPr>
        <w:t>.k.</w:t>
      </w:r>
      <w:r w:rsidR="00350B98" w:rsidRPr="00853528">
        <w:rPr>
          <w:rFonts w:ascii="Times New Roman" w:eastAsia="Times New Roman" w:hAnsi="Times New Roman" w:cs="Times New Roman"/>
          <w:lang w:eastAsia="pl-PL"/>
        </w:rPr>
        <w:t xml:space="preserve">, przepis art. 299 § 7 </w:t>
      </w:r>
      <w:r w:rsidR="00245BC5" w:rsidRPr="00853528">
        <w:rPr>
          <w:rFonts w:ascii="Times New Roman" w:eastAsia="Times New Roman" w:hAnsi="Times New Roman" w:cs="Times New Roman"/>
          <w:lang w:eastAsia="pl-PL"/>
        </w:rPr>
        <w:t>k</w:t>
      </w:r>
      <w:r w:rsidR="00350B98" w:rsidRPr="00853528">
        <w:rPr>
          <w:rFonts w:ascii="Times New Roman" w:eastAsia="Times New Roman" w:hAnsi="Times New Roman" w:cs="Times New Roman"/>
          <w:lang w:eastAsia="pl-PL"/>
        </w:rPr>
        <w:t xml:space="preserve">.k. dotyczy węższego zakresu przypadków (przepadków), bo nie odnosi się do korzyści uzyskanych nawet pośrednio z popełnionego przestępstwa. Należy zatem uznać go za dysfunkcjonalne </w:t>
      </w:r>
      <w:r w:rsidR="00350B98" w:rsidRPr="00853528">
        <w:rPr>
          <w:rFonts w:ascii="Times New Roman" w:eastAsia="Times New Roman" w:hAnsi="Times New Roman" w:cs="Times New Roman"/>
          <w:i/>
          <w:iCs/>
          <w:lang w:eastAsia="pl-PL"/>
        </w:rPr>
        <w:t>superfluum</w:t>
      </w:r>
      <w:r w:rsidR="00350B98" w:rsidRPr="00853528">
        <w:rPr>
          <w:rFonts w:ascii="Times New Roman" w:eastAsia="Times New Roman" w:hAnsi="Times New Roman" w:cs="Times New Roman"/>
          <w:lang w:eastAsia="pl-PL"/>
        </w:rPr>
        <w:t xml:space="preserve">. W odniesieniu do art. 165a </w:t>
      </w:r>
      <w:r w:rsidR="00245BC5" w:rsidRPr="00853528">
        <w:rPr>
          <w:rFonts w:ascii="Times New Roman" w:eastAsia="Times New Roman" w:hAnsi="Times New Roman" w:cs="Times New Roman"/>
          <w:lang w:eastAsia="pl-PL"/>
        </w:rPr>
        <w:t>k</w:t>
      </w:r>
      <w:r w:rsidR="00350B98" w:rsidRPr="00853528">
        <w:rPr>
          <w:rFonts w:ascii="Times New Roman" w:eastAsia="Times New Roman" w:hAnsi="Times New Roman" w:cs="Times New Roman"/>
          <w:lang w:eastAsia="pl-PL"/>
        </w:rPr>
        <w:t xml:space="preserve">.k. ustawodawca nie przewidział tutaj regulacji szczególnej. Dodać należy, że w kontekście </w:t>
      </w:r>
      <w:r w:rsidR="005538D6">
        <w:rPr>
          <w:rFonts w:ascii="Times New Roman" w:eastAsia="Times New Roman" w:hAnsi="Times New Roman" w:cs="Times New Roman"/>
          <w:lang w:eastAsia="pl-PL"/>
        </w:rPr>
        <w:t xml:space="preserve">treści przepisów </w:t>
      </w:r>
      <w:r w:rsidR="00350B98" w:rsidRPr="00853528">
        <w:rPr>
          <w:rFonts w:ascii="Times New Roman" w:eastAsia="Times New Roman" w:hAnsi="Times New Roman" w:cs="Times New Roman"/>
          <w:lang w:eastAsia="pl-PL"/>
        </w:rPr>
        <w:t xml:space="preserve">art. 45 </w:t>
      </w:r>
      <w:r w:rsidR="00245BC5" w:rsidRPr="00853528">
        <w:rPr>
          <w:rFonts w:ascii="Times New Roman" w:eastAsia="Times New Roman" w:hAnsi="Times New Roman" w:cs="Times New Roman"/>
          <w:lang w:eastAsia="pl-PL"/>
        </w:rPr>
        <w:t>k</w:t>
      </w:r>
      <w:r w:rsidR="00350B98" w:rsidRPr="00853528">
        <w:rPr>
          <w:rFonts w:ascii="Times New Roman" w:eastAsia="Times New Roman" w:hAnsi="Times New Roman" w:cs="Times New Roman"/>
          <w:lang w:eastAsia="pl-PL"/>
        </w:rPr>
        <w:t>.k. byłaby ona zbędna.</w:t>
      </w:r>
    </w:p>
    <w:p w14:paraId="49E4C5F6" w14:textId="77777777" w:rsidR="00350B98" w:rsidRPr="005538D6" w:rsidRDefault="00350B98" w:rsidP="00350B98">
      <w:pPr>
        <w:pStyle w:val="Akapitzlist"/>
        <w:numPr>
          <w:ilvl w:val="0"/>
          <w:numId w:val="7"/>
        </w:numPr>
        <w:spacing w:line="360" w:lineRule="auto"/>
        <w:jc w:val="both"/>
        <w:rPr>
          <w:rFonts w:ascii="Times New Roman" w:hAnsi="Times New Roman" w:cs="Times New Roman"/>
        </w:rPr>
      </w:pPr>
      <w:r w:rsidRPr="005538D6">
        <w:rPr>
          <w:rFonts w:ascii="Times New Roman" w:hAnsi="Times New Roman" w:cs="Times New Roman"/>
        </w:rPr>
        <w:t>Wynika z powyższego, że w omawianym zakresie obowiązujący stan karnoprawny jest prawidłowy, a w szczególności odpowiada wymogom rozpatrywanego zalecenia (zarzutu).</w:t>
      </w:r>
    </w:p>
    <w:p w14:paraId="477C6340" w14:textId="77777777" w:rsidR="00D202F8" w:rsidRDefault="005C33EA" w:rsidP="005C33EA">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b/>
          <w:bCs/>
        </w:rPr>
        <w:t>Zatem w odniesieniu do najbardziej koniecznych rodzajów prz</w:t>
      </w:r>
      <w:r w:rsidR="00245BC5" w:rsidRPr="00853528">
        <w:rPr>
          <w:rFonts w:ascii="Times New Roman" w:hAnsi="Times New Roman" w:cs="Times New Roman"/>
          <w:b/>
          <w:bCs/>
        </w:rPr>
        <w:t>e</w:t>
      </w:r>
      <w:r w:rsidRPr="00853528">
        <w:rPr>
          <w:rFonts w:ascii="Times New Roman" w:hAnsi="Times New Roman" w:cs="Times New Roman"/>
          <w:b/>
          <w:bCs/>
        </w:rPr>
        <w:t xml:space="preserve">padku (korzyści i przedmiotów przeznaczonych do popełnienia przestępstwa) konieczna byłaby nowelizacja, poprzez dodanie nowego przepisu § 5 art. 165a </w:t>
      </w:r>
      <w:r w:rsidR="00245BC5" w:rsidRPr="00853528">
        <w:rPr>
          <w:rFonts w:ascii="Times New Roman" w:hAnsi="Times New Roman" w:cs="Times New Roman"/>
          <w:b/>
          <w:bCs/>
        </w:rPr>
        <w:t>k</w:t>
      </w:r>
      <w:r w:rsidRPr="00853528">
        <w:rPr>
          <w:rFonts w:ascii="Times New Roman" w:hAnsi="Times New Roman" w:cs="Times New Roman"/>
          <w:b/>
          <w:bCs/>
        </w:rPr>
        <w:t xml:space="preserve">.k. oraz </w:t>
      </w:r>
      <w:r w:rsidR="0085556F" w:rsidRPr="00853528">
        <w:rPr>
          <w:rFonts w:ascii="Times New Roman" w:hAnsi="Times New Roman" w:cs="Times New Roman"/>
          <w:b/>
          <w:bCs/>
        </w:rPr>
        <w:t xml:space="preserve">nowego </w:t>
      </w:r>
      <w:r w:rsidRPr="00853528">
        <w:rPr>
          <w:rFonts w:ascii="Times New Roman" w:hAnsi="Times New Roman" w:cs="Times New Roman"/>
          <w:b/>
          <w:bCs/>
        </w:rPr>
        <w:t xml:space="preserve">przepisu </w:t>
      </w:r>
      <w:r w:rsidR="0085556F" w:rsidRPr="00853528">
        <w:rPr>
          <w:rFonts w:ascii="Times New Roman" w:hAnsi="Times New Roman" w:cs="Times New Roman"/>
          <w:b/>
          <w:bCs/>
        </w:rPr>
        <w:t>§ 7</w:t>
      </w:r>
      <w:r w:rsidR="00071B12" w:rsidRPr="00853528">
        <w:rPr>
          <w:rFonts w:ascii="Times New Roman" w:hAnsi="Times New Roman" w:cs="Times New Roman"/>
          <w:b/>
          <w:bCs/>
        </w:rPr>
        <w:t>a</w:t>
      </w:r>
      <w:r w:rsidR="0085556F" w:rsidRPr="00853528">
        <w:rPr>
          <w:rFonts w:ascii="Times New Roman" w:hAnsi="Times New Roman" w:cs="Times New Roman"/>
          <w:b/>
          <w:bCs/>
        </w:rPr>
        <w:t xml:space="preserve"> </w:t>
      </w:r>
      <w:r w:rsidRPr="00853528">
        <w:rPr>
          <w:rFonts w:ascii="Times New Roman" w:hAnsi="Times New Roman" w:cs="Times New Roman"/>
          <w:b/>
          <w:bCs/>
        </w:rPr>
        <w:t xml:space="preserve">art. 299 </w:t>
      </w:r>
      <w:r w:rsidR="00245BC5" w:rsidRPr="00853528">
        <w:rPr>
          <w:rFonts w:ascii="Times New Roman" w:hAnsi="Times New Roman" w:cs="Times New Roman"/>
          <w:b/>
          <w:bCs/>
        </w:rPr>
        <w:t>k</w:t>
      </w:r>
      <w:r w:rsidRPr="00853528">
        <w:rPr>
          <w:rFonts w:ascii="Times New Roman" w:hAnsi="Times New Roman" w:cs="Times New Roman"/>
          <w:b/>
          <w:bCs/>
        </w:rPr>
        <w:t>.k.</w:t>
      </w:r>
      <w:r w:rsidR="0009758A" w:rsidRPr="00853528">
        <w:rPr>
          <w:rFonts w:ascii="Times New Roman" w:hAnsi="Times New Roman" w:cs="Times New Roman"/>
          <w:b/>
          <w:bCs/>
        </w:rPr>
        <w:t xml:space="preserve"> </w:t>
      </w:r>
    </w:p>
    <w:p w14:paraId="18868ED0" w14:textId="2D240378" w:rsidR="007F0817" w:rsidRPr="00D202F8" w:rsidRDefault="0009758A" w:rsidP="005C33EA">
      <w:pPr>
        <w:pStyle w:val="Akapitzlist"/>
        <w:numPr>
          <w:ilvl w:val="0"/>
          <w:numId w:val="7"/>
        </w:numPr>
        <w:spacing w:line="360" w:lineRule="auto"/>
        <w:jc w:val="both"/>
        <w:rPr>
          <w:rFonts w:ascii="Times New Roman" w:hAnsi="Times New Roman" w:cs="Times New Roman"/>
        </w:rPr>
      </w:pPr>
      <w:r w:rsidRPr="00D202F8">
        <w:rPr>
          <w:rFonts w:ascii="Times New Roman" w:hAnsi="Times New Roman" w:cs="Times New Roman"/>
        </w:rPr>
        <w:t xml:space="preserve">Nowelizacja ta ma jednak charakter bardziej kompleksowy i </w:t>
      </w:r>
      <w:r w:rsidR="00D202F8" w:rsidRPr="00D202F8">
        <w:rPr>
          <w:rFonts w:ascii="Times New Roman" w:hAnsi="Times New Roman" w:cs="Times New Roman"/>
        </w:rPr>
        <w:t xml:space="preserve">tylko </w:t>
      </w:r>
      <w:r w:rsidRPr="00D202F8">
        <w:rPr>
          <w:rFonts w:ascii="Times New Roman" w:hAnsi="Times New Roman" w:cs="Times New Roman"/>
        </w:rPr>
        <w:t>przy okazji realizuje rozpatrywaną tutaj rekomendację (zarzut).</w:t>
      </w:r>
      <w:r w:rsidR="00D202F8" w:rsidRPr="00D202F8">
        <w:rPr>
          <w:rFonts w:ascii="Times New Roman" w:hAnsi="Times New Roman" w:cs="Times New Roman"/>
        </w:rPr>
        <w:t xml:space="preserve"> W pierwszej kolejności załatwiłaby ona, obecnie istniejący, systemowy problem przepadku odnośnie do omawianych przestępstw. </w:t>
      </w:r>
    </w:p>
    <w:p w14:paraId="4BFDC650" w14:textId="5A2ADB92" w:rsidR="00410D17" w:rsidRPr="00853528" w:rsidRDefault="005C33EA" w:rsidP="00410D17">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rPr>
        <w:t>Konieczne jest ponadto rozpatrzenie możliwości orzeczenia przepadku</w:t>
      </w:r>
      <w:r w:rsidRPr="00853528">
        <w:rPr>
          <w:rFonts w:ascii="Times New Roman" w:hAnsi="Times New Roman" w:cs="Times New Roman"/>
          <w:b/>
          <w:bCs/>
        </w:rPr>
        <w:t xml:space="preserve"> </w:t>
      </w:r>
      <w:r w:rsidRPr="00853528">
        <w:rPr>
          <w:rFonts w:ascii="Times New Roman" w:hAnsi="Times New Roman" w:cs="Times New Roman"/>
        </w:rPr>
        <w:t xml:space="preserve">przedmiotów pochodzących bezpośrednio z przestępstwa (art. 44 § 1 </w:t>
      </w:r>
      <w:r w:rsidR="00245BC5" w:rsidRPr="00853528">
        <w:rPr>
          <w:rFonts w:ascii="Times New Roman" w:hAnsi="Times New Roman" w:cs="Times New Roman"/>
        </w:rPr>
        <w:t>k</w:t>
      </w:r>
      <w:r w:rsidRPr="00853528">
        <w:rPr>
          <w:rFonts w:ascii="Times New Roman" w:hAnsi="Times New Roman" w:cs="Times New Roman"/>
        </w:rPr>
        <w:t>.k.). Jest to przy tym przypadek (przepadek) mniej typowy dla rozważanych tutaj przestępstw. W praktyce bowiem zachodzi zazwyczaj konieczność konfiskaty „narzędzi” i „owoców” przestępstwa, co było przedmiotem powyższych rozważań</w:t>
      </w:r>
      <w:r w:rsidR="007F0817" w:rsidRPr="00853528">
        <w:rPr>
          <w:rFonts w:ascii="Times New Roman" w:hAnsi="Times New Roman" w:cs="Times New Roman"/>
        </w:rPr>
        <w:t xml:space="preserve"> (zob. art. 44 § 2 i art. 45 </w:t>
      </w:r>
      <w:r w:rsidR="00245BC5" w:rsidRPr="00853528">
        <w:rPr>
          <w:rFonts w:ascii="Times New Roman" w:hAnsi="Times New Roman" w:cs="Times New Roman"/>
        </w:rPr>
        <w:t>k</w:t>
      </w:r>
      <w:r w:rsidR="007F0817" w:rsidRPr="00853528">
        <w:rPr>
          <w:rFonts w:ascii="Times New Roman" w:hAnsi="Times New Roman" w:cs="Times New Roman"/>
        </w:rPr>
        <w:t>.k.)</w:t>
      </w:r>
      <w:r w:rsidRPr="00853528">
        <w:rPr>
          <w:rFonts w:ascii="Times New Roman" w:hAnsi="Times New Roman" w:cs="Times New Roman"/>
        </w:rPr>
        <w:t xml:space="preserve">. Odnośnie do omawianego przypadku należy w pierwszej kolejności wskazać na przepis § 4 art. 44, </w:t>
      </w:r>
      <w:r w:rsidR="007F0817" w:rsidRPr="00853528">
        <w:rPr>
          <w:rFonts w:ascii="Times New Roman" w:hAnsi="Times New Roman" w:cs="Times New Roman"/>
        </w:rPr>
        <w:t xml:space="preserve">zgodnie z którym: </w:t>
      </w:r>
      <w:r w:rsidRPr="00853528">
        <w:rPr>
          <w:rFonts w:ascii="Times New Roman" w:hAnsi="Times New Roman" w:cs="Times New Roman"/>
        </w:rPr>
        <w:t xml:space="preserve">jeżeli orzeczenie przepadku </w:t>
      </w:r>
      <w:r w:rsidR="007F0817" w:rsidRPr="00853528">
        <w:rPr>
          <w:rFonts w:ascii="Times New Roman" w:hAnsi="Times New Roman" w:cs="Times New Roman"/>
        </w:rPr>
        <w:t xml:space="preserve">przedmiotu pochodzącego bezpośrednio </w:t>
      </w:r>
      <w:r w:rsidR="007F0817" w:rsidRPr="00853528">
        <w:rPr>
          <w:rFonts w:ascii="Times New Roman" w:hAnsi="Times New Roman" w:cs="Times New Roman"/>
        </w:rPr>
        <w:lastRenderedPageBreak/>
        <w:t>z przestępstwa</w:t>
      </w:r>
      <w:r w:rsidRPr="00853528">
        <w:rPr>
          <w:rFonts w:ascii="Times New Roman" w:hAnsi="Times New Roman" w:cs="Times New Roman"/>
        </w:rPr>
        <w:t xml:space="preserve"> nie jest możliwe, sąd może orzec przepadek </w:t>
      </w:r>
      <w:r w:rsidR="007F0817" w:rsidRPr="00853528">
        <w:rPr>
          <w:rFonts w:ascii="Times New Roman" w:hAnsi="Times New Roman" w:cs="Times New Roman"/>
        </w:rPr>
        <w:t xml:space="preserve">jego </w:t>
      </w:r>
      <w:r w:rsidRPr="00853528">
        <w:rPr>
          <w:rFonts w:ascii="Times New Roman" w:hAnsi="Times New Roman" w:cs="Times New Roman"/>
        </w:rPr>
        <w:t>równowartości</w:t>
      </w:r>
      <w:r w:rsidR="007F0817" w:rsidRPr="00853528">
        <w:rPr>
          <w:rFonts w:ascii="Times New Roman" w:hAnsi="Times New Roman" w:cs="Times New Roman"/>
        </w:rPr>
        <w:t xml:space="preserve">. W odniesieniu do przestępstwa z art. 299 </w:t>
      </w:r>
      <w:r w:rsidR="00245BC5" w:rsidRPr="00853528">
        <w:rPr>
          <w:rFonts w:ascii="Times New Roman" w:hAnsi="Times New Roman" w:cs="Times New Roman"/>
        </w:rPr>
        <w:t>k</w:t>
      </w:r>
      <w:r w:rsidR="007F0817" w:rsidRPr="00853528">
        <w:rPr>
          <w:rFonts w:ascii="Times New Roman" w:hAnsi="Times New Roman" w:cs="Times New Roman"/>
        </w:rPr>
        <w:t>.k. ustawodawca przewidział regulację szczególną, zgodnie z którą sąd orzeka przepadek „</w:t>
      </w:r>
      <w:r w:rsidR="007F0817" w:rsidRPr="00853528">
        <w:rPr>
          <w:rFonts w:ascii="Times New Roman" w:eastAsia="Times New Roman" w:hAnsi="Times New Roman" w:cs="Times New Roman"/>
          <w:lang w:eastAsia="pl-PL"/>
        </w:rPr>
        <w:t xml:space="preserve">przedmiotów pochodzących bezpośrednio albo pośrednio z przestępstwa” (art. 299 § 7 </w:t>
      </w:r>
      <w:r w:rsidR="00245BC5" w:rsidRPr="00853528">
        <w:rPr>
          <w:rFonts w:ascii="Times New Roman" w:eastAsia="Times New Roman" w:hAnsi="Times New Roman" w:cs="Times New Roman"/>
          <w:lang w:eastAsia="pl-PL"/>
        </w:rPr>
        <w:t>k</w:t>
      </w:r>
      <w:r w:rsidR="007F0817" w:rsidRPr="00853528">
        <w:rPr>
          <w:rFonts w:ascii="Times New Roman" w:eastAsia="Times New Roman" w:hAnsi="Times New Roman" w:cs="Times New Roman"/>
          <w:lang w:eastAsia="pl-PL"/>
        </w:rPr>
        <w:t>.k.). W porównaniu do przepisów art. 4</w:t>
      </w:r>
      <w:r w:rsidR="00A077C3" w:rsidRPr="00853528">
        <w:rPr>
          <w:rFonts w:ascii="Times New Roman" w:eastAsia="Times New Roman" w:hAnsi="Times New Roman" w:cs="Times New Roman"/>
          <w:lang w:eastAsia="pl-PL"/>
        </w:rPr>
        <w:t>4 § 1</w:t>
      </w:r>
      <w:r w:rsidR="007F0817" w:rsidRPr="00853528">
        <w:rPr>
          <w:rFonts w:ascii="Times New Roman" w:eastAsia="Times New Roman" w:hAnsi="Times New Roman" w:cs="Times New Roman"/>
          <w:lang w:eastAsia="pl-PL"/>
        </w:rPr>
        <w:t xml:space="preserve"> </w:t>
      </w:r>
      <w:r w:rsidR="00245BC5" w:rsidRPr="00853528">
        <w:rPr>
          <w:rFonts w:ascii="Times New Roman" w:eastAsia="Times New Roman" w:hAnsi="Times New Roman" w:cs="Times New Roman"/>
          <w:lang w:eastAsia="pl-PL"/>
        </w:rPr>
        <w:t>k</w:t>
      </w:r>
      <w:r w:rsidR="007F0817" w:rsidRPr="00853528">
        <w:rPr>
          <w:rFonts w:ascii="Times New Roman" w:eastAsia="Times New Roman" w:hAnsi="Times New Roman" w:cs="Times New Roman"/>
          <w:lang w:eastAsia="pl-PL"/>
        </w:rPr>
        <w:t xml:space="preserve">.k., przepis art. 299 § 7 </w:t>
      </w:r>
      <w:r w:rsidR="00245BC5" w:rsidRPr="00853528">
        <w:rPr>
          <w:rFonts w:ascii="Times New Roman" w:eastAsia="Times New Roman" w:hAnsi="Times New Roman" w:cs="Times New Roman"/>
          <w:lang w:eastAsia="pl-PL"/>
        </w:rPr>
        <w:t>k</w:t>
      </w:r>
      <w:r w:rsidR="007F0817" w:rsidRPr="00853528">
        <w:rPr>
          <w:rFonts w:ascii="Times New Roman" w:eastAsia="Times New Roman" w:hAnsi="Times New Roman" w:cs="Times New Roman"/>
          <w:lang w:eastAsia="pl-PL"/>
        </w:rPr>
        <w:t>.k. dotyczy</w:t>
      </w:r>
      <w:r w:rsidR="00A077C3" w:rsidRPr="00853528">
        <w:rPr>
          <w:rFonts w:ascii="Times New Roman" w:eastAsia="Times New Roman" w:hAnsi="Times New Roman" w:cs="Times New Roman"/>
          <w:lang w:eastAsia="pl-PL"/>
        </w:rPr>
        <w:t xml:space="preserve"> szerszego zakresu przypadków (przepadków), ponieważ odnosi się również do przedmiotów pochodzących tylko pośrednio z przestępstwa.</w:t>
      </w:r>
      <w:r w:rsidR="00270E19" w:rsidRPr="00853528">
        <w:rPr>
          <w:rFonts w:ascii="Times New Roman" w:eastAsia="Times New Roman" w:hAnsi="Times New Roman" w:cs="Times New Roman"/>
          <w:lang w:eastAsia="pl-PL"/>
        </w:rPr>
        <w:t xml:space="preserve"> Jest to w istocie nowy szczególny rodzaj przepadku, który wydaje się zbędny. Obowiązujący model instytucji karnoprawnego przypadku opiera się bowiem na słusznym założeniu, że przedmioty wskazane w art. 44 i 45 </w:t>
      </w:r>
      <w:r w:rsidR="00245BC5" w:rsidRPr="00853528">
        <w:rPr>
          <w:rFonts w:ascii="Times New Roman" w:eastAsia="Times New Roman" w:hAnsi="Times New Roman" w:cs="Times New Roman"/>
          <w:lang w:eastAsia="pl-PL"/>
        </w:rPr>
        <w:t>k</w:t>
      </w:r>
      <w:r w:rsidR="00270E19" w:rsidRPr="00853528">
        <w:rPr>
          <w:rFonts w:ascii="Times New Roman" w:eastAsia="Times New Roman" w:hAnsi="Times New Roman" w:cs="Times New Roman"/>
          <w:lang w:eastAsia="pl-PL"/>
        </w:rPr>
        <w:t xml:space="preserve">.k. wypełniają wszystkie możliwe i konieczne </w:t>
      </w:r>
      <w:r w:rsidR="0009758A" w:rsidRPr="00853528">
        <w:rPr>
          <w:rFonts w:ascii="Times New Roman" w:eastAsia="Times New Roman" w:hAnsi="Times New Roman" w:cs="Times New Roman"/>
          <w:lang w:eastAsia="pl-PL"/>
        </w:rPr>
        <w:t xml:space="preserve">przypadki przepadku. Nie przewidują one przepadku rzeczy pochodzących pośrednio z przestępstwa, ponieważ trafnie identyfikuje wszystkie „owoce” przestępstwa jako rzeczy pochodzące z niego bezpośrednio albo </w:t>
      </w:r>
      <w:r w:rsidR="00A37945" w:rsidRPr="00853528">
        <w:rPr>
          <w:rFonts w:ascii="Times New Roman" w:eastAsia="Times New Roman" w:hAnsi="Times New Roman" w:cs="Times New Roman"/>
          <w:lang w:eastAsia="pl-PL"/>
        </w:rPr>
        <w:t xml:space="preserve">jako </w:t>
      </w:r>
      <w:r w:rsidR="0009758A" w:rsidRPr="00853528">
        <w:rPr>
          <w:rFonts w:ascii="Times New Roman" w:eastAsia="Times New Roman" w:hAnsi="Times New Roman" w:cs="Times New Roman"/>
          <w:lang w:eastAsia="pl-PL"/>
        </w:rPr>
        <w:t>korzyści pochodzące z niego</w:t>
      </w:r>
      <w:r w:rsidR="00A37945" w:rsidRPr="00853528">
        <w:rPr>
          <w:rFonts w:ascii="Times New Roman" w:eastAsia="Times New Roman" w:hAnsi="Times New Roman" w:cs="Times New Roman"/>
          <w:lang w:eastAsia="pl-PL"/>
        </w:rPr>
        <w:t>,</w:t>
      </w:r>
      <w:r w:rsidR="0009758A" w:rsidRPr="00853528">
        <w:rPr>
          <w:rFonts w:ascii="Times New Roman" w:eastAsia="Times New Roman" w:hAnsi="Times New Roman" w:cs="Times New Roman"/>
          <w:lang w:eastAsia="pl-PL"/>
        </w:rPr>
        <w:t xml:space="preserve"> nawet pośrednio. W związku z tym wydaje się, że obecny przepis § 7 art. 299 </w:t>
      </w:r>
      <w:r w:rsidR="00245BC5" w:rsidRPr="00853528">
        <w:rPr>
          <w:rFonts w:ascii="Times New Roman" w:eastAsia="Times New Roman" w:hAnsi="Times New Roman" w:cs="Times New Roman"/>
          <w:lang w:eastAsia="pl-PL"/>
        </w:rPr>
        <w:t>k</w:t>
      </w:r>
      <w:r w:rsidR="0009758A" w:rsidRPr="00853528">
        <w:rPr>
          <w:rFonts w:ascii="Times New Roman" w:eastAsia="Times New Roman" w:hAnsi="Times New Roman" w:cs="Times New Roman"/>
          <w:lang w:eastAsia="pl-PL"/>
        </w:rPr>
        <w:t>.k. w omawianym zakresie jest wadliwy i wymaga korekty negatywnej</w:t>
      </w:r>
      <w:r w:rsidR="00E43C79" w:rsidRPr="00853528">
        <w:rPr>
          <w:rFonts w:ascii="Times New Roman" w:eastAsia="Times New Roman" w:hAnsi="Times New Roman" w:cs="Times New Roman"/>
          <w:lang w:eastAsia="pl-PL"/>
        </w:rPr>
        <w:t xml:space="preserve"> (całkowitego uchylenia)</w:t>
      </w:r>
      <w:r w:rsidR="0009758A" w:rsidRPr="00853528">
        <w:rPr>
          <w:rFonts w:ascii="Times New Roman" w:eastAsia="Times New Roman" w:hAnsi="Times New Roman" w:cs="Times New Roman"/>
          <w:lang w:eastAsia="pl-PL"/>
        </w:rPr>
        <w:t xml:space="preserve">. W odniesieniu do art. 165a </w:t>
      </w:r>
      <w:r w:rsidR="00245BC5" w:rsidRPr="00853528">
        <w:rPr>
          <w:rFonts w:ascii="Times New Roman" w:eastAsia="Times New Roman" w:hAnsi="Times New Roman" w:cs="Times New Roman"/>
          <w:lang w:eastAsia="pl-PL"/>
        </w:rPr>
        <w:t>k</w:t>
      </w:r>
      <w:r w:rsidR="0009758A" w:rsidRPr="00853528">
        <w:rPr>
          <w:rFonts w:ascii="Times New Roman" w:eastAsia="Times New Roman" w:hAnsi="Times New Roman" w:cs="Times New Roman"/>
          <w:lang w:eastAsia="pl-PL"/>
        </w:rPr>
        <w:t xml:space="preserve">.k. ustawodawca nie przewidział tutaj regulacji szczególnej. Dodać należy, że w kontekście </w:t>
      </w:r>
      <w:r w:rsidR="00D202F8">
        <w:rPr>
          <w:rFonts w:ascii="Times New Roman" w:eastAsia="Times New Roman" w:hAnsi="Times New Roman" w:cs="Times New Roman"/>
          <w:lang w:eastAsia="pl-PL"/>
        </w:rPr>
        <w:t xml:space="preserve">treści przepisów </w:t>
      </w:r>
      <w:r w:rsidR="0009758A" w:rsidRPr="00853528">
        <w:rPr>
          <w:rFonts w:ascii="Times New Roman" w:eastAsia="Times New Roman" w:hAnsi="Times New Roman" w:cs="Times New Roman"/>
          <w:lang w:eastAsia="pl-PL"/>
        </w:rPr>
        <w:t xml:space="preserve">art. 44 i 45 </w:t>
      </w:r>
      <w:r w:rsidR="00245BC5" w:rsidRPr="00853528">
        <w:rPr>
          <w:rFonts w:ascii="Times New Roman" w:eastAsia="Times New Roman" w:hAnsi="Times New Roman" w:cs="Times New Roman"/>
          <w:lang w:eastAsia="pl-PL"/>
        </w:rPr>
        <w:t>k</w:t>
      </w:r>
      <w:r w:rsidR="0009758A" w:rsidRPr="00853528">
        <w:rPr>
          <w:rFonts w:ascii="Times New Roman" w:eastAsia="Times New Roman" w:hAnsi="Times New Roman" w:cs="Times New Roman"/>
          <w:lang w:eastAsia="pl-PL"/>
        </w:rPr>
        <w:t>.k. byłaby ona zbędna.</w:t>
      </w:r>
    </w:p>
    <w:p w14:paraId="77FBDB9F" w14:textId="464791D6" w:rsidR="00410D17" w:rsidRPr="00853528" w:rsidRDefault="00410D17" w:rsidP="00410D17">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rPr>
        <w:t xml:space="preserve">W związku z powyższym, już tylko na marginesie należy wskazać, że przepis § 7 art. 299 </w:t>
      </w:r>
      <w:r w:rsidR="00245BC5" w:rsidRPr="00853528">
        <w:rPr>
          <w:rFonts w:ascii="Times New Roman" w:hAnsi="Times New Roman" w:cs="Times New Roman"/>
        </w:rPr>
        <w:t>k</w:t>
      </w:r>
      <w:r w:rsidRPr="00853528">
        <w:rPr>
          <w:rFonts w:ascii="Times New Roman" w:hAnsi="Times New Roman" w:cs="Times New Roman"/>
        </w:rPr>
        <w:t xml:space="preserve">.k. można interpretować w ten sposób, że wskazany w </w:t>
      </w:r>
      <w:r w:rsidR="00245BC5" w:rsidRPr="00853528">
        <w:rPr>
          <w:rFonts w:ascii="Times New Roman" w:hAnsi="Times New Roman" w:cs="Times New Roman"/>
        </w:rPr>
        <w:t xml:space="preserve">nim </w:t>
      </w:r>
      <w:r w:rsidRPr="00853528">
        <w:rPr>
          <w:rFonts w:ascii="Times New Roman" w:hAnsi="Times New Roman" w:cs="Times New Roman"/>
        </w:rPr>
        <w:t xml:space="preserve">przepadek przedmiotów pochodzących z przestępstwa może dotyczyć również przedmiotów, które nie stanowiły własności sprawcy, czego nie przewidują przepisy art. 44 (§ 1) </w:t>
      </w:r>
      <w:r w:rsidR="00245BC5" w:rsidRPr="00853528">
        <w:rPr>
          <w:rFonts w:ascii="Times New Roman" w:hAnsi="Times New Roman" w:cs="Times New Roman"/>
        </w:rPr>
        <w:t>k</w:t>
      </w:r>
      <w:r w:rsidRPr="00853528">
        <w:rPr>
          <w:rFonts w:ascii="Times New Roman" w:hAnsi="Times New Roman" w:cs="Times New Roman"/>
        </w:rPr>
        <w:t xml:space="preserve">.k. Nawet jednak przyjmując taką interpretację należy wtedy wskazać na przepis § 4 art. 44 </w:t>
      </w:r>
      <w:r w:rsidR="00245BC5" w:rsidRPr="00853528">
        <w:rPr>
          <w:rFonts w:ascii="Times New Roman" w:hAnsi="Times New Roman" w:cs="Times New Roman"/>
        </w:rPr>
        <w:t>k</w:t>
      </w:r>
      <w:r w:rsidRPr="00853528">
        <w:rPr>
          <w:rFonts w:ascii="Times New Roman" w:hAnsi="Times New Roman" w:cs="Times New Roman"/>
        </w:rPr>
        <w:t xml:space="preserve">.k., zgodnie z którym: jeżeli orzeczenie przepadku omawianych przedmiotów nie jest możliwe, sąd może orzec przepadek ich równowartości. Oznacza to, że w ostatecznej ocenie przepis § 7 art. 299 </w:t>
      </w:r>
      <w:r w:rsidR="00245BC5" w:rsidRPr="00853528">
        <w:rPr>
          <w:rFonts w:ascii="Times New Roman" w:hAnsi="Times New Roman" w:cs="Times New Roman"/>
        </w:rPr>
        <w:t>k</w:t>
      </w:r>
      <w:r w:rsidRPr="00853528">
        <w:rPr>
          <w:rFonts w:ascii="Times New Roman" w:hAnsi="Times New Roman" w:cs="Times New Roman"/>
        </w:rPr>
        <w:t xml:space="preserve">.k., w omawianym zakresie, nadal należy uznać za zbędny.  </w:t>
      </w:r>
    </w:p>
    <w:p w14:paraId="0EFE2BD7" w14:textId="61F7D697" w:rsidR="008B6939" w:rsidRPr="00853528" w:rsidRDefault="0009758A" w:rsidP="009A79A0">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rPr>
        <w:t xml:space="preserve">Powyższa konstatacja, zgodnie z którą </w:t>
      </w:r>
      <w:r w:rsidR="002E754D" w:rsidRPr="00853528">
        <w:rPr>
          <w:rFonts w:ascii="Times New Roman" w:hAnsi="Times New Roman" w:cs="Times New Roman"/>
        </w:rPr>
        <w:t xml:space="preserve">przepisy </w:t>
      </w:r>
      <w:r w:rsidRPr="00853528">
        <w:rPr>
          <w:rFonts w:ascii="Times New Roman" w:hAnsi="Times New Roman" w:cs="Times New Roman"/>
        </w:rPr>
        <w:t xml:space="preserve">art. 44 i 45 </w:t>
      </w:r>
      <w:r w:rsidR="00245BC5" w:rsidRPr="00853528">
        <w:rPr>
          <w:rFonts w:ascii="Times New Roman" w:hAnsi="Times New Roman" w:cs="Times New Roman"/>
        </w:rPr>
        <w:t>k</w:t>
      </w:r>
      <w:r w:rsidRPr="00853528">
        <w:rPr>
          <w:rFonts w:ascii="Times New Roman" w:hAnsi="Times New Roman" w:cs="Times New Roman"/>
        </w:rPr>
        <w:t>.k. wyczerpująco przewidują możliwe i konieczne przypadk</w:t>
      </w:r>
      <w:r w:rsidR="008B6939" w:rsidRPr="00853528">
        <w:rPr>
          <w:rFonts w:ascii="Times New Roman" w:hAnsi="Times New Roman" w:cs="Times New Roman"/>
        </w:rPr>
        <w:t>i</w:t>
      </w:r>
      <w:r w:rsidRPr="00853528">
        <w:rPr>
          <w:rFonts w:ascii="Times New Roman" w:hAnsi="Times New Roman" w:cs="Times New Roman"/>
        </w:rPr>
        <w:t xml:space="preserve"> przepadku</w:t>
      </w:r>
      <w:r w:rsidR="00245BC5" w:rsidRPr="00853528">
        <w:rPr>
          <w:rFonts w:ascii="Times New Roman" w:hAnsi="Times New Roman" w:cs="Times New Roman"/>
        </w:rPr>
        <w:t>,</w:t>
      </w:r>
      <w:r w:rsidR="008B6939" w:rsidRPr="00853528">
        <w:rPr>
          <w:rFonts w:ascii="Times New Roman" w:hAnsi="Times New Roman" w:cs="Times New Roman"/>
        </w:rPr>
        <w:t xml:space="preserve"> mogłaby wydawać się sprzeczna z ww. propozycją koniecznej nowelizacji w przepisach art. 165a i 299 </w:t>
      </w:r>
      <w:r w:rsidR="00245BC5" w:rsidRPr="00853528">
        <w:rPr>
          <w:rFonts w:ascii="Times New Roman" w:hAnsi="Times New Roman" w:cs="Times New Roman"/>
        </w:rPr>
        <w:t>k</w:t>
      </w:r>
      <w:r w:rsidR="008B6939" w:rsidRPr="00853528">
        <w:rPr>
          <w:rFonts w:ascii="Times New Roman" w:hAnsi="Times New Roman" w:cs="Times New Roman"/>
        </w:rPr>
        <w:t>.k. Jest ona uzasadniona z następujących istotnych powodów:</w:t>
      </w:r>
    </w:p>
    <w:p w14:paraId="32A6BB5E" w14:textId="1727E0E1" w:rsidR="008B6939" w:rsidRPr="00853528" w:rsidRDefault="002101E4" w:rsidP="008B6939">
      <w:pPr>
        <w:pStyle w:val="Akapitzlist"/>
        <w:numPr>
          <w:ilvl w:val="0"/>
          <w:numId w:val="10"/>
        </w:numPr>
        <w:spacing w:line="360" w:lineRule="auto"/>
        <w:jc w:val="both"/>
        <w:rPr>
          <w:rFonts w:ascii="Times New Roman" w:hAnsi="Times New Roman" w:cs="Times New Roman"/>
          <w:b/>
          <w:bCs/>
        </w:rPr>
      </w:pPr>
      <w:r>
        <w:rPr>
          <w:rFonts w:ascii="Times New Roman" w:hAnsi="Times New Roman" w:cs="Times New Roman"/>
        </w:rPr>
        <w:t>W zakresie art. 299, p</w:t>
      </w:r>
      <w:r w:rsidR="008B6939" w:rsidRPr="00853528">
        <w:rPr>
          <w:rFonts w:ascii="Times New Roman" w:hAnsi="Times New Roman" w:cs="Times New Roman"/>
        </w:rPr>
        <w:t xml:space="preserve">rzepis art. 44 § 2 </w:t>
      </w:r>
      <w:r w:rsidR="00245BC5" w:rsidRPr="00853528">
        <w:rPr>
          <w:rFonts w:ascii="Times New Roman" w:hAnsi="Times New Roman" w:cs="Times New Roman"/>
        </w:rPr>
        <w:t>k</w:t>
      </w:r>
      <w:r w:rsidR="008B6939" w:rsidRPr="00853528">
        <w:rPr>
          <w:rFonts w:ascii="Times New Roman" w:hAnsi="Times New Roman" w:cs="Times New Roman"/>
        </w:rPr>
        <w:t>.k. wskazuje na przepadek tylko fakultatywnie, tymczasem ww. propozycja sprowadza się do obligatoryjnego przepadku, co wydaje się konieczne w odniesieniu do omawianych przestępstw.</w:t>
      </w:r>
    </w:p>
    <w:p w14:paraId="68E3FB82" w14:textId="40C2946F" w:rsidR="008B6939" w:rsidRPr="00853528" w:rsidRDefault="008B6939" w:rsidP="008B6939">
      <w:pPr>
        <w:pStyle w:val="Akapitzlist"/>
        <w:numPr>
          <w:ilvl w:val="0"/>
          <w:numId w:val="10"/>
        </w:numPr>
        <w:spacing w:line="360" w:lineRule="auto"/>
        <w:jc w:val="both"/>
        <w:rPr>
          <w:rFonts w:ascii="Times New Roman" w:hAnsi="Times New Roman" w:cs="Times New Roman"/>
          <w:b/>
          <w:bCs/>
        </w:rPr>
      </w:pPr>
      <w:r w:rsidRPr="00853528">
        <w:rPr>
          <w:rFonts w:ascii="Times New Roman" w:hAnsi="Times New Roman" w:cs="Times New Roman"/>
        </w:rPr>
        <w:lastRenderedPageBreak/>
        <w:t>Zgodnie z art</w:t>
      </w:r>
      <w:r w:rsidR="0009758A" w:rsidRPr="00853528">
        <w:rPr>
          <w:rFonts w:ascii="Times New Roman" w:hAnsi="Times New Roman" w:cs="Times New Roman"/>
        </w:rPr>
        <w:t xml:space="preserve">. 44 § 7 </w:t>
      </w:r>
      <w:r w:rsidR="00245BC5" w:rsidRPr="00853528">
        <w:rPr>
          <w:rFonts w:ascii="Times New Roman" w:hAnsi="Times New Roman" w:cs="Times New Roman"/>
        </w:rPr>
        <w:t>k</w:t>
      </w:r>
      <w:r w:rsidR="0009758A" w:rsidRPr="00853528">
        <w:rPr>
          <w:rFonts w:ascii="Times New Roman" w:hAnsi="Times New Roman" w:cs="Times New Roman"/>
        </w:rPr>
        <w:t>.k., przepadek przedmiotów przeznaczonych do popełnienia przestępstwa, a niebędących własnością sprawcy</w:t>
      </w:r>
      <w:r w:rsidR="00A37945" w:rsidRPr="00853528">
        <w:rPr>
          <w:rFonts w:ascii="Times New Roman" w:hAnsi="Times New Roman" w:cs="Times New Roman"/>
        </w:rPr>
        <w:t>,</w:t>
      </w:r>
      <w:r w:rsidR="0009758A" w:rsidRPr="00853528">
        <w:rPr>
          <w:rFonts w:ascii="Times New Roman" w:hAnsi="Times New Roman" w:cs="Times New Roman"/>
        </w:rPr>
        <w:t xml:space="preserve"> wymaga wskazania tego w ustawie. </w:t>
      </w:r>
    </w:p>
    <w:p w14:paraId="4450D79E" w14:textId="77777777" w:rsidR="00EC263C" w:rsidRPr="00EC263C" w:rsidRDefault="009A79A0" w:rsidP="0089557B">
      <w:pPr>
        <w:pStyle w:val="Akapitzlist"/>
        <w:numPr>
          <w:ilvl w:val="0"/>
          <w:numId w:val="10"/>
        </w:numPr>
        <w:spacing w:line="360" w:lineRule="auto"/>
        <w:jc w:val="both"/>
        <w:rPr>
          <w:rFonts w:ascii="Times New Roman" w:hAnsi="Times New Roman" w:cs="Times New Roman"/>
          <w:b/>
          <w:bCs/>
        </w:rPr>
      </w:pPr>
      <w:r w:rsidRPr="00853528">
        <w:rPr>
          <w:rFonts w:ascii="Times New Roman" w:hAnsi="Times New Roman" w:cs="Times New Roman"/>
        </w:rPr>
        <w:t xml:space="preserve">Jak już wskazano, wskazany w art. 44 § 2 </w:t>
      </w:r>
      <w:r w:rsidR="00245BC5" w:rsidRPr="00853528">
        <w:rPr>
          <w:rFonts w:ascii="Times New Roman" w:hAnsi="Times New Roman" w:cs="Times New Roman"/>
        </w:rPr>
        <w:t>k</w:t>
      </w:r>
      <w:r w:rsidRPr="00853528">
        <w:rPr>
          <w:rFonts w:ascii="Times New Roman" w:hAnsi="Times New Roman" w:cs="Times New Roman"/>
        </w:rPr>
        <w:t xml:space="preserve">.k., przepadek przedmiotów, które służyły do popełnienia przestępstwa, identyfikuje się tradycyjnie jako przepadek odnoszący się do rzeczy materialnych. Tymczasem w art. 165a i 299 </w:t>
      </w:r>
      <w:r w:rsidR="00245BC5" w:rsidRPr="00853528">
        <w:rPr>
          <w:rFonts w:ascii="Times New Roman" w:hAnsi="Times New Roman" w:cs="Times New Roman"/>
        </w:rPr>
        <w:t>k</w:t>
      </w:r>
      <w:r w:rsidRPr="00853528">
        <w:rPr>
          <w:rFonts w:ascii="Times New Roman" w:hAnsi="Times New Roman" w:cs="Times New Roman"/>
        </w:rPr>
        <w:t xml:space="preserve">.k. wymienia się </w:t>
      </w:r>
      <w:r w:rsidR="00410D17" w:rsidRPr="00853528">
        <w:rPr>
          <w:rFonts w:ascii="Times New Roman" w:hAnsi="Times New Roman" w:cs="Times New Roman"/>
        </w:rPr>
        <w:t xml:space="preserve">również </w:t>
      </w:r>
      <w:r w:rsidRPr="00853528">
        <w:rPr>
          <w:rFonts w:ascii="Times New Roman" w:hAnsi="Times New Roman" w:cs="Times New Roman"/>
        </w:rPr>
        <w:t>przedmiot</w:t>
      </w:r>
      <w:r w:rsidR="00A37945" w:rsidRPr="00853528">
        <w:rPr>
          <w:rFonts w:ascii="Times New Roman" w:hAnsi="Times New Roman" w:cs="Times New Roman"/>
        </w:rPr>
        <w:t>y</w:t>
      </w:r>
      <w:r w:rsidRPr="00853528">
        <w:rPr>
          <w:rFonts w:ascii="Times New Roman" w:hAnsi="Times New Roman" w:cs="Times New Roman"/>
        </w:rPr>
        <w:t xml:space="preserve"> służące do ich popełnienia, które takiego charakteru nie mają. </w:t>
      </w:r>
    </w:p>
    <w:p w14:paraId="757EBEB2" w14:textId="790A09D0" w:rsidR="00D202F8" w:rsidRPr="00D202F8" w:rsidRDefault="009A79A0" w:rsidP="0089557B">
      <w:pPr>
        <w:pStyle w:val="Akapitzlist"/>
        <w:numPr>
          <w:ilvl w:val="0"/>
          <w:numId w:val="10"/>
        </w:numPr>
        <w:spacing w:line="360" w:lineRule="auto"/>
        <w:jc w:val="both"/>
        <w:rPr>
          <w:rFonts w:ascii="Times New Roman" w:hAnsi="Times New Roman" w:cs="Times New Roman"/>
          <w:b/>
          <w:bCs/>
        </w:rPr>
      </w:pPr>
      <w:r w:rsidRPr="00853528">
        <w:rPr>
          <w:rFonts w:ascii="Times New Roman" w:hAnsi="Times New Roman" w:cs="Times New Roman"/>
        </w:rPr>
        <w:t xml:space="preserve">Ponadto, na kanwie </w:t>
      </w:r>
      <w:r w:rsidR="00EC263C">
        <w:rPr>
          <w:rFonts w:ascii="Times New Roman" w:hAnsi="Times New Roman" w:cs="Times New Roman"/>
        </w:rPr>
        <w:t xml:space="preserve">art. 44 § 2 </w:t>
      </w:r>
      <w:r w:rsidRPr="00853528">
        <w:rPr>
          <w:rFonts w:ascii="Times New Roman" w:hAnsi="Times New Roman" w:cs="Times New Roman"/>
        </w:rPr>
        <w:t>możliwa jest interpretacja, zgodnie z którą w przepisach tych wymienia się przedmiot czynu</w:t>
      </w:r>
      <w:r w:rsidR="00A37945" w:rsidRPr="00853528">
        <w:rPr>
          <w:rFonts w:ascii="Times New Roman" w:hAnsi="Times New Roman" w:cs="Times New Roman"/>
        </w:rPr>
        <w:t xml:space="preserve"> zabronionego</w:t>
      </w:r>
      <w:r w:rsidRPr="00853528">
        <w:rPr>
          <w:rFonts w:ascii="Times New Roman" w:hAnsi="Times New Roman" w:cs="Times New Roman"/>
        </w:rPr>
        <w:t xml:space="preserve">, który </w:t>
      </w:r>
      <w:r w:rsidRPr="00853528">
        <w:rPr>
          <w:rFonts w:ascii="Times New Roman" w:hAnsi="Times New Roman" w:cs="Times New Roman"/>
          <w:i/>
          <w:iCs/>
        </w:rPr>
        <w:t>ex definitione</w:t>
      </w:r>
      <w:r w:rsidRPr="00853528">
        <w:rPr>
          <w:rFonts w:ascii="Times New Roman" w:hAnsi="Times New Roman" w:cs="Times New Roman"/>
        </w:rPr>
        <w:t xml:space="preserve"> wyklucza </w:t>
      </w:r>
      <w:r w:rsidR="00A37945" w:rsidRPr="00853528">
        <w:rPr>
          <w:rFonts w:ascii="Times New Roman" w:hAnsi="Times New Roman" w:cs="Times New Roman"/>
        </w:rPr>
        <w:t xml:space="preserve">ich </w:t>
      </w:r>
      <w:r w:rsidRPr="00853528">
        <w:rPr>
          <w:rFonts w:ascii="Times New Roman" w:hAnsi="Times New Roman" w:cs="Times New Roman"/>
        </w:rPr>
        <w:t xml:space="preserve">status </w:t>
      </w:r>
      <w:r w:rsidR="00A37945" w:rsidRPr="00853528">
        <w:rPr>
          <w:rFonts w:ascii="Times New Roman" w:hAnsi="Times New Roman" w:cs="Times New Roman"/>
        </w:rPr>
        <w:t xml:space="preserve">jako </w:t>
      </w:r>
      <w:r w:rsidRPr="00853528">
        <w:rPr>
          <w:rFonts w:ascii="Times New Roman" w:hAnsi="Times New Roman" w:cs="Times New Roman"/>
        </w:rPr>
        <w:t xml:space="preserve">narzędzia przestępstwa. </w:t>
      </w:r>
    </w:p>
    <w:p w14:paraId="6A96B222" w14:textId="10B43A8E" w:rsidR="0089557B" w:rsidRPr="00D202F8" w:rsidRDefault="009A79A0" w:rsidP="00D202F8">
      <w:pPr>
        <w:spacing w:line="360" w:lineRule="auto"/>
        <w:ind w:left="720" w:firstLine="360"/>
        <w:jc w:val="both"/>
        <w:rPr>
          <w:rFonts w:ascii="Times New Roman" w:hAnsi="Times New Roman" w:cs="Times New Roman"/>
          <w:b/>
          <w:bCs/>
        </w:rPr>
      </w:pPr>
      <w:r w:rsidRPr="00D202F8">
        <w:rPr>
          <w:rFonts w:ascii="Times New Roman" w:hAnsi="Times New Roman" w:cs="Times New Roman"/>
        </w:rPr>
        <w:t xml:space="preserve">Z </w:t>
      </w:r>
      <w:r w:rsidR="00D202F8">
        <w:rPr>
          <w:rFonts w:ascii="Times New Roman" w:hAnsi="Times New Roman" w:cs="Times New Roman"/>
        </w:rPr>
        <w:t>powyższych powodów</w:t>
      </w:r>
      <w:r w:rsidRPr="00D202F8">
        <w:rPr>
          <w:rFonts w:ascii="Times New Roman" w:hAnsi="Times New Roman" w:cs="Times New Roman"/>
        </w:rPr>
        <w:t xml:space="preserve"> warto i należy wprowadzić proponowane klaryfikujące przepisy szczególne.</w:t>
      </w:r>
    </w:p>
    <w:p w14:paraId="67C6F746" w14:textId="39CB7C44" w:rsidR="00E43C79" w:rsidRPr="00853528" w:rsidRDefault="00E43C79" w:rsidP="00E43C79">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u w:val="single"/>
        </w:rPr>
        <w:t>Po trzecie</w:t>
      </w:r>
      <w:r w:rsidRPr="00853528">
        <w:rPr>
          <w:rFonts w:ascii="Times New Roman" w:hAnsi="Times New Roman" w:cs="Times New Roman"/>
        </w:rPr>
        <w:t>, formułuje się zarzut o następującej treści: „konfiskata mienia pochodzącego z prania pieniędzy nie jest wyraźnie przewidziana w odpowiednich przepisach”.</w:t>
      </w:r>
    </w:p>
    <w:p w14:paraId="1F9AD449" w14:textId="2066D658" w:rsidR="0085556F" w:rsidRPr="00853528" w:rsidRDefault="0085556F" w:rsidP="00E43C79">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rPr>
        <w:t>Przyjmując, że zarzut ten w istocie dotyczy braku uregulowania przepadku korzyści majątkowej osiągnięt</w:t>
      </w:r>
      <w:r w:rsidR="00245BC5" w:rsidRPr="00853528">
        <w:rPr>
          <w:rFonts w:ascii="Times New Roman" w:hAnsi="Times New Roman" w:cs="Times New Roman"/>
        </w:rPr>
        <w:t>ej</w:t>
      </w:r>
      <w:r w:rsidRPr="00853528">
        <w:rPr>
          <w:rFonts w:ascii="Times New Roman" w:hAnsi="Times New Roman" w:cs="Times New Roman"/>
        </w:rPr>
        <w:t xml:space="preserve"> z popełnienia przestępstwa z art. 299 </w:t>
      </w:r>
      <w:r w:rsidR="00245BC5" w:rsidRPr="00853528">
        <w:rPr>
          <w:rFonts w:ascii="Times New Roman" w:hAnsi="Times New Roman" w:cs="Times New Roman"/>
        </w:rPr>
        <w:t>k</w:t>
      </w:r>
      <w:r w:rsidRPr="00853528">
        <w:rPr>
          <w:rFonts w:ascii="Times New Roman" w:hAnsi="Times New Roman" w:cs="Times New Roman"/>
        </w:rPr>
        <w:t xml:space="preserve">.k., należy uznać, że – abstrahując już od ww. problematyki i obowiązywania przepisu art. 299 § 7 </w:t>
      </w:r>
      <w:r w:rsidR="00245BC5" w:rsidRPr="00853528">
        <w:rPr>
          <w:rFonts w:ascii="Times New Roman" w:hAnsi="Times New Roman" w:cs="Times New Roman"/>
        </w:rPr>
        <w:t>k</w:t>
      </w:r>
      <w:r w:rsidRPr="00853528">
        <w:rPr>
          <w:rFonts w:ascii="Times New Roman" w:hAnsi="Times New Roman" w:cs="Times New Roman"/>
        </w:rPr>
        <w:t xml:space="preserve">.k. - jest on całkowicie bezzasadny w świetle przepadku uregulowanego w art. 45 </w:t>
      </w:r>
      <w:r w:rsidR="00245BC5" w:rsidRPr="00853528">
        <w:rPr>
          <w:rFonts w:ascii="Times New Roman" w:hAnsi="Times New Roman" w:cs="Times New Roman"/>
        </w:rPr>
        <w:t>k</w:t>
      </w:r>
      <w:r w:rsidRPr="00853528">
        <w:rPr>
          <w:rFonts w:ascii="Times New Roman" w:hAnsi="Times New Roman" w:cs="Times New Roman"/>
        </w:rPr>
        <w:t xml:space="preserve">.k. </w:t>
      </w:r>
    </w:p>
    <w:p w14:paraId="73E6A57F" w14:textId="04299F4F" w:rsidR="0085556F" w:rsidRPr="00853528" w:rsidRDefault="0085556F" w:rsidP="00E43C79">
      <w:pPr>
        <w:pStyle w:val="Akapitzlist"/>
        <w:numPr>
          <w:ilvl w:val="0"/>
          <w:numId w:val="7"/>
        </w:numPr>
        <w:spacing w:line="360" w:lineRule="auto"/>
        <w:jc w:val="both"/>
        <w:rPr>
          <w:rFonts w:ascii="Times New Roman" w:hAnsi="Times New Roman" w:cs="Times New Roman"/>
          <w:b/>
          <w:bCs/>
        </w:rPr>
      </w:pPr>
      <w:r w:rsidRPr="00853528">
        <w:rPr>
          <w:rFonts w:ascii="Times New Roman" w:hAnsi="Times New Roman" w:cs="Times New Roman"/>
          <w:u w:val="single"/>
        </w:rPr>
        <w:t>Po czwarte</w:t>
      </w:r>
      <w:r w:rsidRPr="00853528">
        <w:rPr>
          <w:rFonts w:ascii="Times New Roman" w:hAnsi="Times New Roman" w:cs="Times New Roman"/>
        </w:rPr>
        <w:t xml:space="preserve">, formułuje się zarzut o następującej treści: „brak jest w polskim systemie prawnym kompleksowego mechanizmu przechowywania zajętego lub skonfiskowanego mienia i zarządzania nim”. </w:t>
      </w:r>
      <w:r w:rsidR="00432796" w:rsidRPr="00853528">
        <w:rPr>
          <w:rFonts w:ascii="Times New Roman" w:hAnsi="Times New Roman" w:cs="Times New Roman"/>
        </w:rPr>
        <w:t>Trudno ten jednozdaniowy zarzut odnieść do treści konkretnych instytucji prawa karnego. W związku z powyższym należy jedynie lakonicznie wskazać,</w:t>
      </w:r>
      <w:r w:rsidR="00245BC5" w:rsidRPr="00853528">
        <w:rPr>
          <w:rFonts w:ascii="Times New Roman" w:hAnsi="Times New Roman" w:cs="Times New Roman"/>
        </w:rPr>
        <w:t xml:space="preserve"> że</w:t>
      </w:r>
      <w:r w:rsidR="00432796" w:rsidRPr="00853528">
        <w:rPr>
          <w:rFonts w:ascii="Times New Roman" w:hAnsi="Times New Roman" w:cs="Times New Roman"/>
        </w:rPr>
        <w:t xml:space="preserve"> status i zarządzanie przedmiotami objętymi przepadkiem dokładnie i właściwie określają odpowiednie przepisy </w:t>
      </w:r>
      <w:r w:rsidR="00245BC5" w:rsidRPr="00853528">
        <w:rPr>
          <w:rFonts w:ascii="Times New Roman" w:hAnsi="Times New Roman" w:cs="Times New Roman"/>
        </w:rPr>
        <w:t>k</w:t>
      </w:r>
      <w:r w:rsidR="00432796" w:rsidRPr="00853528">
        <w:rPr>
          <w:rFonts w:ascii="Times New Roman" w:hAnsi="Times New Roman" w:cs="Times New Roman"/>
        </w:rPr>
        <w:t>.k.w. (zob. art. 187-195c).</w:t>
      </w:r>
    </w:p>
    <w:p w14:paraId="6A28804E" w14:textId="5D022E82" w:rsidR="00350B98" w:rsidRPr="00853528" w:rsidRDefault="00350B98" w:rsidP="007F0817">
      <w:pPr>
        <w:spacing w:line="360" w:lineRule="auto"/>
        <w:jc w:val="both"/>
        <w:rPr>
          <w:rFonts w:ascii="Times New Roman" w:hAnsi="Times New Roman" w:cs="Times New Roman"/>
          <w:b/>
          <w:bCs/>
        </w:rPr>
      </w:pPr>
    </w:p>
    <w:p w14:paraId="54176214" w14:textId="7D807568" w:rsidR="002058EB" w:rsidRPr="00853528" w:rsidRDefault="0089557B" w:rsidP="002E754D">
      <w:pPr>
        <w:pStyle w:val="Akapitzlist"/>
        <w:numPr>
          <w:ilvl w:val="0"/>
          <w:numId w:val="15"/>
        </w:numPr>
        <w:spacing w:line="360" w:lineRule="auto"/>
        <w:jc w:val="both"/>
        <w:rPr>
          <w:rFonts w:ascii="Times New Roman" w:hAnsi="Times New Roman" w:cs="Times New Roman"/>
          <w:b/>
          <w:bCs/>
        </w:rPr>
      </w:pPr>
      <w:r w:rsidRPr="00853528">
        <w:rPr>
          <w:rFonts w:ascii="Times New Roman" w:hAnsi="Times New Roman" w:cs="Times New Roman"/>
          <w:b/>
          <w:bCs/>
        </w:rPr>
        <w:t>Odnośnie do zalecenia nr 3, opartego na Rekomendacji 5 FATF, należy wskazać, co następuje:</w:t>
      </w:r>
    </w:p>
    <w:p w14:paraId="3B7DBABA" w14:textId="2BB096FB" w:rsidR="0089557B" w:rsidRPr="00853528" w:rsidRDefault="0089557B"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Zalecenie to składa się zaledwie z kilku zdań i jednocześnie zawiera kilka zupełnie lakonicznych zarzutów. W szczególności nie zawiera ono nie tylko uzasadnienia, lecz konkretnych propozycji. Z tego powodu nie jest możliwe merytoryczne odniesienie się do rozważanego zalecenia. Jednocześnie jego autor</w:t>
      </w:r>
      <w:r w:rsidR="00D202F8">
        <w:rPr>
          <w:rFonts w:ascii="Times New Roman" w:eastAsia="Times New Roman" w:hAnsi="Times New Roman" w:cs="Times New Roman"/>
          <w:lang w:eastAsia="pl-PL"/>
        </w:rPr>
        <w:t>zy</w:t>
      </w:r>
      <w:r w:rsidRPr="00853528">
        <w:rPr>
          <w:rFonts w:ascii="Times New Roman" w:eastAsia="Times New Roman" w:hAnsi="Times New Roman" w:cs="Times New Roman"/>
          <w:lang w:eastAsia="pl-PL"/>
        </w:rPr>
        <w:t xml:space="preserve"> </w:t>
      </w:r>
      <w:r w:rsidR="00D202F8">
        <w:rPr>
          <w:rFonts w:ascii="Times New Roman" w:eastAsia="Times New Roman" w:hAnsi="Times New Roman" w:cs="Times New Roman"/>
          <w:lang w:eastAsia="pl-PL"/>
        </w:rPr>
        <w:t>podkreślają</w:t>
      </w:r>
      <w:r w:rsidRPr="00853528">
        <w:rPr>
          <w:rFonts w:ascii="Times New Roman" w:eastAsia="Times New Roman" w:hAnsi="Times New Roman" w:cs="Times New Roman"/>
          <w:lang w:eastAsia="pl-PL"/>
        </w:rPr>
        <w:t xml:space="preserve">, </w:t>
      </w:r>
      <w:r w:rsidR="00245BC5" w:rsidRPr="00853528">
        <w:rPr>
          <w:rFonts w:ascii="Times New Roman" w:eastAsia="Times New Roman" w:hAnsi="Times New Roman" w:cs="Times New Roman"/>
          <w:lang w:eastAsia="pl-PL"/>
        </w:rPr>
        <w:t xml:space="preserve">że </w:t>
      </w:r>
      <w:r w:rsidRPr="00853528">
        <w:rPr>
          <w:rFonts w:ascii="Times New Roman" w:eastAsia="Times New Roman" w:hAnsi="Times New Roman" w:cs="Times New Roman"/>
          <w:lang w:eastAsia="pl-PL"/>
        </w:rPr>
        <w:t xml:space="preserve">właśnie to zalecenie (rekomendacja nr 5 FATF) jest najważniejsze, co sprawia, </w:t>
      </w:r>
      <w:r w:rsidR="00245BC5" w:rsidRPr="00853528">
        <w:rPr>
          <w:rFonts w:ascii="Times New Roman" w:eastAsia="Times New Roman" w:hAnsi="Times New Roman" w:cs="Times New Roman"/>
          <w:lang w:eastAsia="pl-PL"/>
        </w:rPr>
        <w:t>iż</w:t>
      </w:r>
      <w:r w:rsidRPr="00853528">
        <w:rPr>
          <w:rFonts w:ascii="Times New Roman" w:eastAsia="Times New Roman" w:hAnsi="Times New Roman" w:cs="Times New Roman"/>
          <w:lang w:eastAsia="pl-PL"/>
        </w:rPr>
        <w:t xml:space="preserve"> jego spełnienie </w:t>
      </w:r>
      <w:r w:rsidRPr="00853528">
        <w:rPr>
          <w:rFonts w:ascii="Times New Roman" w:eastAsia="Times New Roman" w:hAnsi="Times New Roman" w:cs="Times New Roman"/>
          <w:lang w:eastAsia="pl-PL"/>
        </w:rPr>
        <w:lastRenderedPageBreak/>
        <w:t>będzie decydujące przy końcowej ocenie dostosowani</w:t>
      </w:r>
      <w:r w:rsidR="00245BC5" w:rsidRPr="00853528">
        <w:rPr>
          <w:rFonts w:ascii="Times New Roman" w:eastAsia="Times New Roman" w:hAnsi="Times New Roman" w:cs="Times New Roman"/>
          <w:lang w:eastAsia="pl-PL"/>
        </w:rPr>
        <w:t>a</w:t>
      </w:r>
      <w:r w:rsidRPr="00853528">
        <w:rPr>
          <w:rFonts w:ascii="Times New Roman" w:eastAsia="Times New Roman" w:hAnsi="Times New Roman" w:cs="Times New Roman"/>
          <w:lang w:eastAsia="pl-PL"/>
        </w:rPr>
        <w:t xml:space="preserve"> polskiego prawa karnego do ww. rekomendacji. W pełni akceptując tę uwagę i odnosząc się do niej konstruktywnie, należy wskazać na pilną konieczność sformułowania konkretnych i uzasadnionych propozycji zmian legislacyjnych w omawianym zakresie. </w:t>
      </w:r>
      <w:r w:rsidR="009A0B90" w:rsidRPr="00853528">
        <w:rPr>
          <w:rFonts w:ascii="Times New Roman" w:eastAsia="Times New Roman" w:hAnsi="Times New Roman" w:cs="Times New Roman"/>
          <w:lang w:eastAsia="pl-PL"/>
        </w:rPr>
        <w:t>I tak, odnosząc się już tylko ogólnie do zgłoszonych zarzutów, należy wskazać, jak poniżej.</w:t>
      </w:r>
    </w:p>
    <w:p w14:paraId="19EAD5B5" w14:textId="4F8BC984" w:rsidR="009A0B90" w:rsidRPr="00853528" w:rsidRDefault="0089557B"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u w:val="single"/>
          <w:lang w:eastAsia="pl-PL"/>
        </w:rPr>
        <w:t>Po pierwsze</w:t>
      </w:r>
      <w:r w:rsidR="009A0B90" w:rsidRPr="00853528">
        <w:rPr>
          <w:rFonts w:ascii="Times New Roman" w:eastAsia="Times New Roman" w:hAnsi="Times New Roman" w:cs="Times New Roman"/>
          <w:lang w:eastAsia="pl-PL"/>
        </w:rPr>
        <w:t>, formułuje się zarzut następującej treści: „Nie wszystkie czyny, które stanowią przestepstwo w rozumieniu traktatów wymienionych w załączniku do Konwencj</w:t>
      </w:r>
      <w:r w:rsidR="00DC3B1C" w:rsidRPr="00853528">
        <w:rPr>
          <w:rFonts w:ascii="Times New Roman" w:eastAsia="Times New Roman" w:hAnsi="Times New Roman" w:cs="Times New Roman"/>
          <w:lang w:eastAsia="pl-PL"/>
        </w:rPr>
        <w:t>i</w:t>
      </w:r>
      <w:r w:rsidR="009A0B90" w:rsidRPr="00853528">
        <w:rPr>
          <w:rFonts w:ascii="Times New Roman" w:eastAsia="Times New Roman" w:hAnsi="Times New Roman" w:cs="Times New Roman"/>
          <w:lang w:eastAsia="pl-PL"/>
        </w:rPr>
        <w:t xml:space="preserve"> o zwalczaniu finansowania terroryzmu, s</w:t>
      </w:r>
      <w:r w:rsidR="00245BC5" w:rsidRPr="00853528">
        <w:rPr>
          <w:rFonts w:ascii="Times New Roman" w:eastAsia="Times New Roman" w:hAnsi="Times New Roman" w:cs="Times New Roman"/>
          <w:lang w:eastAsia="pl-PL"/>
        </w:rPr>
        <w:t>ą</w:t>
      </w:r>
      <w:r w:rsidR="009A0B90" w:rsidRPr="00853528">
        <w:rPr>
          <w:rFonts w:ascii="Times New Roman" w:eastAsia="Times New Roman" w:hAnsi="Times New Roman" w:cs="Times New Roman"/>
          <w:lang w:eastAsia="pl-PL"/>
        </w:rPr>
        <w:t xml:space="preserve"> objęte definicją przestępstwa finansowania terroryzmu”. </w:t>
      </w:r>
    </w:p>
    <w:p w14:paraId="61293CDB" w14:textId="49286646" w:rsidR="00DC3B1C" w:rsidRPr="00853528" w:rsidRDefault="009A0B90"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Przyjmując, </w:t>
      </w:r>
      <w:r w:rsidR="00245BC5" w:rsidRPr="00853528">
        <w:rPr>
          <w:rFonts w:ascii="Times New Roman" w:eastAsia="Times New Roman" w:hAnsi="Times New Roman" w:cs="Times New Roman"/>
          <w:lang w:eastAsia="pl-PL"/>
        </w:rPr>
        <w:t xml:space="preserve">że </w:t>
      </w:r>
      <w:r w:rsidRPr="00853528">
        <w:rPr>
          <w:rFonts w:ascii="Times New Roman" w:eastAsia="Times New Roman" w:hAnsi="Times New Roman" w:cs="Times New Roman"/>
          <w:lang w:eastAsia="pl-PL"/>
        </w:rPr>
        <w:t>chodzi tutaj o Międzynarodową Konwencję o Zwalczaniu F</w:t>
      </w:r>
      <w:r w:rsidR="00DC3B1C" w:rsidRPr="00853528">
        <w:rPr>
          <w:rFonts w:ascii="Times New Roman" w:eastAsia="Times New Roman" w:hAnsi="Times New Roman" w:cs="Times New Roman"/>
          <w:lang w:eastAsia="pl-PL"/>
        </w:rPr>
        <w:t>i</w:t>
      </w:r>
      <w:r w:rsidRPr="00853528">
        <w:rPr>
          <w:rFonts w:ascii="Times New Roman" w:eastAsia="Times New Roman" w:hAnsi="Times New Roman" w:cs="Times New Roman"/>
          <w:lang w:eastAsia="pl-PL"/>
        </w:rPr>
        <w:t>nansowania terroryzmu ONZ z dnia 9.09</w:t>
      </w:r>
      <w:r w:rsidR="00DC3B1C" w:rsidRPr="00853528">
        <w:rPr>
          <w:rFonts w:ascii="Times New Roman" w:eastAsia="Times New Roman" w:hAnsi="Times New Roman" w:cs="Times New Roman"/>
          <w:lang w:eastAsia="pl-PL"/>
        </w:rPr>
        <w:t>.</w:t>
      </w:r>
      <w:r w:rsidRPr="00853528">
        <w:rPr>
          <w:rFonts w:ascii="Times New Roman" w:eastAsia="Times New Roman" w:hAnsi="Times New Roman" w:cs="Times New Roman"/>
          <w:lang w:eastAsia="pl-PL"/>
        </w:rPr>
        <w:t>1999 r., definiuj</w:t>
      </w:r>
      <w:r w:rsidR="00DC3B1C" w:rsidRPr="00853528">
        <w:rPr>
          <w:rFonts w:ascii="Times New Roman" w:eastAsia="Times New Roman" w:hAnsi="Times New Roman" w:cs="Times New Roman"/>
          <w:lang w:eastAsia="pl-PL"/>
        </w:rPr>
        <w:t>e</w:t>
      </w:r>
      <w:r w:rsidRPr="00853528">
        <w:rPr>
          <w:rFonts w:ascii="Times New Roman" w:eastAsia="Times New Roman" w:hAnsi="Times New Roman" w:cs="Times New Roman"/>
          <w:lang w:eastAsia="pl-PL"/>
        </w:rPr>
        <w:t xml:space="preserve"> się w niej przestepstwo terroryzmu (zob. art. 2) przede wszystkim odsyłając do 9 aneksowanych dokumentów. Przyjmując zaś, że chodzi o Konwencję </w:t>
      </w:r>
      <w:r w:rsidR="00DC3B1C" w:rsidRPr="00853528">
        <w:rPr>
          <w:rFonts w:ascii="Times New Roman" w:eastAsia="Times New Roman" w:hAnsi="Times New Roman" w:cs="Times New Roman"/>
          <w:lang w:eastAsia="pl-PL"/>
        </w:rPr>
        <w:t>R</w:t>
      </w:r>
      <w:r w:rsidRPr="00853528">
        <w:rPr>
          <w:rFonts w:ascii="Times New Roman" w:eastAsia="Times New Roman" w:hAnsi="Times New Roman" w:cs="Times New Roman"/>
          <w:lang w:eastAsia="pl-PL"/>
        </w:rPr>
        <w:t>ady Eur</w:t>
      </w:r>
      <w:r w:rsidR="00DC3B1C" w:rsidRPr="00853528">
        <w:rPr>
          <w:rFonts w:ascii="Times New Roman" w:eastAsia="Times New Roman" w:hAnsi="Times New Roman" w:cs="Times New Roman"/>
          <w:lang w:eastAsia="pl-PL"/>
        </w:rPr>
        <w:t>o</w:t>
      </w:r>
      <w:r w:rsidRPr="00853528">
        <w:rPr>
          <w:rFonts w:ascii="Times New Roman" w:eastAsia="Times New Roman" w:hAnsi="Times New Roman" w:cs="Times New Roman"/>
          <w:lang w:eastAsia="pl-PL"/>
        </w:rPr>
        <w:t xml:space="preserve">py o Zapobieganiu Terroryzmowi z dnia </w:t>
      </w:r>
      <w:r w:rsidR="00DC3B1C" w:rsidRPr="00853528">
        <w:rPr>
          <w:rFonts w:ascii="Times New Roman" w:eastAsia="Times New Roman" w:hAnsi="Times New Roman" w:cs="Times New Roman"/>
          <w:lang w:eastAsia="pl-PL"/>
        </w:rPr>
        <w:t xml:space="preserve">16.05.2005 r., definiuje się w niej przestepstwo terroryzmu (zob. art. 1 ust. 1) odsyłając do 11 aneksowanych dokumentów. W obu przypadkach konieczne jest </w:t>
      </w:r>
      <w:r w:rsidR="00D202F8">
        <w:rPr>
          <w:rFonts w:ascii="Times New Roman" w:eastAsia="Times New Roman" w:hAnsi="Times New Roman" w:cs="Times New Roman"/>
          <w:lang w:eastAsia="pl-PL"/>
        </w:rPr>
        <w:t xml:space="preserve">dokładne </w:t>
      </w:r>
      <w:r w:rsidR="00DC3B1C" w:rsidRPr="00853528">
        <w:rPr>
          <w:rFonts w:ascii="Times New Roman" w:eastAsia="Times New Roman" w:hAnsi="Times New Roman" w:cs="Times New Roman"/>
          <w:lang w:eastAsia="pl-PL"/>
        </w:rPr>
        <w:t xml:space="preserve">wskazanie, która definicja przestępstwa terroryzmu </w:t>
      </w:r>
      <w:r w:rsidR="004E6B87" w:rsidRPr="00853528">
        <w:rPr>
          <w:rFonts w:ascii="Times New Roman" w:eastAsia="Times New Roman" w:hAnsi="Times New Roman" w:cs="Times New Roman"/>
          <w:lang w:eastAsia="pl-PL"/>
        </w:rPr>
        <w:t>(</w:t>
      </w:r>
      <w:r w:rsidR="00DC3B1C" w:rsidRPr="00853528">
        <w:rPr>
          <w:rFonts w:ascii="Times New Roman" w:eastAsia="Times New Roman" w:hAnsi="Times New Roman" w:cs="Times New Roman"/>
          <w:lang w:eastAsia="pl-PL"/>
        </w:rPr>
        <w:t>i z którego dokumentu</w:t>
      </w:r>
      <w:r w:rsidR="00D202F8">
        <w:rPr>
          <w:rFonts w:ascii="Times New Roman" w:eastAsia="Times New Roman" w:hAnsi="Times New Roman" w:cs="Times New Roman"/>
          <w:lang w:eastAsia="pl-PL"/>
        </w:rPr>
        <w:t xml:space="preserve"> i w jaki sposób</w:t>
      </w:r>
      <w:r w:rsidR="004E6B87" w:rsidRPr="00853528">
        <w:rPr>
          <w:rFonts w:ascii="Times New Roman" w:eastAsia="Times New Roman" w:hAnsi="Times New Roman" w:cs="Times New Roman"/>
          <w:lang w:eastAsia="pl-PL"/>
        </w:rPr>
        <w:t>)</w:t>
      </w:r>
      <w:r w:rsidR="00DC3B1C" w:rsidRPr="00853528">
        <w:rPr>
          <w:rFonts w:ascii="Times New Roman" w:eastAsia="Times New Roman" w:hAnsi="Times New Roman" w:cs="Times New Roman"/>
          <w:lang w:eastAsia="pl-PL"/>
        </w:rPr>
        <w:t xml:space="preserve"> nie odpowiada definicji określonej w art. 115 § 20 K.k. Następnie konieczne jest sformułowanie odpowiedniej zmiany legislacyjnej z uzasadnieniem.</w:t>
      </w:r>
    </w:p>
    <w:p w14:paraId="23729250" w14:textId="2031BA43" w:rsidR="0089557B" w:rsidRPr="00853528" w:rsidRDefault="00DC3B1C"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u w:val="single"/>
          <w:lang w:eastAsia="pl-PL"/>
        </w:rPr>
        <w:t>Po drugie</w:t>
      </w:r>
      <w:r w:rsidRPr="00853528">
        <w:rPr>
          <w:rFonts w:ascii="Times New Roman" w:eastAsia="Times New Roman" w:hAnsi="Times New Roman" w:cs="Times New Roman"/>
          <w:lang w:eastAsia="pl-PL"/>
        </w:rPr>
        <w:t xml:space="preserve">, odnośnie do art. 165a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.k., formułuje się zarzut, że</w:t>
      </w:r>
      <w:r w:rsidR="004E6B87" w:rsidRPr="00853528">
        <w:rPr>
          <w:rFonts w:ascii="Times New Roman" w:eastAsia="Times New Roman" w:hAnsi="Times New Roman" w:cs="Times New Roman"/>
          <w:lang w:eastAsia="pl-PL"/>
        </w:rPr>
        <w:t>:</w:t>
      </w:r>
      <w:r w:rsidRPr="00853528">
        <w:rPr>
          <w:rFonts w:ascii="Times New Roman" w:eastAsia="Times New Roman" w:hAnsi="Times New Roman" w:cs="Times New Roman"/>
          <w:lang w:eastAsia="pl-PL"/>
        </w:rPr>
        <w:t xml:space="preserve"> „nie obejmuje on wyraźnie pośredniego finansowania i częściowego wykorzystania funduszy/majątku”.</w:t>
      </w:r>
    </w:p>
    <w:p w14:paraId="6D6E12B0" w14:textId="37324B8D" w:rsidR="004F73FC" w:rsidRPr="00853528" w:rsidRDefault="004F73FC"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Jest to uwaga bardzo lakoniczna. Analiza treści przepisów art. 165a § 1-4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 xml:space="preserve">.k. pozwala jednak </w:t>
      </w:r>
      <w:r w:rsidRPr="00853528">
        <w:rPr>
          <w:rFonts w:ascii="Times New Roman" w:eastAsia="Times New Roman" w:hAnsi="Times New Roman" w:cs="Times New Roman"/>
          <w:i/>
          <w:iCs/>
          <w:lang w:eastAsia="pl-PL"/>
        </w:rPr>
        <w:t>prima facie</w:t>
      </w:r>
      <w:r w:rsidRPr="00853528">
        <w:rPr>
          <w:rFonts w:ascii="Times New Roman" w:eastAsia="Times New Roman" w:hAnsi="Times New Roman" w:cs="Times New Roman"/>
          <w:lang w:eastAsia="pl-PL"/>
        </w:rPr>
        <w:t xml:space="preserve"> uznać, że jest ona całkowicie bezzasadna. Typizacja czynów zabronionych </w:t>
      </w:r>
      <w:r w:rsidR="001F0305" w:rsidRPr="00853528">
        <w:rPr>
          <w:rFonts w:ascii="Times New Roman" w:eastAsia="Times New Roman" w:hAnsi="Times New Roman" w:cs="Times New Roman"/>
          <w:lang w:eastAsia="pl-PL"/>
        </w:rPr>
        <w:t xml:space="preserve">z art. 165a </w:t>
      </w:r>
      <w:r w:rsidR="00245BC5" w:rsidRPr="00853528">
        <w:rPr>
          <w:rFonts w:ascii="Times New Roman" w:eastAsia="Times New Roman" w:hAnsi="Times New Roman" w:cs="Times New Roman"/>
          <w:lang w:eastAsia="pl-PL"/>
        </w:rPr>
        <w:t>k</w:t>
      </w:r>
      <w:r w:rsidR="001F0305" w:rsidRPr="00853528">
        <w:rPr>
          <w:rFonts w:ascii="Times New Roman" w:eastAsia="Times New Roman" w:hAnsi="Times New Roman" w:cs="Times New Roman"/>
          <w:lang w:eastAsia="pl-PL"/>
        </w:rPr>
        <w:t xml:space="preserve">.k. </w:t>
      </w:r>
      <w:r w:rsidRPr="00853528">
        <w:rPr>
          <w:rFonts w:ascii="Times New Roman" w:eastAsia="Times New Roman" w:hAnsi="Times New Roman" w:cs="Times New Roman"/>
          <w:lang w:eastAsia="pl-PL"/>
        </w:rPr>
        <w:t xml:space="preserve">nie daje bowiem podstaw do </w:t>
      </w:r>
      <w:r w:rsidR="004E6B87" w:rsidRPr="00853528">
        <w:rPr>
          <w:rFonts w:ascii="Times New Roman" w:eastAsia="Times New Roman" w:hAnsi="Times New Roman" w:cs="Times New Roman"/>
          <w:lang w:eastAsia="pl-PL"/>
        </w:rPr>
        <w:t xml:space="preserve">formułowania </w:t>
      </w:r>
      <w:r w:rsidRPr="00853528">
        <w:rPr>
          <w:rFonts w:ascii="Times New Roman" w:eastAsia="Times New Roman" w:hAnsi="Times New Roman" w:cs="Times New Roman"/>
          <w:lang w:eastAsia="pl-PL"/>
        </w:rPr>
        <w:t>tego rodzaju zarzutu.</w:t>
      </w:r>
      <w:r w:rsidR="004E6B87" w:rsidRPr="00853528">
        <w:rPr>
          <w:rFonts w:ascii="Times New Roman" w:eastAsia="Times New Roman" w:hAnsi="Times New Roman" w:cs="Times New Roman"/>
          <w:lang w:eastAsia="pl-PL"/>
        </w:rPr>
        <w:t xml:space="preserve"> Wprost przeciwnie, na podstawie wykładni logicznej </w:t>
      </w:r>
      <w:r w:rsidR="004E6B87" w:rsidRPr="00853528">
        <w:rPr>
          <w:rFonts w:ascii="Times New Roman" w:eastAsia="Times New Roman" w:hAnsi="Times New Roman" w:cs="Times New Roman"/>
          <w:i/>
          <w:iCs/>
          <w:lang w:eastAsia="pl-PL"/>
        </w:rPr>
        <w:t>a maiori ad minus</w:t>
      </w:r>
      <w:r w:rsidR="004E6B87" w:rsidRPr="00853528">
        <w:rPr>
          <w:rFonts w:ascii="Times New Roman" w:eastAsia="Times New Roman" w:hAnsi="Times New Roman" w:cs="Times New Roman"/>
          <w:lang w:eastAsia="pl-PL"/>
        </w:rPr>
        <w:t>, daje on</w:t>
      </w:r>
      <w:r w:rsidR="00245BC5" w:rsidRPr="00853528">
        <w:rPr>
          <w:rFonts w:ascii="Times New Roman" w:eastAsia="Times New Roman" w:hAnsi="Times New Roman" w:cs="Times New Roman"/>
          <w:lang w:eastAsia="pl-PL"/>
        </w:rPr>
        <w:t>a</w:t>
      </w:r>
      <w:r w:rsidR="004E6B87" w:rsidRPr="00853528">
        <w:rPr>
          <w:rFonts w:ascii="Times New Roman" w:eastAsia="Times New Roman" w:hAnsi="Times New Roman" w:cs="Times New Roman"/>
          <w:lang w:eastAsia="pl-PL"/>
        </w:rPr>
        <w:t xml:space="preserve"> podstawę do wniosku przeciwnego, a mianowicie, że odnosi się on</w:t>
      </w:r>
      <w:r w:rsidR="00245BC5" w:rsidRPr="00853528">
        <w:rPr>
          <w:rFonts w:ascii="Times New Roman" w:eastAsia="Times New Roman" w:hAnsi="Times New Roman" w:cs="Times New Roman"/>
          <w:lang w:eastAsia="pl-PL"/>
        </w:rPr>
        <w:t>a</w:t>
      </w:r>
      <w:r w:rsidR="004E6B87" w:rsidRPr="00853528">
        <w:rPr>
          <w:rFonts w:ascii="Times New Roman" w:eastAsia="Times New Roman" w:hAnsi="Times New Roman" w:cs="Times New Roman"/>
          <w:lang w:eastAsia="pl-PL"/>
        </w:rPr>
        <w:t xml:space="preserve"> również do czynności sprawczych, których istota sprowadza się do pośredniego i częściowego wykorzystania środków.</w:t>
      </w:r>
    </w:p>
    <w:p w14:paraId="4EDD4DA7" w14:textId="6C324441" w:rsidR="004E6B87" w:rsidRPr="00853528" w:rsidRDefault="004E6B87"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u w:val="single"/>
          <w:lang w:eastAsia="pl-PL"/>
        </w:rPr>
        <w:t>Po trzecie</w:t>
      </w:r>
      <w:r w:rsidRPr="00853528">
        <w:rPr>
          <w:rFonts w:ascii="Times New Roman" w:eastAsia="Times New Roman" w:hAnsi="Times New Roman" w:cs="Times New Roman"/>
          <w:lang w:eastAsia="pl-PL"/>
        </w:rPr>
        <w:t xml:space="preserve">, odnośnie do art. 165a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.k., formułuje się zarzut, że: „nie odnosi się on wprost do legalnego lub nielegalnego źródła funduszy lub aktywów</w:t>
      </w:r>
      <w:r w:rsidR="001F0305" w:rsidRPr="00853528">
        <w:rPr>
          <w:rFonts w:ascii="Times New Roman" w:eastAsia="Times New Roman" w:hAnsi="Times New Roman" w:cs="Times New Roman"/>
          <w:lang w:eastAsia="pl-PL"/>
        </w:rPr>
        <w:t>”.</w:t>
      </w:r>
    </w:p>
    <w:p w14:paraId="4670787E" w14:textId="20B85864" w:rsidR="001F0305" w:rsidRPr="00853528" w:rsidRDefault="001F0305" w:rsidP="001F0305">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Jest to również uwaga bardzo lakoniczna. Także w tym przypadku, analiza treści przepisów art. 165a § 1-4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 xml:space="preserve">.k. pozwala uznać, że uwaga ta jest całkowicie bezzasadna. Typizacja omawianych czynów zabronionych nie daje bowiem podstaw do formułowania tego rodzaju zarzutu. Wprost przeciwnie, również na podstawie wykładni logicznej </w:t>
      </w:r>
      <w:r w:rsidRPr="00853528">
        <w:rPr>
          <w:rFonts w:ascii="Times New Roman" w:eastAsia="Times New Roman" w:hAnsi="Times New Roman" w:cs="Times New Roman"/>
          <w:i/>
          <w:iCs/>
          <w:lang w:eastAsia="pl-PL"/>
        </w:rPr>
        <w:t>a maiori ad minus</w:t>
      </w:r>
      <w:r w:rsidRPr="00853528">
        <w:rPr>
          <w:rFonts w:ascii="Times New Roman" w:eastAsia="Times New Roman" w:hAnsi="Times New Roman" w:cs="Times New Roman"/>
          <w:lang w:eastAsia="pl-PL"/>
        </w:rPr>
        <w:t>, daje on</w:t>
      </w:r>
      <w:r w:rsidR="00245BC5" w:rsidRPr="00853528">
        <w:rPr>
          <w:rFonts w:ascii="Times New Roman" w:eastAsia="Times New Roman" w:hAnsi="Times New Roman" w:cs="Times New Roman"/>
          <w:lang w:eastAsia="pl-PL"/>
        </w:rPr>
        <w:t>a</w:t>
      </w:r>
      <w:r w:rsidRPr="00853528">
        <w:rPr>
          <w:rFonts w:ascii="Times New Roman" w:eastAsia="Times New Roman" w:hAnsi="Times New Roman" w:cs="Times New Roman"/>
          <w:lang w:eastAsia="pl-PL"/>
        </w:rPr>
        <w:t xml:space="preserve"> podstawę do wniosku przeciwnego, a mianowicie, </w:t>
      </w:r>
      <w:r w:rsidRPr="00853528">
        <w:rPr>
          <w:rFonts w:ascii="Times New Roman" w:eastAsia="Times New Roman" w:hAnsi="Times New Roman" w:cs="Times New Roman"/>
          <w:lang w:eastAsia="pl-PL"/>
        </w:rPr>
        <w:lastRenderedPageBreak/>
        <w:t xml:space="preserve">że </w:t>
      </w:r>
      <w:r w:rsidR="00245BC5" w:rsidRPr="00853528">
        <w:rPr>
          <w:rFonts w:ascii="Times New Roman" w:eastAsia="Times New Roman" w:hAnsi="Times New Roman" w:cs="Times New Roman"/>
          <w:lang w:eastAsia="pl-PL"/>
        </w:rPr>
        <w:t>o</w:t>
      </w:r>
      <w:r w:rsidRPr="00853528">
        <w:rPr>
          <w:rFonts w:ascii="Times New Roman" w:eastAsia="Times New Roman" w:hAnsi="Times New Roman" w:cs="Times New Roman"/>
          <w:lang w:eastAsia="pl-PL"/>
        </w:rPr>
        <w:t>dnosi się on</w:t>
      </w:r>
      <w:r w:rsidR="00245BC5" w:rsidRPr="00853528">
        <w:rPr>
          <w:rFonts w:ascii="Times New Roman" w:eastAsia="Times New Roman" w:hAnsi="Times New Roman" w:cs="Times New Roman"/>
          <w:lang w:eastAsia="pl-PL"/>
        </w:rPr>
        <w:t>a</w:t>
      </w:r>
      <w:r w:rsidRPr="00853528">
        <w:rPr>
          <w:rFonts w:ascii="Times New Roman" w:eastAsia="Times New Roman" w:hAnsi="Times New Roman" w:cs="Times New Roman"/>
          <w:lang w:eastAsia="pl-PL"/>
        </w:rPr>
        <w:t xml:space="preserve"> również do przedmiotu czynności sprawczych, które mają charakter (pochodzenie) tak legalne, jak i nielegalne.</w:t>
      </w:r>
    </w:p>
    <w:p w14:paraId="36050BD3" w14:textId="5354109E" w:rsidR="001F0305" w:rsidRPr="00853528" w:rsidRDefault="001F0305" w:rsidP="001F0305">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u w:val="single"/>
          <w:lang w:eastAsia="pl-PL"/>
        </w:rPr>
        <w:t>Po czwarte</w:t>
      </w:r>
      <w:r w:rsidRPr="00853528">
        <w:rPr>
          <w:rFonts w:ascii="Times New Roman" w:eastAsia="Times New Roman" w:hAnsi="Times New Roman" w:cs="Times New Roman"/>
          <w:lang w:eastAsia="pl-PL"/>
        </w:rPr>
        <w:t xml:space="preserve">, odnośnie do art. 165a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.k., formułuje się zarzut, że określone w nim przest</w:t>
      </w:r>
      <w:r w:rsidR="00245BC5" w:rsidRPr="00853528">
        <w:rPr>
          <w:rFonts w:ascii="Times New Roman" w:eastAsia="Times New Roman" w:hAnsi="Times New Roman" w:cs="Times New Roman"/>
          <w:lang w:eastAsia="pl-PL"/>
        </w:rPr>
        <w:t>ę</w:t>
      </w:r>
      <w:r w:rsidRPr="00853528">
        <w:rPr>
          <w:rFonts w:ascii="Times New Roman" w:eastAsia="Times New Roman" w:hAnsi="Times New Roman" w:cs="Times New Roman"/>
          <w:lang w:eastAsia="pl-PL"/>
        </w:rPr>
        <w:t>pstwo: „nie obejmuje gromadzenia funduszy/aktywów na rzecz organizacji terrorystycznych i indywidualnych terrorystów w dowolnym celu, w którym to kontekście terminologia użyta do zdefiniowania „organizacji terrorystycznej” i „terrorysty” nie jest w pełni zgodna z glosariuszem FATF”.</w:t>
      </w:r>
    </w:p>
    <w:p w14:paraId="046FA516" w14:textId="4FA0178E" w:rsidR="001F0305" w:rsidRPr="00853528" w:rsidRDefault="001F0305"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Pozostawiając na boku brak pełnej jasności co do istoty tego zarzutu, należy wskazać, że rzeczywiście – przepis art. 165a § 1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 xml:space="preserve">.k. </w:t>
      </w:r>
      <w:r w:rsidR="003A737C" w:rsidRPr="00853528">
        <w:rPr>
          <w:rFonts w:ascii="Times New Roman" w:eastAsia="Times New Roman" w:hAnsi="Times New Roman" w:cs="Times New Roman"/>
          <w:lang w:eastAsia="pl-PL"/>
        </w:rPr>
        <w:t>dotyczy m.in. gromadzenia środków w zamiarze finansowania przestępstwa […], a nie w dowolnym celu. Taką konstrukcję przyjął rodzimy ustawodawca. Otwiera się w tym miejscu szeroka problematyka trafności typizacji omawianego przestępstwa. W znacznej części byłaby ona uzasadniona, ponieważ można sformułować pod adresem rozważanego przepisu poważne zastrzeżenia. Nie ma jednak podstaw i miejsca do referowania jej w ramach niniejszego opracowania. Jego celem jest bowiem ocena zarzutów i propozycji, a nie samodzielna i kompleksowa weryfikacja trafności analizowanych przepisów</w:t>
      </w:r>
      <w:r w:rsidR="004D3928" w:rsidRPr="00853528">
        <w:rPr>
          <w:rFonts w:ascii="Times New Roman" w:eastAsia="Times New Roman" w:hAnsi="Times New Roman" w:cs="Times New Roman"/>
          <w:lang w:eastAsia="pl-PL"/>
        </w:rPr>
        <w:t xml:space="preserve"> i formułowanie postulatów </w:t>
      </w:r>
      <w:r w:rsidR="004D3928" w:rsidRPr="00853528">
        <w:rPr>
          <w:rFonts w:ascii="Times New Roman" w:eastAsia="Times New Roman" w:hAnsi="Times New Roman" w:cs="Times New Roman"/>
          <w:i/>
          <w:iCs/>
          <w:lang w:eastAsia="pl-PL"/>
        </w:rPr>
        <w:t>de lege ferenda</w:t>
      </w:r>
      <w:r w:rsidR="003A737C" w:rsidRPr="00853528">
        <w:rPr>
          <w:rFonts w:ascii="Times New Roman" w:eastAsia="Times New Roman" w:hAnsi="Times New Roman" w:cs="Times New Roman"/>
          <w:lang w:eastAsia="pl-PL"/>
        </w:rPr>
        <w:t>.</w:t>
      </w:r>
    </w:p>
    <w:p w14:paraId="58752B5C" w14:textId="69634D3F" w:rsidR="003A737C" w:rsidRPr="00853528" w:rsidRDefault="003A737C"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u w:val="single"/>
          <w:lang w:eastAsia="pl-PL"/>
        </w:rPr>
        <w:t>Po piąte</w:t>
      </w:r>
      <w:r w:rsidRPr="00853528">
        <w:rPr>
          <w:rFonts w:ascii="Times New Roman" w:eastAsia="Times New Roman" w:hAnsi="Times New Roman" w:cs="Times New Roman"/>
          <w:lang w:eastAsia="pl-PL"/>
        </w:rPr>
        <w:t xml:space="preserve">, odnośnie do art. 165a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.k., formułuje się zarzut o następującej treści: „restrykcyjna interpretacja elementu „zamiaru” przez praktyków i sędziów wymaga, aby takie przestępstwa zawsze były powiązane z konkretnym aktem terrorystycznym”.</w:t>
      </w:r>
    </w:p>
    <w:p w14:paraId="7A00A520" w14:textId="2DE86712" w:rsidR="00C07CAE" w:rsidRPr="00853528" w:rsidRDefault="00C07CAE" w:rsidP="0089557B">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Wydaje się, że obawa stojąca u podstaw rozważanego zarzutu, a odwołująca się do określonej praktyki</w:t>
      </w:r>
      <w:r w:rsidR="00D202F8">
        <w:rPr>
          <w:rFonts w:ascii="Times New Roman" w:eastAsia="Times New Roman" w:hAnsi="Times New Roman" w:cs="Times New Roman"/>
          <w:lang w:eastAsia="pl-PL"/>
        </w:rPr>
        <w:t>,</w:t>
      </w:r>
      <w:r w:rsidRPr="00853528">
        <w:rPr>
          <w:rFonts w:ascii="Times New Roman" w:eastAsia="Times New Roman" w:hAnsi="Times New Roman" w:cs="Times New Roman"/>
          <w:lang w:eastAsia="pl-PL"/>
        </w:rPr>
        <w:t xml:space="preserve"> nie jest uzasadniona. Przyjmując, że znamię „zamiaru” określa tutaj stronę podmiotową czynu sprawcy (jego nastawienie psychiczne), to dla karalności sprawcy wystarczy, że będzie ono obejmowało jedynie konieczne elementy przestępstwa terroryzmu, o którym mowa w art. 115 § 20 </w:t>
      </w:r>
      <w:r w:rsidR="00245BC5"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.k. Można wyobrazić sobie, że p</w:t>
      </w:r>
      <w:r w:rsidR="0064170A" w:rsidRPr="00853528">
        <w:rPr>
          <w:rFonts w:ascii="Times New Roman" w:eastAsia="Times New Roman" w:hAnsi="Times New Roman" w:cs="Times New Roman"/>
          <w:lang w:eastAsia="pl-PL"/>
        </w:rPr>
        <w:t>rzestepstwo takie nie będzie sprowadzało się do konkretnego aktu terrorystycznego, lecz do zachowania jedynie znamienne</w:t>
      </w:r>
      <w:r w:rsidR="00245BC5" w:rsidRPr="00853528">
        <w:rPr>
          <w:rFonts w:ascii="Times New Roman" w:eastAsia="Times New Roman" w:hAnsi="Times New Roman" w:cs="Times New Roman"/>
          <w:lang w:eastAsia="pl-PL"/>
        </w:rPr>
        <w:t>go</w:t>
      </w:r>
      <w:r w:rsidR="0064170A" w:rsidRPr="00853528">
        <w:rPr>
          <w:rFonts w:ascii="Times New Roman" w:eastAsia="Times New Roman" w:hAnsi="Times New Roman" w:cs="Times New Roman"/>
          <w:lang w:eastAsia="pl-PL"/>
        </w:rPr>
        <w:t xml:space="preserve"> dla takiego rodzaju aktu.</w:t>
      </w:r>
    </w:p>
    <w:p w14:paraId="60C4FE54" w14:textId="35C3471E" w:rsidR="003A737C" w:rsidRPr="00853528" w:rsidRDefault="004D3928" w:rsidP="00AC5643">
      <w:pPr>
        <w:pStyle w:val="Akapitzlist"/>
        <w:numPr>
          <w:ilvl w:val="0"/>
          <w:numId w:val="11"/>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Pozostawiając </w:t>
      </w:r>
      <w:r w:rsidR="00C07CAE" w:rsidRPr="00853528">
        <w:rPr>
          <w:rFonts w:ascii="Times New Roman" w:eastAsia="Times New Roman" w:hAnsi="Times New Roman" w:cs="Times New Roman"/>
          <w:lang w:eastAsia="pl-PL"/>
        </w:rPr>
        <w:t xml:space="preserve">już </w:t>
      </w:r>
      <w:r w:rsidRPr="00853528">
        <w:rPr>
          <w:rFonts w:ascii="Times New Roman" w:eastAsia="Times New Roman" w:hAnsi="Times New Roman" w:cs="Times New Roman"/>
          <w:lang w:eastAsia="pl-PL"/>
        </w:rPr>
        <w:t xml:space="preserve">na boku zasadność wspomnianej oceny praktyki stosowania omawianego przepisu, przyznać należy, że użyte w nim znamiona: „w zamiarze sfinansowania przestępstwa” </w:t>
      </w:r>
      <w:r w:rsidR="00C07CAE" w:rsidRPr="00853528">
        <w:rPr>
          <w:rFonts w:ascii="Times New Roman" w:eastAsia="Times New Roman" w:hAnsi="Times New Roman" w:cs="Times New Roman"/>
          <w:lang w:eastAsia="pl-PL"/>
        </w:rPr>
        <w:t xml:space="preserve">rzeczywiście </w:t>
      </w:r>
      <w:r w:rsidRPr="00853528">
        <w:rPr>
          <w:rFonts w:ascii="Times New Roman" w:eastAsia="Times New Roman" w:hAnsi="Times New Roman" w:cs="Times New Roman"/>
          <w:lang w:eastAsia="pl-PL"/>
        </w:rPr>
        <w:t xml:space="preserve">rodzą uzasadnione wątpliwości interpretacyjne. Chociażby z tego względu, że narusza to tradycyjną zasadę legislacyjną, zgodnie z którą </w:t>
      </w:r>
      <w:r w:rsidR="00C07CAE" w:rsidRPr="00853528">
        <w:rPr>
          <w:rFonts w:ascii="Times New Roman" w:eastAsia="Times New Roman" w:hAnsi="Times New Roman" w:cs="Times New Roman"/>
          <w:lang w:eastAsia="pl-PL"/>
        </w:rPr>
        <w:t xml:space="preserve">pojęcie </w:t>
      </w:r>
      <w:r w:rsidRPr="00853528">
        <w:rPr>
          <w:rFonts w:ascii="Times New Roman" w:eastAsia="Times New Roman" w:hAnsi="Times New Roman" w:cs="Times New Roman"/>
          <w:lang w:eastAsia="pl-PL"/>
        </w:rPr>
        <w:t>„zamiar</w:t>
      </w:r>
      <w:r w:rsidR="00C07CAE" w:rsidRPr="00853528">
        <w:rPr>
          <w:rFonts w:ascii="Times New Roman" w:eastAsia="Times New Roman" w:hAnsi="Times New Roman" w:cs="Times New Roman"/>
          <w:lang w:eastAsia="pl-PL"/>
        </w:rPr>
        <w:t>u</w:t>
      </w:r>
      <w:r w:rsidRPr="00853528">
        <w:rPr>
          <w:rFonts w:ascii="Times New Roman" w:eastAsia="Times New Roman" w:hAnsi="Times New Roman" w:cs="Times New Roman"/>
          <w:lang w:eastAsia="pl-PL"/>
        </w:rPr>
        <w:t xml:space="preserve">” </w:t>
      </w:r>
      <w:r w:rsidR="00C07CAE" w:rsidRPr="00853528">
        <w:rPr>
          <w:rFonts w:ascii="Times New Roman" w:eastAsia="Times New Roman" w:hAnsi="Times New Roman" w:cs="Times New Roman"/>
          <w:lang w:eastAsia="pl-PL"/>
        </w:rPr>
        <w:t>definiuje umyśln</w:t>
      </w:r>
      <w:r w:rsidR="00245BC5" w:rsidRPr="00853528">
        <w:rPr>
          <w:rFonts w:ascii="Times New Roman" w:eastAsia="Times New Roman" w:hAnsi="Times New Roman" w:cs="Times New Roman"/>
          <w:lang w:eastAsia="pl-PL"/>
        </w:rPr>
        <w:t>ą</w:t>
      </w:r>
      <w:r w:rsidR="00C07CAE" w:rsidRPr="00853528">
        <w:rPr>
          <w:rFonts w:ascii="Times New Roman" w:eastAsia="Times New Roman" w:hAnsi="Times New Roman" w:cs="Times New Roman"/>
          <w:lang w:eastAsia="pl-PL"/>
        </w:rPr>
        <w:t xml:space="preserve"> stron</w:t>
      </w:r>
      <w:r w:rsidR="00245BC5" w:rsidRPr="00853528">
        <w:rPr>
          <w:rFonts w:ascii="Times New Roman" w:eastAsia="Times New Roman" w:hAnsi="Times New Roman" w:cs="Times New Roman"/>
          <w:lang w:eastAsia="pl-PL"/>
        </w:rPr>
        <w:t>ę</w:t>
      </w:r>
      <w:r w:rsidR="00C07CAE" w:rsidRPr="00853528">
        <w:rPr>
          <w:rFonts w:ascii="Times New Roman" w:eastAsia="Times New Roman" w:hAnsi="Times New Roman" w:cs="Times New Roman"/>
          <w:lang w:eastAsia="pl-PL"/>
        </w:rPr>
        <w:t xml:space="preserve"> podmiotową (art. 9 § 1 </w:t>
      </w:r>
      <w:r w:rsidR="00245BC5" w:rsidRPr="00853528">
        <w:rPr>
          <w:rFonts w:ascii="Times New Roman" w:eastAsia="Times New Roman" w:hAnsi="Times New Roman" w:cs="Times New Roman"/>
          <w:lang w:eastAsia="pl-PL"/>
        </w:rPr>
        <w:t>k</w:t>
      </w:r>
      <w:r w:rsidR="00C07CAE" w:rsidRPr="00853528">
        <w:rPr>
          <w:rFonts w:ascii="Times New Roman" w:eastAsia="Times New Roman" w:hAnsi="Times New Roman" w:cs="Times New Roman"/>
          <w:lang w:eastAsia="pl-PL"/>
        </w:rPr>
        <w:t xml:space="preserve">.k.), a nie ustawowy opis typu czynu zabronionego (nawet, gdyby przyjąć, że odnosi się on tylko do strony podmiotowej, co w rozważanym przypadku może </w:t>
      </w:r>
      <w:r w:rsidR="00C07CAE" w:rsidRPr="00853528">
        <w:rPr>
          <w:rFonts w:ascii="Times New Roman" w:eastAsia="Times New Roman" w:hAnsi="Times New Roman" w:cs="Times New Roman"/>
          <w:lang w:eastAsia="pl-PL"/>
        </w:rPr>
        <w:lastRenderedPageBreak/>
        <w:t xml:space="preserve">budzić wątpliwości). Nie zmienia tej oceny (słusznej zasady) sporadyczne (i zawsze dyskusyjne) użycie tego znamienia w odmienny sposób (zob. art. 118a, art. 216 § 1, 255a § 1). Jednak również w tym miejscu należałoby poczynić uwagę, że niniejsze opracowanie nie może stanowić podstawy do formułowania propozycji trafnego ujęcia przestępstwa z art. 165a </w:t>
      </w:r>
      <w:r w:rsidR="00245BC5" w:rsidRPr="00853528">
        <w:rPr>
          <w:rFonts w:ascii="Times New Roman" w:eastAsia="Times New Roman" w:hAnsi="Times New Roman" w:cs="Times New Roman"/>
          <w:lang w:eastAsia="pl-PL"/>
        </w:rPr>
        <w:t>k</w:t>
      </w:r>
      <w:r w:rsidR="00C07CAE" w:rsidRPr="00853528">
        <w:rPr>
          <w:rFonts w:ascii="Times New Roman" w:eastAsia="Times New Roman" w:hAnsi="Times New Roman" w:cs="Times New Roman"/>
          <w:lang w:eastAsia="pl-PL"/>
        </w:rPr>
        <w:t>.k.</w:t>
      </w:r>
    </w:p>
    <w:p w14:paraId="721A4870" w14:textId="5C7ACFE5" w:rsidR="0064170A" w:rsidRPr="00853528" w:rsidRDefault="00AC5643" w:rsidP="00AC5643">
      <w:pPr>
        <w:pStyle w:val="NormalnyWeb"/>
        <w:numPr>
          <w:ilvl w:val="0"/>
          <w:numId w:val="11"/>
        </w:numPr>
        <w:spacing w:line="360" w:lineRule="auto"/>
        <w:jc w:val="both"/>
      </w:pPr>
      <w:r w:rsidRPr="00853528">
        <w:rPr>
          <w:u w:val="single"/>
        </w:rPr>
        <w:t>Po szóste</w:t>
      </w:r>
      <w:r w:rsidRPr="00853528">
        <w:t xml:space="preserve">, odnośnie do art. 165a </w:t>
      </w:r>
      <w:r w:rsidR="00245BC5" w:rsidRPr="00853528">
        <w:t>k</w:t>
      </w:r>
      <w:r w:rsidRPr="00853528">
        <w:t>.k., formułuje się zarzut o następującej treści: „f</w:t>
      </w:r>
      <w:r w:rsidR="0064170A" w:rsidRPr="00853528">
        <w:t>inansowanie podróży osób w celu odbycia szkolenia terrorystycznego oraz w celu jego dostarczenia bez związku z zamiarem popełnienia aktu terrorystycznego nie jest objęte tym przepisem</w:t>
      </w:r>
      <w:r w:rsidRPr="00853528">
        <w:t>”</w:t>
      </w:r>
      <w:r w:rsidR="0064170A" w:rsidRPr="00853528">
        <w:t xml:space="preserve">. </w:t>
      </w:r>
    </w:p>
    <w:p w14:paraId="3223BC1B" w14:textId="3436C60E" w:rsidR="00AC5643" w:rsidRPr="00853528" w:rsidRDefault="00AC5643" w:rsidP="00AC5643">
      <w:pPr>
        <w:pStyle w:val="NormalnyWeb"/>
        <w:numPr>
          <w:ilvl w:val="0"/>
          <w:numId w:val="11"/>
        </w:numPr>
        <w:spacing w:line="360" w:lineRule="auto"/>
        <w:jc w:val="both"/>
      </w:pPr>
      <w:r w:rsidRPr="00853528">
        <w:t xml:space="preserve">Odnosząc się do powyższego zarzutu, wydaje się, że jest on bezpodstawny w świetle przepisów § 2 i 3 art. 165a </w:t>
      </w:r>
      <w:r w:rsidR="00245BC5" w:rsidRPr="00853528">
        <w:t>k</w:t>
      </w:r>
      <w:r w:rsidRPr="00853528">
        <w:t>.k. Kryminalizują one bowiem szerokie spektrum funkcjonowania terrorystów przygotowujących się do aktu terrorystycznego.</w:t>
      </w:r>
    </w:p>
    <w:p w14:paraId="7CF11839" w14:textId="77777777" w:rsidR="008F042D" w:rsidRPr="00853528" w:rsidRDefault="00AC5643" w:rsidP="008F042D">
      <w:pPr>
        <w:pStyle w:val="NormalnyWeb"/>
        <w:numPr>
          <w:ilvl w:val="0"/>
          <w:numId w:val="11"/>
        </w:numPr>
        <w:spacing w:line="360" w:lineRule="auto"/>
        <w:jc w:val="both"/>
      </w:pPr>
      <w:r w:rsidRPr="00853528">
        <w:rPr>
          <w:u w:val="single"/>
        </w:rPr>
        <w:t>Po siódme</w:t>
      </w:r>
      <w:r w:rsidRPr="00853528">
        <w:t>, formułuje się zarzut następującej treści: „k</w:t>
      </w:r>
      <w:r w:rsidR="0064170A" w:rsidRPr="00853528">
        <w:t>ara za czyny przewidziane w art. 165a § 3 Kodeksu karnego nie ma charakteru proporcjonalnego i odstraszającego</w:t>
      </w:r>
      <w:r w:rsidRPr="00853528">
        <w:t>”.</w:t>
      </w:r>
    </w:p>
    <w:p w14:paraId="0499BD04" w14:textId="3E593338" w:rsidR="00AC5643" w:rsidRPr="00853528" w:rsidRDefault="002E754D" w:rsidP="008F042D">
      <w:pPr>
        <w:pStyle w:val="NormalnyWeb"/>
        <w:numPr>
          <w:ilvl w:val="0"/>
          <w:numId w:val="11"/>
        </w:numPr>
        <w:spacing w:line="360" w:lineRule="auto"/>
        <w:jc w:val="both"/>
      </w:pPr>
      <w:r w:rsidRPr="00853528">
        <w:rPr>
          <w:b/>
          <w:bCs/>
        </w:rPr>
        <w:t>Zasadniczo j</w:t>
      </w:r>
      <w:r w:rsidR="00AC5643" w:rsidRPr="00853528">
        <w:rPr>
          <w:b/>
          <w:bCs/>
        </w:rPr>
        <w:t xml:space="preserve">est to zarzut </w:t>
      </w:r>
      <w:r w:rsidR="00EC263C">
        <w:rPr>
          <w:b/>
          <w:bCs/>
        </w:rPr>
        <w:t>jest warty rozważanie</w:t>
      </w:r>
      <w:r w:rsidR="00AC5643" w:rsidRPr="00853528">
        <w:rPr>
          <w:b/>
          <w:bCs/>
        </w:rPr>
        <w:t xml:space="preserve">. Przestępstwo z art. 165a § 3 </w:t>
      </w:r>
      <w:r w:rsidR="00853528" w:rsidRPr="00853528">
        <w:rPr>
          <w:b/>
          <w:bCs/>
        </w:rPr>
        <w:t>k</w:t>
      </w:r>
      <w:r w:rsidR="00AC5643" w:rsidRPr="00853528">
        <w:rPr>
          <w:b/>
          <w:bCs/>
        </w:rPr>
        <w:t>.k. określa przestępstw</w:t>
      </w:r>
      <w:r w:rsidR="00D202F8">
        <w:rPr>
          <w:b/>
          <w:bCs/>
        </w:rPr>
        <w:t>o</w:t>
      </w:r>
      <w:r w:rsidR="00AC5643" w:rsidRPr="00853528">
        <w:rPr>
          <w:b/>
          <w:bCs/>
        </w:rPr>
        <w:t xml:space="preserve"> </w:t>
      </w:r>
      <w:r w:rsidR="00D202F8" w:rsidRPr="00D202F8">
        <w:rPr>
          <w:b/>
          <w:bCs/>
          <w:u w:val="single"/>
        </w:rPr>
        <w:t xml:space="preserve">umyślnego </w:t>
      </w:r>
      <w:r w:rsidR="00AC5643" w:rsidRPr="00D202F8">
        <w:rPr>
          <w:b/>
          <w:bCs/>
          <w:u w:val="single"/>
        </w:rPr>
        <w:t>finansowania grupy terrorystycznej</w:t>
      </w:r>
      <w:r w:rsidR="00AC5643" w:rsidRPr="00853528">
        <w:rPr>
          <w:b/>
          <w:bCs/>
        </w:rPr>
        <w:t xml:space="preserve"> i jest z</w:t>
      </w:r>
      <w:r w:rsidR="008F042D" w:rsidRPr="00853528">
        <w:rPr>
          <w:b/>
          <w:bCs/>
        </w:rPr>
        <w:t>a</w:t>
      </w:r>
      <w:r w:rsidR="00AC5643" w:rsidRPr="00853528">
        <w:rPr>
          <w:b/>
          <w:bCs/>
        </w:rPr>
        <w:t>grożone karą pozbawienia wolności do lat 3</w:t>
      </w:r>
      <w:r w:rsidR="008F042D" w:rsidRPr="00853528">
        <w:rPr>
          <w:b/>
          <w:bCs/>
        </w:rPr>
        <w:t xml:space="preserve">, czyli taką samą jak </w:t>
      </w:r>
      <w:r w:rsidR="00D202F8">
        <w:rPr>
          <w:b/>
          <w:bCs/>
        </w:rPr>
        <w:t xml:space="preserve">przestępstwo </w:t>
      </w:r>
      <w:r w:rsidR="008F042D" w:rsidRPr="00D202F8">
        <w:rPr>
          <w:b/>
          <w:bCs/>
          <w:u w:val="single"/>
        </w:rPr>
        <w:t>nieumyślne</w:t>
      </w:r>
      <w:r w:rsidR="00D202F8">
        <w:rPr>
          <w:b/>
          <w:bCs/>
          <w:u w:val="single"/>
        </w:rPr>
        <w:t>go</w:t>
      </w:r>
      <w:r w:rsidR="008F042D" w:rsidRPr="00D202F8">
        <w:rPr>
          <w:b/>
          <w:bCs/>
          <w:u w:val="single"/>
        </w:rPr>
        <w:t xml:space="preserve"> finansowani</w:t>
      </w:r>
      <w:r w:rsidR="00D202F8">
        <w:rPr>
          <w:b/>
          <w:bCs/>
          <w:u w:val="single"/>
        </w:rPr>
        <w:t>a</w:t>
      </w:r>
      <w:r w:rsidR="008F042D" w:rsidRPr="00D202F8">
        <w:rPr>
          <w:b/>
          <w:bCs/>
          <w:u w:val="single"/>
        </w:rPr>
        <w:t xml:space="preserve"> zamachu terrorystycznego</w:t>
      </w:r>
      <w:r w:rsidR="008F042D" w:rsidRPr="00853528">
        <w:rPr>
          <w:b/>
          <w:bCs/>
        </w:rPr>
        <w:t xml:space="preserve"> z § 4. Tymczasem </w:t>
      </w:r>
      <w:r w:rsidR="00D202F8">
        <w:rPr>
          <w:b/>
          <w:bCs/>
        </w:rPr>
        <w:t xml:space="preserve">przestępstwo </w:t>
      </w:r>
      <w:r w:rsidR="008F042D" w:rsidRPr="00D202F8">
        <w:rPr>
          <w:b/>
          <w:bCs/>
          <w:u w:val="single"/>
        </w:rPr>
        <w:t>umyślne</w:t>
      </w:r>
      <w:r w:rsidR="00D202F8">
        <w:rPr>
          <w:b/>
          <w:bCs/>
          <w:u w:val="single"/>
        </w:rPr>
        <w:t>go</w:t>
      </w:r>
      <w:r w:rsidR="008F042D" w:rsidRPr="00D202F8">
        <w:rPr>
          <w:b/>
          <w:bCs/>
          <w:u w:val="single"/>
        </w:rPr>
        <w:t xml:space="preserve"> finansowani</w:t>
      </w:r>
      <w:r w:rsidR="00D202F8">
        <w:rPr>
          <w:b/>
          <w:bCs/>
          <w:u w:val="single"/>
        </w:rPr>
        <w:t>a</w:t>
      </w:r>
      <w:r w:rsidR="008F042D" w:rsidRPr="00D202F8">
        <w:rPr>
          <w:b/>
          <w:bCs/>
          <w:u w:val="single"/>
        </w:rPr>
        <w:t xml:space="preserve"> zamachu terrorystycznego</w:t>
      </w:r>
      <w:r w:rsidR="008F042D" w:rsidRPr="00853528">
        <w:rPr>
          <w:b/>
          <w:bCs/>
        </w:rPr>
        <w:t xml:space="preserve"> </w:t>
      </w:r>
      <w:r w:rsidR="00D202F8">
        <w:rPr>
          <w:b/>
          <w:bCs/>
        </w:rPr>
        <w:t xml:space="preserve">jest </w:t>
      </w:r>
      <w:r w:rsidR="008F042D" w:rsidRPr="00853528">
        <w:rPr>
          <w:b/>
          <w:bCs/>
        </w:rPr>
        <w:t xml:space="preserve">zagrożone </w:t>
      </w:r>
      <w:r w:rsidR="00D202F8">
        <w:rPr>
          <w:b/>
          <w:bCs/>
        </w:rPr>
        <w:t>znacznie surowej niż to pierwsze, ponieważ zawiera zagrożenie</w:t>
      </w:r>
      <w:r w:rsidR="008F042D" w:rsidRPr="00853528">
        <w:rPr>
          <w:b/>
          <w:bCs/>
        </w:rPr>
        <w:t xml:space="preserve"> karą pozbawienia wolności do lat 15 (a zgodnie z ostatnią propozycją Komisji Kodyfikacyjnej – do lat 12). Wynika z tego, że </w:t>
      </w:r>
      <w:r w:rsidR="00EC263C">
        <w:rPr>
          <w:b/>
          <w:bCs/>
        </w:rPr>
        <w:t xml:space="preserve">w istocie zachodzą podstawy do rozważenia, aby </w:t>
      </w:r>
      <w:r w:rsidR="008F042D" w:rsidRPr="00853528">
        <w:rPr>
          <w:b/>
          <w:bCs/>
        </w:rPr>
        <w:t xml:space="preserve">przestępstwo z § 3 </w:t>
      </w:r>
      <w:r w:rsidR="00EC263C">
        <w:rPr>
          <w:b/>
          <w:bCs/>
        </w:rPr>
        <w:t>było</w:t>
      </w:r>
      <w:r w:rsidR="008F042D" w:rsidRPr="00853528">
        <w:rPr>
          <w:b/>
          <w:bCs/>
        </w:rPr>
        <w:t xml:space="preserve"> zagrożone surowszą sankcją (np. kar</w:t>
      </w:r>
      <w:r w:rsidR="00853528" w:rsidRPr="00853528">
        <w:rPr>
          <w:b/>
          <w:bCs/>
        </w:rPr>
        <w:t>ą</w:t>
      </w:r>
      <w:r w:rsidR="008F042D" w:rsidRPr="00853528">
        <w:rPr>
          <w:b/>
          <w:bCs/>
        </w:rPr>
        <w:t xml:space="preserve"> pozbawienia </w:t>
      </w:r>
      <w:r w:rsidR="00853528" w:rsidRPr="00853528">
        <w:rPr>
          <w:b/>
          <w:bCs/>
        </w:rPr>
        <w:t>wolności</w:t>
      </w:r>
      <w:r w:rsidR="008F042D" w:rsidRPr="00853528">
        <w:rPr>
          <w:b/>
          <w:bCs/>
        </w:rPr>
        <w:t xml:space="preserve"> od 6 </w:t>
      </w:r>
      <w:r w:rsidR="00853528" w:rsidRPr="00853528">
        <w:rPr>
          <w:b/>
          <w:bCs/>
        </w:rPr>
        <w:t>miesięcy</w:t>
      </w:r>
      <w:r w:rsidR="008F042D" w:rsidRPr="00853528">
        <w:rPr>
          <w:b/>
          <w:bCs/>
        </w:rPr>
        <w:t xml:space="preserve"> do lat 8).</w:t>
      </w:r>
      <w:r w:rsidR="00B80F0E" w:rsidRPr="00853528">
        <w:rPr>
          <w:b/>
          <w:bCs/>
        </w:rPr>
        <w:t xml:space="preserve"> </w:t>
      </w:r>
      <w:r w:rsidR="00B80F0E" w:rsidRPr="00853528">
        <w:t>Już na marginesie należy odnotować, że ustawodawca przewiduje wiele zbrodni gospodarczych, a w zakresie karnoprawnego zwalczania terroryzmu – nie przewiduje w ogóle zbrodni.</w:t>
      </w:r>
    </w:p>
    <w:p w14:paraId="020BBAFF" w14:textId="10639BF3" w:rsidR="0064170A" w:rsidRPr="00853528" w:rsidRDefault="00AC5643" w:rsidP="00AC5643">
      <w:pPr>
        <w:pStyle w:val="NormalnyWeb"/>
        <w:numPr>
          <w:ilvl w:val="0"/>
          <w:numId w:val="11"/>
        </w:numPr>
        <w:spacing w:line="360" w:lineRule="auto"/>
        <w:jc w:val="both"/>
      </w:pPr>
      <w:r w:rsidRPr="00853528">
        <w:rPr>
          <w:u w:val="single"/>
        </w:rPr>
        <w:t>Po ósme</w:t>
      </w:r>
      <w:r w:rsidRPr="00853528">
        <w:t>, formułuje się zarzut następującej treści: „</w:t>
      </w:r>
      <w:r w:rsidR="0064170A" w:rsidRPr="00853528">
        <w:t>zakres odpowiedzialności karnej jest ograniczony przez wymóg uprzedniej odpowiedzialności karnej osoby fizycznej</w:t>
      </w:r>
      <w:r w:rsidRPr="00853528">
        <w:t>”</w:t>
      </w:r>
      <w:r w:rsidR="0064170A" w:rsidRPr="00853528">
        <w:t xml:space="preserve">. </w:t>
      </w:r>
    </w:p>
    <w:p w14:paraId="46EC5571" w14:textId="3E4E4568" w:rsidR="00C07CAE" w:rsidRPr="00853528" w:rsidRDefault="002E754D" w:rsidP="00AC5643">
      <w:pPr>
        <w:pStyle w:val="Akapitzlist"/>
        <w:numPr>
          <w:ilvl w:val="0"/>
          <w:numId w:val="11"/>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Zasadniczo j</w:t>
      </w:r>
      <w:r w:rsidR="008F042D" w:rsidRPr="00853528">
        <w:rPr>
          <w:rFonts w:ascii="Times New Roman" w:eastAsia="Times New Roman" w:hAnsi="Times New Roman" w:cs="Times New Roman"/>
          <w:b/>
          <w:bCs/>
          <w:lang w:eastAsia="pl-PL"/>
        </w:rPr>
        <w:t xml:space="preserve">est to zarzut trafny. Jednak odnosi się on do znacznie szerszego systemowego problemu właściwego uregulowania modelu odpowiedzialności penalnej podmiotu zbiorowego. Aktualne są tutaj uwagi poczynione powyżej </w:t>
      </w:r>
      <w:r w:rsidR="00D202F8">
        <w:rPr>
          <w:rFonts w:ascii="Times New Roman" w:eastAsia="Times New Roman" w:hAnsi="Times New Roman" w:cs="Times New Roman"/>
          <w:b/>
          <w:bCs/>
          <w:lang w:eastAsia="pl-PL"/>
        </w:rPr>
        <w:t>(zob.</w:t>
      </w:r>
      <w:r w:rsidR="008F042D" w:rsidRPr="00853528">
        <w:rPr>
          <w:rFonts w:ascii="Times New Roman" w:eastAsia="Times New Roman" w:hAnsi="Times New Roman" w:cs="Times New Roman"/>
          <w:b/>
          <w:bCs/>
          <w:lang w:eastAsia="pl-PL"/>
        </w:rPr>
        <w:t xml:space="preserve"> pkt I</w:t>
      </w:r>
      <w:r w:rsidR="00D202F8">
        <w:rPr>
          <w:rFonts w:ascii="Times New Roman" w:eastAsia="Times New Roman" w:hAnsi="Times New Roman" w:cs="Times New Roman"/>
          <w:b/>
          <w:bCs/>
          <w:lang w:eastAsia="pl-PL"/>
        </w:rPr>
        <w:t>I</w:t>
      </w:r>
      <w:r w:rsidR="008F042D" w:rsidRPr="00853528">
        <w:rPr>
          <w:rFonts w:ascii="Times New Roman" w:eastAsia="Times New Roman" w:hAnsi="Times New Roman" w:cs="Times New Roman"/>
          <w:b/>
          <w:bCs/>
          <w:lang w:eastAsia="pl-PL"/>
        </w:rPr>
        <w:t>.13-14</w:t>
      </w:r>
      <w:r w:rsidR="00D202F8">
        <w:rPr>
          <w:rFonts w:ascii="Times New Roman" w:eastAsia="Times New Roman" w:hAnsi="Times New Roman" w:cs="Times New Roman"/>
          <w:b/>
          <w:bCs/>
          <w:lang w:eastAsia="pl-PL"/>
        </w:rPr>
        <w:t>)</w:t>
      </w:r>
      <w:r w:rsidR="008F042D" w:rsidRPr="00853528">
        <w:rPr>
          <w:rFonts w:ascii="Times New Roman" w:eastAsia="Times New Roman" w:hAnsi="Times New Roman" w:cs="Times New Roman"/>
          <w:b/>
          <w:bCs/>
          <w:lang w:eastAsia="pl-PL"/>
        </w:rPr>
        <w:t>.</w:t>
      </w:r>
    </w:p>
    <w:p w14:paraId="6AD44EB6" w14:textId="77777777" w:rsidR="002058EB" w:rsidRPr="00853528" w:rsidRDefault="002058EB" w:rsidP="00AC5643">
      <w:pPr>
        <w:spacing w:line="360" w:lineRule="auto"/>
        <w:jc w:val="both"/>
        <w:rPr>
          <w:rFonts w:ascii="Times New Roman" w:eastAsia="Times New Roman" w:hAnsi="Times New Roman" w:cs="Times New Roman"/>
          <w:b/>
          <w:bCs/>
          <w:lang w:eastAsia="pl-PL"/>
        </w:rPr>
      </w:pPr>
    </w:p>
    <w:p w14:paraId="6F53C115" w14:textId="6483743C" w:rsidR="008F042D" w:rsidRPr="00853528" w:rsidRDefault="00B80F0E" w:rsidP="002E754D">
      <w:pPr>
        <w:pStyle w:val="Akapitzlist"/>
        <w:numPr>
          <w:ilvl w:val="0"/>
          <w:numId w:val="15"/>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D</w:t>
      </w:r>
      <w:r w:rsidR="008F042D" w:rsidRPr="00853528">
        <w:rPr>
          <w:rFonts w:ascii="Times New Roman" w:eastAsia="Times New Roman" w:hAnsi="Times New Roman" w:cs="Times New Roman"/>
          <w:b/>
          <w:bCs/>
          <w:lang w:eastAsia="pl-PL"/>
        </w:rPr>
        <w:t>odatkowe</w:t>
      </w:r>
      <w:r w:rsidRPr="00853528">
        <w:rPr>
          <w:rFonts w:ascii="Times New Roman" w:eastAsia="Times New Roman" w:hAnsi="Times New Roman" w:cs="Times New Roman"/>
          <w:b/>
          <w:bCs/>
          <w:lang w:eastAsia="pl-PL"/>
        </w:rPr>
        <w:t xml:space="preserve"> uwagi ogólne</w:t>
      </w:r>
    </w:p>
    <w:p w14:paraId="3417AB0B" w14:textId="0ED7AD58" w:rsidR="00B80F0E" w:rsidRPr="00853528" w:rsidRDefault="00B80F0E" w:rsidP="00B80F0E">
      <w:pPr>
        <w:pStyle w:val="Akapitzlist"/>
        <w:numPr>
          <w:ilvl w:val="0"/>
          <w:numId w:val="12"/>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lastRenderedPageBreak/>
        <w:t xml:space="preserve">Porównując wnikliwie treść rekomendacji FATF oraz konwencji zwalczających terroryzm do polskiego prawa karnego, nasuwa się generalne spostrzeżenie, że karnoprawna implementacja wynikających z niej zaleceń </w:t>
      </w:r>
      <w:r w:rsidR="00D202F8">
        <w:rPr>
          <w:rFonts w:ascii="Times New Roman" w:eastAsia="Times New Roman" w:hAnsi="Times New Roman" w:cs="Times New Roman"/>
          <w:lang w:eastAsia="pl-PL"/>
        </w:rPr>
        <w:t xml:space="preserve">na grunt prawa polskiego, </w:t>
      </w:r>
      <w:r w:rsidRPr="00853528">
        <w:rPr>
          <w:rFonts w:ascii="Times New Roman" w:eastAsia="Times New Roman" w:hAnsi="Times New Roman" w:cs="Times New Roman"/>
          <w:lang w:eastAsia="pl-PL"/>
        </w:rPr>
        <w:t>wymaga kompleksowej i pogłębionej weryfikacji. Można bowiem odnieść wrażenie, że implementacja ta nie została przeprowadzona na płaszczyźnie prawa karnego w sposób pełny i właściwy.</w:t>
      </w:r>
      <w:r w:rsidR="000048E7">
        <w:rPr>
          <w:rFonts w:ascii="Times New Roman" w:eastAsia="Times New Roman" w:hAnsi="Times New Roman" w:cs="Times New Roman"/>
          <w:lang w:eastAsia="pl-PL"/>
        </w:rPr>
        <w:t xml:space="preserve"> W każdym razie, nie sprawdza się dotychczasowa maniera legislacyjna, polegająca na dostosowywaniu polskiego prawa karnego do wymogów prawa międzynarodowego </w:t>
      </w:r>
      <w:r w:rsidR="000048E7" w:rsidRPr="000048E7">
        <w:rPr>
          <w:rFonts w:ascii="Times New Roman" w:eastAsia="Times New Roman" w:hAnsi="Times New Roman" w:cs="Times New Roman"/>
          <w:i/>
          <w:iCs/>
          <w:lang w:eastAsia="pl-PL"/>
        </w:rPr>
        <w:t>ad</w:t>
      </w:r>
      <w:r w:rsidR="000048E7">
        <w:rPr>
          <w:rFonts w:ascii="Times New Roman" w:eastAsia="Times New Roman" w:hAnsi="Times New Roman" w:cs="Times New Roman"/>
          <w:lang w:eastAsia="pl-PL"/>
        </w:rPr>
        <w:t xml:space="preserve"> </w:t>
      </w:r>
      <w:r w:rsidR="000048E7" w:rsidRPr="000048E7">
        <w:rPr>
          <w:rFonts w:ascii="Times New Roman" w:eastAsia="Times New Roman" w:hAnsi="Times New Roman" w:cs="Times New Roman"/>
          <w:i/>
          <w:iCs/>
          <w:lang w:eastAsia="pl-PL"/>
        </w:rPr>
        <w:t>hoc</w:t>
      </w:r>
      <w:r w:rsidR="000048E7">
        <w:rPr>
          <w:rFonts w:ascii="Times New Roman" w:eastAsia="Times New Roman" w:hAnsi="Times New Roman" w:cs="Times New Roman"/>
          <w:lang w:eastAsia="pl-PL"/>
        </w:rPr>
        <w:t xml:space="preserve"> i </w:t>
      </w:r>
      <w:r w:rsidR="000048E7" w:rsidRPr="000048E7">
        <w:rPr>
          <w:rFonts w:ascii="Times New Roman" w:eastAsia="Times New Roman" w:hAnsi="Times New Roman" w:cs="Times New Roman"/>
          <w:i/>
          <w:iCs/>
          <w:lang w:eastAsia="pl-PL"/>
        </w:rPr>
        <w:t>ad casu</w:t>
      </w:r>
      <w:r w:rsidR="000048E7">
        <w:rPr>
          <w:rFonts w:ascii="Times New Roman" w:eastAsia="Times New Roman" w:hAnsi="Times New Roman" w:cs="Times New Roman"/>
          <w:lang w:eastAsia="pl-PL"/>
        </w:rPr>
        <w:t>.</w:t>
      </w:r>
    </w:p>
    <w:p w14:paraId="0B9D4D7E" w14:textId="62FA1B4A" w:rsidR="00B80F0E" w:rsidRPr="00853528" w:rsidRDefault="00B80F0E" w:rsidP="00B80F0E">
      <w:pPr>
        <w:pStyle w:val="Akapitzlist"/>
        <w:numPr>
          <w:ilvl w:val="0"/>
          <w:numId w:val="12"/>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 xml:space="preserve">Porównując treść przepisów karnych w omawianym zakresie (art. 165a i 299 </w:t>
      </w:r>
      <w:r w:rsidR="00853528"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 xml:space="preserve">.k.) do ustawy </w:t>
      </w:r>
      <w:r w:rsidRPr="00D202F8">
        <w:rPr>
          <w:rFonts w:ascii="Times New Roman" w:eastAsia="Times New Roman" w:hAnsi="Times New Roman" w:cs="Times New Roman"/>
          <w:i/>
          <w:iCs/>
          <w:lang w:eastAsia="pl-PL"/>
        </w:rPr>
        <w:t>o przeciwdziałaniu praniu pieniędzy oraz finansowani</w:t>
      </w:r>
      <w:r w:rsidR="00853528" w:rsidRPr="00D202F8">
        <w:rPr>
          <w:rFonts w:ascii="Times New Roman" w:eastAsia="Times New Roman" w:hAnsi="Times New Roman" w:cs="Times New Roman"/>
          <w:i/>
          <w:iCs/>
          <w:lang w:eastAsia="pl-PL"/>
        </w:rPr>
        <w:t>u</w:t>
      </w:r>
      <w:r w:rsidRPr="00D202F8">
        <w:rPr>
          <w:rFonts w:ascii="Times New Roman" w:eastAsia="Times New Roman" w:hAnsi="Times New Roman" w:cs="Times New Roman"/>
          <w:i/>
          <w:iCs/>
          <w:lang w:eastAsia="pl-PL"/>
        </w:rPr>
        <w:t xml:space="preserve"> terroryzmu</w:t>
      </w:r>
      <w:r w:rsidRPr="00853528">
        <w:rPr>
          <w:rFonts w:ascii="Times New Roman" w:eastAsia="Times New Roman" w:hAnsi="Times New Roman" w:cs="Times New Roman"/>
          <w:lang w:eastAsia="pl-PL"/>
        </w:rPr>
        <w:t xml:space="preserve"> z dnia 1 marca 2018 r., nasuwa się kolejne generalne spostrzeżenie, że rozwiązania te wymagają również kompleksowej i pogłębionej weryfikacji. Zawierają one bowiem regulacje </w:t>
      </w:r>
      <w:r w:rsidR="000048E7">
        <w:rPr>
          <w:rFonts w:ascii="Times New Roman" w:eastAsia="Times New Roman" w:hAnsi="Times New Roman" w:cs="Times New Roman"/>
          <w:lang w:eastAsia="pl-PL"/>
        </w:rPr>
        <w:t xml:space="preserve">w znacznej części </w:t>
      </w:r>
      <w:r w:rsidRPr="00853528">
        <w:rPr>
          <w:rFonts w:ascii="Times New Roman" w:eastAsia="Times New Roman" w:hAnsi="Times New Roman" w:cs="Times New Roman"/>
          <w:lang w:eastAsia="pl-PL"/>
        </w:rPr>
        <w:t xml:space="preserve">nieracjonalne i niespójne, co osłabia skuteczność </w:t>
      </w:r>
      <w:r w:rsidR="00D202F8">
        <w:rPr>
          <w:rFonts w:ascii="Times New Roman" w:eastAsia="Times New Roman" w:hAnsi="Times New Roman" w:cs="Times New Roman"/>
          <w:lang w:eastAsia="pl-PL"/>
        </w:rPr>
        <w:t xml:space="preserve">karnoprawnego </w:t>
      </w:r>
      <w:r w:rsidRPr="00853528">
        <w:rPr>
          <w:rFonts w:ascii="Times New Roman" w:eastAsia="Times New Roman" w:hAnsi="Times New Roman" w:cs="Times New Roman"/>
          <w:lang w:eastAsia="pl-PL"/>
        </w:rPr>
        <w:t>zwalczania ww. patologii. I tak, dla przykładu:</w:t>
      </w:r>
    </w:p>
    <w:p w14:paraId="023A696B" w14:textId="0E0831B3" w:rsidR="00F665C7" w:rsidRPr="00853528" w:rsidRDefault="00466F82" w:rsidP="00F665C7">
      <w:pPr>
        <w:pStyle w:val="Akapitzlist"/>
        <w:numPr>
          <w:ilvl w:val="0"/>
          <w:numId w:val="13"/>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W ramach ww. ustawy szczególnej trafnie</w:t>
      </w:r>
      <w:r w:rsidR="00722AE7">
        <w:rPr>
          <w:rFonts w:ascii="Times New Roman" w:eastAsia="Times New Roman" w:hAnsi="Times New Roman" w:cs="Times New Roman"/>
          <w:lang w:eastAsia="pl-PL"/>
        </w:rPr>
        <w:t xml:space="preserve"> w sposób</w:t>
      </w:r>
      <w:r w:rsidRPr="00853528">
        <w:rPr>
          <w:rFonts w:ascii="Times New Roman" w:eastAsia="Times New Roman" w:hAnsi="Times New Roman" w:cs="Times New Roman"/>
          <w:lang w:eastAsia="pl-PL"/>
        </w:rPr>
        <w:t xml:space="preserve"> syntetyczn</w:t>
      </w:r>
      <w:r w:rsidR="00722AE7">
        <w:rPr>
          <w:rFonts w:ascii="Times New Roman" w:eastAsia="Times New Roman" w:hAnsi="Times New Roman" w:cs="Times New Roman"/>
          <w:lang w:eastAsia="pl-PL"/>
        </w:rPr>
        <w:t>y</w:t>
      </w:r>
      <w:r w:rsidRPr="00853528">
        <w:rPr>
          <w:rFonts w:ascii="Times New Roman" w:eastAsia="Times New Roman" w:hAnsi="Times New Roman" w:cs="Times New Roman"/>
          <w:lang w:eastAsia="pl-PL"/>
        </w:rPr>
        <w:t xml:space="preserve"> definiuje się wszelkie środki związane z praniem i terroryzmem jako „wartości majątkowe” (zob. art. 2 ust. 2 pkt. 27). Tymczasem w art. 165a i 299 </w:t>
      </w:r>
      <w:r w:rsidR="00853528" w:rsidRPr="00853528">
        <w:rPr>
          <w:rFonts w:ascii="Times New Roman" w:eastAsia="Times New Roman" w:hAnsi="Times New Roman" w:cs="Times New Roman"/>
          <w:lang w:eastAsia="pl-PL"/>
        </w:rPr>
        <w:t>k</w:t>
      </w:r>
      <w:r w:rsidRPr="00853528">
        <w:rPr>
          <w:rFonts w:ascii="Times New Roman" w:eastAsia="Times New Roman" w:hAnsi="Times New Roman" w:cs="Times New Roman"/>
          <w:lang w:eastAsia="pl-PL"/>
        </w:rPr>
        <w:t xml:space="preserve">.k. nietrafnie wymienia się takie środki w sposób kazuistyczny. Nie sposób przy tym uniknąć wrażenia, że zastosowanie w Kodeksie karnym wymienionego syntetycznego pojęcia mogłoby usunąć niejedną wątpliwość sformułowaną </w:t>
      </w:r>
      <w:r w:rsidR="00722AE7">
        <w:rPr>
          <w:rFonts w:ascii="Times New Roman" w:eastAsia="Times New Roman" w:hAnsi="Times New Roman" w:cs="Times New Roman"/>
          <w:lang w:eastAsia="pl-PL"/>
        </w:rPr>
        <w:t xml:space="preserve">chociażby </w:t>
      </w:r>
      <w:r w:rsidRPr="00853528">
        <w:rPr>
          <w:rFonts w:ascii="Times New Roman" w:eastAsia="Times New Roman" w:hAnsi="Times New Roman" w:cs="Times New Roman"/>
          <w:lang w:eastAsia="pl-PL"/>
        </w:rPr>
        <w:t>w rozpatrywanych powyżej zarzutach.</w:t>
      </w:r>
    </w:p>
    <w:p w14:paraId="0EB75FAA" w14:textId="7B715002" w:rsidR="00466F82" w:rsidRPr="00853528" w:rsidRDefault="00466F82" w:rsidP="00F665C7">
      <w:pPr>
        <w:pStyle w:val="Akapitzlist"/>
        <w:numPr>
          <w:ilvl w:val="0"/>
          <w:numId w:val="13"/>
        </w:numPr>
        <w:spacing w:line="360" w:lineRule="auto"/>
        <w:jc w:val="both"/>
        <w:rPr>
          <w:rFonts w:ascii="Times New Roman" w:eastAsia="Times New Roman" w:hAnsi="Times New Roman" w:cs="Times New Roman"/>
          <w:lang w:eastAsia="pl-PL"/>
        </w:rPr>
      </w:pPr>
      <w:r w:rsidRPr="00853528">
        <w:rPr>
          <w:rFonts w:ascii="Times New Roman" w:eastAsia="Times New Roman" w:hAnsi="Times New Roman" w:cs="Times New Roman"/>
          <w:lang w:eastAsia="pl-PL"/>
        </w:rPr>
        <w:t>W ramach ww. ustawy szczególnej nietrafnie przyjęto, że podstawowe dla niej pojęcia, tj. „finansowanie terroryzmu” (zob. art. 2 ust. 2 pkt 6) oraz „pranie pieniędzy” (zob. art. 2 ust. 2 pkt 14)</w:t>
      </w:r>
      <w:r w:rsidR="00722AE7">
        <w:rPr>
          <w:rFonts w:ascii="Times New Roman" w:eastAsia="Times New Roman" w:hAnsi="Times New Roman" w:cs="Times New Roman"/>
          <w:lang w:eastAsia="pl-PL"/>
        </w:rPr>
        <w:t xml:space="preserve">, </w:t>
      </w:r>
      <w:r w:rsidRPr="00853528">
        <w:rPr>
          <w:rFonts w:ascii="Times New Roman" w:eastAsia="Times New Roman" w:hAnsi="Times New Roman" w:cs="Times New Roman"/>
          <w:lang w:eastAsia="pl-PL"/>
        </w:rPr>
        <w:t xml:space="preserve">są definiowane w Kodeksie karnym, odpowiednio w przepisach art.: 165a i 299. Jest to rozwiązanie wadliwe z dwóch istotnych powodów. Po pierwsze, to </w:t>
      </w:r>
      <w:r w:rsidR="00722AE7">
        <w:rPr>
          <w:rFonts w:ascii="Times New Roman" w:eastAsia="Times New Roman" w:hAnsi="Times New Roman" w:cs="Times New Roman"/>
          <w:lang w:eastAsia="pl-PL"/>
        </w:rPr>
        <w:t xml:space="preserve">właśnie </w:t>
      </w:r>
      <w:r w:rsidRPr="00853528">
        <w:rPr>
          <w:rFonts w:ascii="Times New Roman" w:eastAsia="Times New Roman" w:hAnsi="Times New Roman" w:cs="Times New Roman"/>
          <w:lang w:eastAsia="pl-PL"/>
        </w:rPr>
        <w:t xml:space="preserve">wskazana ustawa szczególna powinna definiować takie pojęcia, a nie </w:t>
      </w:r>
      <w:r w:rsidR="00071B12" w:rsidRPr="00853528">
        <w:rPr>
          <w:rFonts w:ascii="Times New Roman" w:eastAsia="Times New Roman" w:hAnsi="Times New Roman" w:cs="Times New Roman"/>
          <w:lang w:eastAsia="pl-PL"/>
        </w:rPr>
        <w:t xml:space="preserve">zasadnicza </w:t>
      </w:r>
      <w:r w:rsidRPr="00853528">
        <w:rPr>
          <w:rFonts w:ascii="Times New Roman" w:eastAsia="Times New Roman" w:hAnsi="Times New Roman" w:cs="Times New Roman"/>
          <w:lang w:eastAsia="pl-PL"/>
        </w:rPr>
        <w:t>ustawa karna. Po drugie, ustawa karna w ww. przepisach obiektywnie nie definiuje tych pojęć, ponieważ typizuje ona czyny zabronione pod groźbą kary kryminalnej, związan</w:t>
      </w:r>
      <w:r w:rsidR="00853528" w:rsidRPr="00853528">
        <w:rPr>
          <w:rFonts w:ascii="Times New Roman" w:eastAsia="Times New Roman" w:hAnsi="Times New Roman" w:cs="Times New Roman"/>
          <w:lang w:eastAsia="pl-PL"/>
        </w:rPr>
        <w:t>ej</w:t>
      </w:r>
      <w:r w:rsidRPr="00853528">
        <w:rPr>
          <w:rFonts w:ascii="Times New Roman" w:eastAsia="Times New Roman" w:hAnsi="Times New Roman" w:cs="Times New Roman"/>
          <w:lang w:eastAsia="pl-PL"/>
        </w:rPr>
        <w:t xml:space="preserve"> z praniem i terroryzmem.</w:t>
      </w:r>
      <w:r w:rsidR="00071B12" w:rsidRPr="00853528">
        <w:rPr>
          <w:rFonts w:ascii="Times New Roman" w:eastAsia="Times New Roman" w:hAnsi="Times New Roman" w:cs="Times New Roman"/>
          <w:lang w:eastAsia="pl-PL"/>
        </w:rPr>
        <w:t xml:space="preserve"> </w:t>
      </w:r>
      <w:r w:rsidR="00791D2C" w:rsidRPr="00853528">
        <w:rPr>
          <w:rFonts w:ascii="Times New Roman" w:eastAsia="Times New Roman" w:hAnsi="Times New Roman" w:cs="Times New Roman"/>
          <w:lang w:eastAsia="pl-PL"/>
        </w:rPr>
        <w:t xml:space="preserve">Nie zmienia powyższych konkluzji obowiązywanie art. 115 </w:t>
      </w:r>
      <w:r w:rsidR="00853528" w:rsidRPr="00853528">
        <w:rPr>
          <w:rFonts w:ascii="Times New Roman" w:eastAsia="Times New Roman" w:hAnsi="Times New Roman" w:cs="Times New Roman"/>
          <w:lang w:eastAsia="pl-PL"/>
        </w:rPr>
        <w:t>k</w:t>
      </w:r>
      <w:r w:rsidR="00791D2C" w:rsidRPr="00853528">
        <w:rPr>
          <w:rFonts w:ascii="Times New Roman" w:eastAsia="Times New Roman" w:hAnsi="Times New Roman" w:cs="Times New Roman"/>
          <w:lang w:eastAsia="pl-PL"/>
        </w:rPr>
        <w:t xml:space="preserve">.k. (zwłaszcza § 20). </w:t>
      </w:r>
      <w:r w:rsidR="00071B12" w:rsidRPr="00853528">
        <w:rPr>
          <w:rFonts w:ascii="Times New Roman" w:eastAsia="Times New Roman" w:hAnsi="Times New Roman" w:cs="Times New Roman"/>
          <w:lang w:eastAsia="pl-PL"/>
        </w:rPr>
        <w:t>Również i w tym przypadku nie sposób uniknąć wrażenia, że właściwe zdefiniowanie tych dwóch pojęć w ustawie szczególnej</w:t>
      </w:r>
      <w:r w:rsidR="00791D2C" w:rsidRPr="00853528">
        <w:rPr>
          <w:rFonts w:ascii="Times New Roman" w:eastAsia="Times New Roman" w:hAnsi="Times New Roman" w:cs="Times New Roman"/>
          <w:lang w:eastAsia="pl-PL"/>
        </w:rPr>
        <w:t xml:space="preserve">, a dopiero </w:t>
      </w:r>
      <w:r w:rsidR="00071B12" w:rsidRPr="00853528">
        <w:rPr>
          <w:rFonts w:ascii="Times New Roman" w:eastAsia="Times New Roman" w:hAnsi="Times New Roman" w:cs="Times New Roman"/>
          <w:lang w:eastAsia="pl-PL"/>
        </w:rPr>
        <w:t>następnie odpowiedni</w:t>
      </w:r>
      <w:r w:rsidR="00853528" w:rsidRPr="00853528">
        <w:rPr>
          <w:rFonts w:ascii="Times New Roman" w:eastAsia="Times New Roman" w:hAnsi="Times New Roman" w:cs="Times New Roman"/>
          <w:lang w:eastAsia="pl-PL"/>
        </w:rPr>
        <w:t>e</w:t>
      </w:r>
      <w:r w:rsidR="00071B12" w:rsidRPr="00853528">
        <w:rPr>
          <w:rFonts w:ascii="Times New Roman" w:eastAsia="Times New Roman" w:hAnsi="Times New Roman" w:cs="Times New Roman"/>
          <w:lang w:eastAsia="pl-PL"/>
        </w:rPr>
        <w:t xml:space="preserve"> uję</w:t>
      </w:r>
      <w:r w:rsidR="00853528" w:rsidRPr="00853528">
        <w:rPr>
          <w:rFonts w:ascii="Times New Roman" w:eastAsia="Times New Roman" w:hAnsi="Times New Roman" w:cs="Times New Roman"/>
          <w:lang w:eastAsia="pl-PL"/>
        </w:rPr>
        <w:t xml:space="preserve">cie </w:t>
      </w:r>
      <w:r w:rsidR="00071B12" w:rsidRPr="00853528">
        <w:rPr>
          <w:rFonts w:ascii="Times New Roman" w:eastAsia="Times New Roman" w:hAnsi="Times New Roman" w:cs="Times New Roman"/>
          <w:lang w:eastAsia="pl-PL"/>
        </w:rPr>
        <w:t>w zasadniczej ustawie karnej</w:t>
      </w:r>
      <w:r w:rsidR="00791D2C" w:rsidRPr="00853528">
        <w:rPr>
          <w:rFonts w:ascii="Times New Roman" w:eastAsia="Times New Roman" w:hAnsi="Times New Roman" w:cs="Times New Roman"/>
          <w:lang w:eastAsia="pl-PL"/>
        </w:rPr>
        <w:t>,</w:t>
      </w:r>
      <w:r w:rsidR="00071B12" w:rsidRPr="00853528">
        <w:rPr>
          <w:rFonts w:ascii="Times New Roman" w:eastAsia="Times New Roman" w:hAnsi="Times New Roman" w:cs="Times New Roman"/>
          <w:lang w:eastAsia="pl-PL"/>
        </w:rPr>
        <w:t xml:space="preserve"> usunęłoby niejedną wątpliwość sformułowaną w ww. zarzutach. </w:t>
      </w:r>
    </w:p>
    <w:p w14:paraId="2C1A4F86" w14:textId="77777777" w:rsidR="008F042D" w:rsidRPr="00853528" w:rsidRDefault="008F042D" w:rsidP="008F042D">
      <w:pPr>
        <w:spacing w:line="360" w:lineRule="auto"/>
        <w:jc w:val="both"/>
        <w:rPr>
          <w:rFonts w:ascii="Times New Roman" w:eastAsia="Times New Roman" w:hAnsi="Times New Roman" w:cs="Times New Roman"/>
          <w:b/>
          <w:bCs/>
          <w:lang w:eastAsia="pl-PL"/>
        </w:rPr>
      </w:pPr>
    </w:p>
    <w:p w14:paraId="619C4139" w14:textId="5A140D74" w:rsidR="00071B12" w:rsidRPr="00853528" w:rsidRDefault="00071B12" w:rsidP="002E754D">
      <w:pPr>
        <w:pStyle w:val="Akapitzlist"/>
        <w:numPr>
          <w:ilvl w:val="0"/>
          <w:numId w:val="15"/>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Podsumowanie</w:t>
      </w:r>
    </w:p>
    <w:p w14:paraId="018F63FF" w14:textId="529E925D" w:rsidR="00DD05C6" w:rsidRPr="00853528" w:rsidRDefault="00071B12" w:rsidP="00071B12">
      <w:pPr>
        <w:spacing w:line="360" w:lineRule="auto"/>
        <w:ind w:firstLine="360"/>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 xml:space="preserve">W podsumowaniu należy wskazać, że rozpatrywane zalecenia (zarzuty) są zbyt ogólne, aby mogły stanowić przedmiot właściwej merytorycznej oceny karnoprawnej. </w:t>
      </w:r>
      <w:r w:rsidR="00722AE7">
        <w:rPr>
          <w:rFonts w:ascii="Times New Roman" w:eastAsia="Times New Roman" w:hAnsi="Times New Roman" w:cs="Times New Roman"/>
          <w:b/>
          <w:bCs/>
          <w:lang w:eastAsia="pl-PL"/>
        </w:rPr>
        <w:t xml:space="preserve">W ramach pobieżnej analizy, </w:t>
      </w:r>
      <w:r w:rsidR="00722AE7">
        <w:rPr>
          <w:rFonts w:ascii="Times New Roman" w:eastAsia="Times New Roman" w:hAnsi="Times New Roman" w:cs="Times New Roman"/>
          <w:b/>
          <w:bCs/>
          <w:i/>
          <w:iCs/>
          <w:lang w:eastAsia="pl-PL"/>
        </w:rPr>
        <w:t>p</w:t>
      </w:r>
      <w:r w:rsidR="00DD05C6" w:rsidRPr="00853528">
        <w:rPr>
          <w:rFonts w:ascii="Times New Roman" w:eastAsia="Times New Roman" w:hAnsi="Times New Roman" w:cs="Times New Roman"/>
          <w:b/>
          <w:bCs/>
          <w:i/>
          <w:iCs/>
          <w:lang w:eastAsia="pl-PL"/>
        </w:rPr>
        <w:t>rima facie</w:t>
      </w:r>
      <w:r w:rsidR="00DD05C6" w:rsidRPr="00853528">
        <w:rPr>
          <w:rFonts w:ascii="Times New Roman" w:eastAsia="Times New Roman" w:hAnsi="Times New Roman" w:cs="Times New Roman"/>
          <w:b/>
          <w:bCs/>
          <w:lang w:eastAsia="pl-PL"/>
        </w:rPr>
        <w:t xml:space="preserve">, w części zarzuty te zdają się być wstępnie uzasadnione, a w pozostałej części – zupełnie niezasadne. </w:t>
      </w:r>
    </w:p>
    <w:p w14:paraId="2D18E96B" w14:textId="7D8F67D5" w:rsidR="00071B12" w:rsidRPr="00853528" w:rsidRDefault="00071B12" w:rsidP="00071B12">
      <w:pPr>
        <w:spacing w:line="360" w:lineRule="auto"/>
        <w:ind w:firstLine="360"/>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Na bazie przeprowadzonej analizy można jednak wskazać, że:</w:t>
      </w:r>
    </w:p>
    <w:p w14:paraId="79B7748D" w14:textId="5BF7F489" w:rsidR="00071B12" w:rsidRPr="00853528" w:rsidRDefault="00071B12" w:rsidP="00071B12">
      <w:pPr>
        <w:pStyle w:val="Akapitzlist"/>
        <w:numPr>
          <w:ilvl w:val="0"/>
          <w:numId w:val="14"/>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 xml:space="preserve">Konieczne jest </w:t>
      </w:r>
      <w:r w:rsidR="00791D2C" w:rsidRPr="00853528">
        <w:rPr>
          <w:rFonts w:ascii="Times New Roman" w:eastAsia="Times New Roman" w:hAnsi="Times New Roman" w:cs="Times New Roman"/>
          <w:b/>
          <w:bCs/>
          <w:lang w:eastAsia="pl-PL"/>
        </w:rPr>
        <w:t>gruntowne</w:t>
      </w:r>
      <w:r w:rsidR="00853528" w:rsidRPr="00853528">
        <w:rPr>
          <w:rFonts w:ascii="Times New Roman" w:eastAsia="Times New Roman" w:hAnsi="Times New Roman" w:cs="Times New Roman"/>
          <w:b/>
          <w:bCs/>
          <w:lang w:eastAsia="pl-PL"/>
        </w:rPr>
        <w:t>,</w:t>
      </w:r>
      <w:r w:rsidR="00791D2C" w:rsidRPr="00853528">
        <w:rPr>
          <w:rFonts w:ascii="Times New Roman" w:eastAsia="Times New Roman" w:hAnsi="Times New Roman" w:cs="Times New Roman"/>
          <w:b/>
          <w:bCs/>
          <w:lang w:eastAsia="pl-PL"/>
        </w:rPr>
        <w:t xml:space="preserve"> </w:t>
      </w:r>
      <w:r w:rsidRPr="00853528">
        <w:rPr>
          <w:rFonts w:ascii="Times New Roman" w:eastAsia="Times New Roman" w:hAnsi="Times New Roman" w:cs="Times New Roman"/>
          <w:b/>
          <w:bCs/>
          <w:lang w:eastAsia="pl-PL"/>
        </w:rPr>
        <w:t>systemowe zweryfikowanie krajowej implementacji międzynarodowych zaleceń w zakresie karnoprawnego zwalczania prania pieniędzy i wspierania terroryzmu.</w:t>
      </w:r>
    </w:p>
    <w:p w14:paraId="4DC1032D" w14:textId="49FC086E" w:rsidR="00071B12" w:rsidRPr="00853528" w:rsidRDefault="00071B12" w:rsidP="00071B12">
      <w:pPr>
        <w:pStyle w:val="Akapitzlist"/>
        <w:numPr>
          <w:ilvl w:val="0"/>
          <w:numId w:val="14"/>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 xml:space="preserve">Konieczne jest </w:t>
      </w:r>
      <w:r w:rsidR="00722AE7">
        <w:rPr>
          <w:rFonts w:ascii="Times New Roman" w:eastAsia="Times New Roman" w:hAnsi="Times New Roman" w:cs="Times New Roman"/>
          <w:b/>
          <w:bCs/>
          <w:lang w:eastAsia="pl-PL"/>
        </w:rPr>
        <w:t xml:space="preserve">pilne </w:t>
      </w:r>
      <w:r w:rsidRPr="00853528">
        <w:rPr>
          <w:rFonts w:ascii="Times New Roman" w:eastAsia="Times New Roman" w:hAnsi="Times New Roman" w:cs="Times New Roman"/>
          <w:b/>
          <w:bCs/>
          <w:lang w:eastAsia="pl-PL"/>
        </w:rPr>
        <w:t>opracowanie nowego modelu odpowiedzialności penalnej podmiotów zbiorowych.</w:t>
      </w:r>
    </w:p>
    <w:p w14:paraId="0FEBC0E5" w14:textId="77777777" w:rsidR="00853528" w:rsidRPr="00853528" w:rsidRDefault="00071B12" w:rsidP="00853528">
      <w:pPr>
        <w:pStyle w:val="Akapitzlist"/>
        <w:numPr>
          <w:ilvl w:val="0"/>
          <w:numId w:val="14"/>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 xml:space="preserve">Zachodzi potrzeba generalnej weryfikacji obecnie przyjętego sposobu kryminalizacji i penalizacji w zakresie </w:t>
      </w:r>
      <w:r w:rsidR="00791D2C" w:rsidRPr="00853528">
        <w:rPr>
          <w:rFonts w:ascii="Times New Roman" w:eastAsia="Times New Roman" w:hAnsi="Times New Roman" w:cs="Times New Roman"/>
          <w:b/>
          <w:bCs/>
          <w:lang w:eastAsia="pl-PL"/>
        </w:rPr>
        <w:t xml:space="preserve">przepisów </w:t>
      </w:r>
      <w:r w:rsidRPr="00853528">
        <w:rPr>
          <w:rFonts w:ascii="Times New Roman" w:eastAsia="Times New Roman" w:hAnsi="Times New Roman" w:cs="Times New Roman"/>
          <w:b/>
          <w:bCs/>
          <w:lang w:eastAsia="pl-PL"/>
        </w:rPr>
        <w:t xml:space="preserve">art. 165a </w:t>
      </w:r>
      <w:r w:rsidR="00791D2C" w:rsidRPr="00853528">
        <w:rPr>
          <w:rFonts w:ascii="Times New Roman" w:eastAsia="Times New Roman" w:hAnsi="Times New Roman" w:cs="Times New Roman"/>
          <w:b/>
          <w:bCs/>
          <w:lang w:eastAsia="pl-PL"/>
        </w:rPr>
        <w:t>(przestępstw związanych z terroryzmem) oraz art.</w:t>
      </w:r>
      <w:r w:rsidRPr="00853528">
        <w:rPr>
          <w:rFonts w:ascii="Times New Roman" w:eastAsia="Times New Roman" w:hAnsi="Times New Roman" w:cs="Times New Roman"/>
          <w:b/>
          <w:bCs/>
          <w:lang w:eastAsia="pl-PL"/>
        </w:rPr>
        <w:t xml:space="preserve"> 299 </w:t>
      </w:r>
      <w:r w:rsidR="00853528" w:rsidRPr="00853528">
        <w:rPr>
          <w:rFonts w:ascii="Times New Roman" w:eastAsia="Times New Roman" w:hAnsi="Times New Roman" w:cs="Times New Roman"/>
          <w:b/>
          <w:bCs/>
          <w:lang w:eastAsia="pl-PL"/>
        </w:rPr>
        <w:t>k</w:t>
      </w:r>
      <w:r w:rsidRPr="00853528">
        <w:rPr>
          <w:rFonts w:ascii="Times New Roman" w:eastAsia="Times New Roman" w:hAnsi="Times New Roman" w:cs="Times New Roman"/>
          <w:b/>
          <w:bCs/>
          <w:lang w:eastAsia="pl-PL"/>
        </w:rPr>
        <w:t>.k.</w:t>
      </w:r>
      <w:r w:rsidR="00DD05C6" w:rsidRPr="00853528">
        <w:rPr>
          <w:rFonts w:ascii="Times New Roman" w:eastAsia="Times New Roman" w:hAnsi="Times New Roman" w:cs="Times New Roman"/>
          <w:b/>
          <w:bCs/>
          <w:lang w:eastAsia="pl-PL"/>
        </w:rPr>
        <w:t xml:space="preserve"> </w:t>
      </w:r>
      <w:r w:rsidR="00791D2C" w:rsidRPr="00853528">
        <w:rPr>
          <w:rFonts w:ascii="Times New Roman" w:eastAsia="Times New Roman" w:hAnsi="Times New Roman" w:cs="Times New Roman"/>
          <w:b/>
          <w:bCs/>
          <w:lang w:eastAsia="pl-PL"/>
        </w:rPr>
        <w:t xml:space="preserve">(przestępstw związanych z praniem). </w:t>
      </w:r>
      <w:r w:rsidR="00DD05C6" w:rsidRPr="00853528">
        <w:rPr>
          <w:rFonts w:ascii="Times New Roman" w:eastAsia="Times New Roman" w:hAnsi="Times New Roman" w:cs="Times New Roman"/>
          <w:b/>
          <w:bCs/>
          <w:lang w:eastAsia="pl-PL"/>
        </w:rPr>
        <w:t xml:space="preserve">Zabieg ten powinien również obejmować art. 255a, który określa przestępstwa związane z terroryzmem. </w:t>
      </w:r>
    </w:p>
    <w:p w14:paraId="1096A98E" w14:textId="488776F7" w:rsidR="00FA47AE" w:rsidRDefault="00071B12" w:rsidP="00853528">
      <w:pPr>
        <w:pStyle w:val="Akapitzlist"/>
        <w:numPr>
          <w:ilvl w:val="0"/>
          <w:numId w:val="14"/>
        </w:numPr>
        <w:spacing w:line="360" w:lineRule="auto"/>
        <w:jc w:val="both"/>
        <w:rPr>
          <w:rFonts w:ascii="Times New Roman" w:eastAsia="Times New Roman" w:hAnsi="Times New Roman" w:cs="Times New Roman"/>
          <w:b/>
          <w:bCs/>
          <w:lang w:eastAsia="pl-PL"/>
        </w:rPr>
      </w:pPr>
      <w:r w:rsidRPr="00853528">
        <w:rPr>
          <w:rFonts w:ascii="Times New Roman" w:eastAsia="Times New Roman" w:hAnsi="Times New Roman" w:cs="Times New Roman"/>
          <w:b/>
          <w:bCs/>
          <w:lang w:eastAsia="pl-PL"/>
        </w:rPr>
        <w:t xml:space="preserve">Na gruncie obecnych przepisów zachodzą podstawy do rozważenia wprowadzenia nowych przepisów o wyżej wskazanej treści (art. 165a § 5 oraz art. 299 § 7a), połączone z uchyleniem obecnego przepisu § 7 art. 299 </w:t>
      </w:r>
      <w:r w:rsidR="00853528" w:rsidRPr="00853528">
        <w:rPr>
          <w:rFonts w:ascii="Times New Roman" w:eastAsia="Times New Roman" w:hAnsi="Times New Roman" w:cs="Times New Roman"/>
          <w:b/>
          <w:bCs/>
          <w:lang w:eastAsia="pl-PL"/>
        </w:rPr>
        <w:t>k</w:t>
      </w:r>
      <w:r w:rsidRPr="00853528">
        <w:rPr>
          <w:rFonts w:ascii="Times New Roman" w:eastAsia="Times New Roman" w:hAnsi="Times New Roman" w:cs="Times New Roman"/>
          <w:b/>
          <w:bCs/>
          <w:lang w:eastAsia="pl-PL"/>
        </w:rPr>
        <w:t>.k.</w:t>
      </w:r>
      <w:r w:rsidR="00DD05C6" w:rsidRPr="00853528">
        <w:rPr>
          <w:rFonts w:ascii="Times New Roman" w:eastAsia="Times New Roman" w:hAnsi="Times New Roman" w:cs="Times New Roman"/>
          <w:b/>
          <w:bCs/>
          <w:lang w:eastAsia="pl-PL"/>
        </w:rPr>
        <w:t xml:space="preserve"> Zabieg ten, związany z wprowadzeniem syntetycznej i właściwej </w:t>
      </w:r>
      <w:r w:rsidR="00791D2C" w:rsidRPr="00853528">
        <w:rPr>
          <w:rFonts w:ascii="Times New Roman" w:eastAsia="Times New Roman" w:hAnsi="Times New Roman" w:cs="Times New Roman"/>
          <w:b/>
          <w:bCs/>
          <w:lang w:eastAsia="pl-PL"/>
        </w:rPr>
        <w:t xml:space="preserve">klauzuli obligatoryjnego przepadku przedmiotów, powinien być również zastosowany w art. 316 </w:t>
      </w:r>
      <w:r w:rsidR="00853528" w:rsidRPr="00853528">
        <w:rPr>
          <w:rFonts w:ascii="Times New Roman" w:eastAsia="Times New Roman" w:hAnsi="Times New Roman" w:cs="Times New Roman"/>
          <w:b/>
          <w:bCs/>
          <w:lang w:eastAsia="pl-PL"/>
        </w:rPr>
        <w:t>k</w:t>
      </w:r>
      <w:r w:rsidR="00791D2C" w:rsidRPr="00853528">
        <w:rPr>
          <w:rFonts w:ascii="Times New Roman" w:eastAsia="Times New Roman" w:hAnsi="Times New Roman" w:cs="Times New Roman"/>
          <w:b/>
          <w:bCs/>
          <w:lang w:eastAsia="pl-PL"/>
        </w:rPr>
        <w:t>.k.</w:t>
      </w:r>
      <w:bookmarkStart w:id="0" w:name="mip71248650"/>
      <w:bookmarkEnd w:id="0"/>
    </w:p>
    <w:p w14:paraId="2DDC7CF8" w14:textId="77777777" w:rsidR="0087407B" w:rsidRDefault="0087407B" w:rsidP="0087407B">
      <w:pPr>
        <w:spacing w:line="360" w:lineRule="auto"/>
        <w:jc w:val="both"/>
        <w:rPr>
          <w:rFonts w:ascii="Times New Roman" w:eastAsia="Times New Roman" w:hAnsi="Times New Roman" w:cs="Times New Roman"/>
          <w:b/>
          <w:bCs/>
          <w:lang w:eastAsia="pl-PL"/>
        </w:rPr>
      </w:pPr>
    </w:p>
    <w:p w14:paraId="3AD8E9A6" w14:textId="77777777" w:rsidR="0087407B" w:rsidRPr="00853528" w:rsidRDefault="0087407B" w:rsidP="0087407B">
      <w:pPr>
        <w:pStyle w:val="Akapitzlist"/>
        <w:spacing w:line="360" w:lineRule="auto"/>
        <w:ind w:firstLine="696"/>
        <w:jc w:val="both"/>
        <w:rPr>
          <w:rFonts w:ascii="Times New Roman" w:hAnsi="Times New Roman" w:cs="Times New Roman"/>
          <w:b/>
          <w:bCs/>
          <w:i/>
          <w:iCs/>
        </w:rPr>
      </w:pPr>
      <w:r w:rsidRPr="00853528">
        <w:rPr>
          <w:rFonts w:ascii="Times New Roman" w:hAnsi="Times New Roman" w:cs="Times New Roman"/>
          <w:b/>
          <w:bCs/>
          <w:i/>
          <w:iCs/>
        </w:rPr>
        <w:t>W razie skazania za przestępstwo określone w § 1 lub 2, sąd orzeka przepadek przedmiotów, o których mowa w § 1, chociażby nie stanowiły własność sprawcy.</w:t>
      </w:r>
    </w:p>
    <w:p w14:paraId="7ADE3D0C" w14:textId="77777777" w:rsidR="0087407B" w:rsidRPr="0087407B" w:rsidRDefault="0087407B" w:rsidP="0087407B">
      <w:pPr>
        <w:spacing w:line="360" w:lineRule="auto"/>
        <w:jc w:val="both"/>
        <w:rPr>
          <w:rFonts w:ascii="Times New Roman" w:eastAsia="Times New Roman" w:hAnsi="Times New Roman" w:cs="Times New Roman"/>
          <w:b/>
          <w:bCs/>
          <w:lang w:eastAsia="pl-PL"/>
        </w:rPr>
      </w:pPr>
    </w:p>
    <w:p w14:paraId="4BB4C715" w14:textId="1CF240AB" w:rsidR="0064361B" w:rsidRPr="0064361B" w:rsidRDefault="0064361B" w:rsidP="0064361B">
      <w:pPr>
        <w:spacing w:line="360" w:lineRule="auto"/>
        <w:jc w:val="both"/>
        <w:rPr>
          <w:rFonts w:ascii="Times New Roman" w:hAnsi="Times New Roman" w:cs="Times New Roman"/>
        </w:rPr>
      </w:pPr>
      <w:r>
        <w:rPr>
          <w:rFonts w:ascii="Times New Roman" w:hAnsi="Times New Roman" w:cs="Times New Roman"/>
        </w:rPr>
        <w:t>O</w:t>
      </w:r>
      <w:r w:rsidRPr="0064361B">
        <w:rPr>
          <w:rFonts w:ascii="Times New Roman" w:hAnsi="Times New Roman" w:cs="Times New Roman"/>
        </w:rPr>
        <w:t>pracował: prof. dr hab. Robert Zawłocki</w:t>
      </w:r>
    </w:p>
    <w:p w14:paraId="39002898" w14:textId="77777777" w:rsidR="00FA47AE" w:rsidRPr="00853528" w:rsidRDefault="00FA47AE" w:rsidP="00F937F5">
      <w:pPr>
        <w:spacing w:line="360" w:lineRule="auto"/>
        <w:jc w:val="both"/>
        <w:rPr>
          <w:rFonts w:ascii="Times New Roman" w:hAnsi="Times New Roman" w:cs="Times New Roman"/>
        </w:rPr>
      </w:pPr>
    </w:p>
    <w:sectPr w:rsidR="00FA47AE" w:rsidRPr="0085352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53728" w14:textId="77777777" w:rsidR="004600E9" w:rsidRDefault="004600E9" w:rsidP="00F937F5">
      <w:r>
        <w:separator/>
      </w:r>
    </w:p>
  </w:endnote>
  <w:endnote w:type="continuationSeparator" w:id="0">
    <w:p w14:paraId="0FF2CDE8" w14:textId="77777777" w:rsidR="004600E9" w:rsidRDefault="004600E9" w:rsidP="00F9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022171800"/>
      <w:docPartObj>
        <w:docPartGallery w:val="Page Numbers (Bottom of Page)"/>
        <w:docPartUnique/>
      </w:docPartObj>
    </w:sdtPr>
    <w:sdtContent>
      <w:p w14:paraId="74627EA3" w14:textId="1D08469C" w:rsidR="00F937F5" w:rsidRDefault="00F937F5" w:rsidP="002A071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D691BF5" w14:textId="77777777" w:rsidR="00F937F5" w:rsidRDefault="00F937F5" w:rsidP="00F937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41588862"/>
      <w:docPartObj>
        <w:docPartGallery w:val="Page Numbers (Bottom of Page)"/>
        <w:docPartUnique/>
      </w:docPartObj>
    </w:sdtPr>
    <w:sdtContent>
      <w:p w14:paraId="018BE080" w14:textId="317D6C30" w:rsidR="00F937F5" w:rsidRDefault="00F937F5" w:rsidP="002A071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2B12958" w14:textId="77777777" w:rsidR="00F937F5" w:rsidRDefault="00F937F5" w:rsidP="00F937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3066D" w14:textId="77777777" w:rsidR="004600E9" w:rsidRDefault="004600E9" w:rsidP="00F937F5">
      <w:r>
        <w:separator/>
      </w:r>
    </w:p>
  </w:footnote>
  <w:footnote w:type="continuationSeparator" w:id="0">
    <w:p w14:paraId="1BBC6FC9" w14:textId="77777777" w:rsidR="004600E9" w:rsidRDefault="004600E9" w:rsidP="00F9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0AA9"/>
    <w:multiLevelType w:val="hybridMultilevel"/>
    <w:tmpl w:val="C82CE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3315B"/>
    <w:multiLevelType w:val="hybridMultilevel"/>
    <w:tmpl w:val="9508F3E6"/>
    <w:lvl w:ilvl="0" w:tplc="542C9144">
      <w:start w:val="1"/>
      <w:numFmt w:val="decimal"/>
      <w:lvlText w:val="%1)"/>
      <w:lvlJc w:val="left"/>
      <w:pPr>
        <w:ind w:left="720" w:hanging="360"/>
      </w:pPr>
      <w:rPr>
        <w:rFonts w:ascii="Arial" w:eastAsiaTheme="minorHAnsi" w:hAnsi="Arial" w:cs="Arial"/>
        <w:color w:val="333333"/>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6A1CFF"/>
    <w:multiLevelType w:val="hybridMultilevel"/>
    <w:tmpl w:val="8D8CCCD4"/>
    <w:lvl w:ilvl="0" w:tplc="E9E6C3A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95726F"/>
    <w:multiLevelType w:val="hybridMultilevel"/>
    <w:tmpl w:val="1C764B9C"/>
    <w:lvl w:ilvl="0" w:tplc="285475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065224E"/>
    <w:multiLevelType w:val="hybridMultilevel"/>
    <w:tmpl w:val="32265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8761FC"/>
    <w:multiLevelType w:val="hybridMultilevel"/>
    <w:tmpl w:val="1C868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DC72A5"/>
    <w:multiLevelType w:val="hybridMultilevel"/>
    <w:tmpl w:val="A65A7640"/>
    <w:lvl w:ilvl="0" w:tplc="C87A85AC">
      <w:start w:val="1"/>
      <w:numFmt w:val="lowerLetter"/>
      <w:lvlText w:val="%1)"/>
      <w:lvlJc w:val="left"/>
      <w:pPr>
        <w:ind w:left="1080" w:hanging="360"/>
      </w:pPr>
      <w:rPr>
        <w:rFonts w:eastAsiaTheme="minorHAns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39A5FC4"/>
    <w:multiLevelType w:val="hybridMultilevel"/>
    <w:tmpl w:val="50E61708"/>
    <w:lvl w:ilvl="0" w:tplc="0744223A">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666A49"/>
    <w:multiLevelType w:val="hybridMultilevel"/>
    <w:tmpl w:val="0336A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256953"/>
    <w:multiLevelType w:val="hybridMultilevel"/>
    <w:tmpl w:val="6C7E8BEC"/>
    <w:lvl w:ilvl="0" w:tplc="B58C7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C500C50"/>
    <w:multiLevelType w:val="hybridMultilevel"/>
    <w:tmpl w:val="B532E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54FB8"/>
    <w:multiLevelType w:val="hybridMultilevel"/>
    <w:tmpl w:val="7842F8E8"/>
    <w:lvl w:ilvl="0" w:tplc="5E763376">
      <w:start w:val="1"/>
      <w:numFmt w:val="upperRoman"/>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9C36A8"/>
    <w:multiLevelType w:val="hybridMultilevel"/>
    <w:tmpl w:val="F55E9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3E1A6A"/>
    <w:multiLevelType w:val="hybridMultilevel"/>
    <w:tmpl w:val="EBDC147A"/>
    <w:lvl w:ilvl="0" w:tplc="8F52A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D35242B"/>
    <w:multiLevelType w:val="hybridMultilevel"/>
    <w:tmpl w:val="88B65914"/>
    <w:lvl w:ilvl="0" w:tplc="19E85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3584264">
    <w:abstractNumId w:val="0"/>
  </w:num>
  <w:num w:numId="2" w16cid:durableId="839731960">
    <w:abstractNumId w:val="12"/>
  </w:num>
  <w:num w:numId="3" w16cid:durableId="1281760155">
    <w:abstractNumId w:val="1"/>
  </w:num>
  <w:num w:numId="4" w16cid:durableId="819342937">
    <w:abstractNumId w:val="11"/>
  </w:num>
  <w:num w:numId="5" w16cid:durableId="507453435">
    <w:abstractNumId w:val="3"/>
  </w:num>
  <w:num w:numId="6" w16cid:durableId="14112650">
    <w:abstractNumId w:val="8"/>
  </w:num>
  <w:num w:numId="7" w16cid:durableId="1578632892">
    <w:abstractNumId w:val="4"/>
  </w:num>
  <w:num w:numId="8" w16cid:durableId="742143358">
    <w:abstractNumId w:val="7"/>
  </w:num>
  <w:num w:numId="9" w16cid:durableId="1770925087">
    <w:abstractNumId w:val="10"/>
  </w:num>
  <w:num w:numId="10" w16cid:durableId="648675890">
    <w:abstractNumId w:val="2"/>
  </w:num>
  <w:num w:numId="11" w16cid:durableId="609361571">
    <w:abstractNumId w:val="9"/>
  </w:num>
  <w:num w:numId="12" w16cid:durableId="644551367">
    <w:abstractNumId w:val="6"/>
  </w:num>
  <w:num w:numId="13" w16cid:durableId="198207873">
    <w:abstractNumId w:val="14"/>
  </w:num>
  <w:num w:numId="14" w16cid:durableId="1676883143">
    <w:abstractNumId w:val="13"/>
  </w:num>
  <w:num w:numId="15" w16cid:durableId="1097678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0"/>
    <w:rsid w:val="000048E7"/>
    <w:rsid w:val="000472A3"/>
    <w:rsid w:val="00071B12"/>
    <w:rsid w:val="0009758A"/>
    <w:rsid w:val="000A3CCA"/>
    <w:rsid w:val="000B395D"/>
    <w:rsid w:val="000E44AD"/>
    <w:rsid w:val="000F134C"/>
    <w:rsid w:val="000F4C65"/>
    <w:rsid w:val="000F722F"/>
    <w:rsid w:val="00143F23"/>
    <w:rsid w:val="00160706"/>
    <w:rsid w:val="00180226"/>
    <w:rsid w:val="001A5295"/>
    <w:rsid w:val="001A5846"/>
    <w:rsid w:val="001B58E1"/>
    <w:rsid w:val="001E435E"/>
    <w:rsid w:val="001F0305"/>
    <w:rsid w:val="002058EB"/>
    <w:rsid w:val="002101E4"/>
    <w:rsid w:val="00236560"/>
    <w:rsid w:val="00245BC5"/>
    <w:rsid w:val="00256C95"/>
    <w:rsid w:val="00270E19"/>
    <w:rsid w:val="002C5ACA"/>
    <w:rsid w:val="002E754D"/>
    <w:rsid w:val="003148CC"/>
    <w:rsid w:val="00331603"/>
    <w:rsid w:val="00350B98"/>
    <w:rsid w:val="0036262F"/>
    <w:rsid w:val="003A737C"/>
    <w:rsid w:val="003B23DC"/>
    <w:rsid w:val="003B7C44"/>
    <w:rsid w:val="003C214C"/>
    <w:rsid w:val="003E417B"/>
    <w:rsid w:val="003F457B"/>
    <w:rsid w:val="0040016C"/>
    <w:rsid w:val="0040614C"/>
    <w:rsid w:val="0041067F"/>
    <w:rsid w:val="00410D17"/>
    <w:rsid w:val="00432796"/>
    <w:rsid w:val="004600E9"/>
    <w:rsid w:val="00466F82"/>
    <w:rsid w:val="004D3928"/>
    <w:rsid w:val="004E6B87"/>
    <w:rsid w:val="004F73FC"/>
    <w:rsid w:val="005060F3"/>
    <w:rsid w:val="005538D6"/>
    <w:rsid w:val="005839EF"/>
    <w:rsid w:val="00596D07"/>
    <w:rsid w:val="005A2041"/>
    <w:rsid w:val="005C33EA"/>
    <w:rsid w:val="0064170A"/>
    <w:rsid w:val="0064361B"/>
    <w:rsid w:val="00693393"/>
    <w:rsid w:val="006A00A0"/>
    <w:rsid w:val="006B4857"/>
    <w:rsid w:val="006F1263"/>
    <w:rsid w:val="007100CD"/>
    <w:rsid w:val="00717A55"/>
    <w:rsid w:val="00722AE7"/>
    <w:rsid w:val="00727470"/>
    <w:rsid w:val="00747737"/>
    <w:rsid w:val="00751CAF"/>
    <w:rsid w:val="00791D2C"/>
    <w:rsid w:val="007A1B32"/>
    <w:rsid w:val="007B75B9"/>
    <w:rsid w:val="007F0380"/>
    <w:rsid w:val="007F0817"/>
    <w:rsid w:val="007F12C2"/>
    <w:rsid w:val="00823957"/>
    <w:rsid w:val="00826FB3"/>
    <w:rsid w:val="00843A92"/>
    <w:rsid w:val="00853528"/>
    <w:rsid w:val="0085556F"/>
    <w:rsid w:val="00863043"/>
    <w:rsid w:val="0086739D"/>
    <w:rsid w:val="0087407B"/>
    <w:rsid w:val="0089557B"/>
    <w:rsid w:val="00896A99"/>
    <w:rsid w:val="008B6939"/>
    <w:rsid w:val="008D2A63"/>
    <w:rsid w:val="008F042D"/>
    <w:rsid w:val="009918D3"/>
    <w:rsid w:val="009A0B90"/>
    <w:rsid w:val="009A6657"/>
    <w:rsid w:val="009A79A0"/>
    <w:rsid w:val="00A077C3"/>
    <w:rsid w:val="00A14A06"/>
    <w:rsid w:val="00A16060"/>
    <w:rsid w:val="00A2244D"/>
    <w:rsid w:val="00A37945"/>
    <w:rsid w:val="00A628C7"/>
    <w:rsid w:val="00A667CE"/>
    <w:rsid w:val="00A72492"/>
    <w:rsid w:val="00A97FBA"/>
    <w:rsid w:val="00AC5643"/>
    <w:rsid w:val="00AC64B7"/>
    <w:rsid w:val="00AD4FDD"/>
    <w:rsid w:val="00AF5C7F"/>
    <w:rsid w:val="00B10E5E"/>
    <w:rsid w:val="00B71394"/>
    <w:rsid w:val="00B80F0E"/>
    <w:rsid w:val="00B86DF5"/>
    <w:rsid w:val="00BC09FD"/>
    <w:rsid w:val="00BE55A8"/>
    <w:rsid w:val="00BF0248"/>
    <w:rsid w:val="00C00641"/>
    <w:rsid w:val="00C07CAE"/>
    <w:rsid w:val="00C5432D"/>
    <w:rsid w:val="00C70F00"/>
    <w:rsid w:val="00C951B3"/>
    <w:rsid w:val="00C958EB"/>
    <w:rsid w:val="00CC726B"/>
    <w:rsid w:val="00CD4D9D"/>
    <w:rsid w:val="00CF7A7D"/>
    <w:rsid w:val="00D202F8"/>
    <w:rsid w:val="00D207D6"/>
    <w:rsid w:val="00D35F1B"/>
    <w:rsid w:val="00D53EF0"/>
    <w:rsid w:val="00DA4F39"/>
    <w:rsid w:val="00DC0F67"/>
    <w:rsid w:val="00DC3B1C"/>
    <w:rsid w:val="00DD05C6"/>
    <w:rsid w:val="00DD4AC8"/>
    <w:rsid w:val="00DE3263"/>
    <w:rsid w:val="00E04541"/>
    <w:rsid w:val="00E43C79"/>
    <w:rsid w:val="00E843F3"/>
    <w:rsid w:val="00EB11DC"/>
    <w:rsid w:val="00EC263C"/>
    <w:rsid w:val="00F04464"/>
    <w:rsid w:val="00F46317"/>
    <w:rsid w:val="00F468F5"/>
    <w:rsid w:val="00F57968"/>
    <w:rsid w:val="00F665C7"/>
    <w:rsid w:val="00F8633B"/>
    <w:rsid w:val="00F937F5"/>
    <w:rsid w:val="00FA47AE"/>
    <w:rsid w:val="00FC5DF1"/>
    <w:rsid w:val="00FE50B8"/>
    <w:rsid w:val="00FF3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4F1D"/>
  <w15:chartTrackingRefBased/>
  <w15:docId w15:val="{7640E79D-29E3-DF44-8775-070D1A8F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6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6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65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65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65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65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65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65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65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65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65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65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65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65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65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65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65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6560"/>
    <w:rPr>
      <w:rFonts w:eastAsiaTheme="majorEastAsia" w:cstheme="majorBidi"/>
      <w:color w:val="272727" w:themeColor="text1" w:themeTint="D8"/>
    </w:rPr>
  </w:style>
  <w:style w:type="paragraph" w:styleId="Tytu">
    <w:name w:val="Title"/>
    <w:basedOn w:val="Normalny"/>
    <w:next w:val="Normalny"/>
    <w:link w:val="TytuZnak"/>
    <w:uiPriority w:val="10"/>
    <w:qFormat/>
    <w:rsid w:val="002365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65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6560"/>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65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656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236560"/>
    <w:rPr>
      <w:i/>
      <w:iCs/>
      <w:color w:val="404040" w:themeColor="text1" w:themeTint="BF"/>
    </w:rPr>
  </w:style>
  <w:style w:type="paragraph" w:styleId="Akapitzlist">
    <w:name w:val="List Paragraph"/>
    <w:basedOn w:val="Normalny"/>
    <w:uiPriority w:val="34"/>
    <w:qFormat/>
    <w:rsid w:val="00236560"/>
    <w:pPr>
      <w:ind w:left="720"/>
      <w:contextualSpacing/>
    </w:pPr>
  </w:style>
  <w:style w:type="character" w:styleId="Wyrnienieintensywne">
    <w:name w:val="Intense Emphasis"/>
    <w:basedOn w:val="Domylnaczcionkaakapitu"/>
    <w:uiPriority w:val="21"/>
    <w:qFormat/>
    <w:rsid w:val="00236560"/>
    <w:rPr>
      <w:i/>
      <w:iCs/>
      <w:color w:val="0F4761" w:themeColor="accent1" w:themeShade="BF"/>
    </w:rPr>
  </w:style>
  <w:style w:type="paragraph" w:styleId="Cytatintensywny">
    <w:name w:val="Intense Quote"/>
    <w:basedOn w:val="Normalny"/>
    <w:next w:val="Normalny"/>
    <w:link w:val="CytatintensywnyZnak"/>
    <w:uiPriority w:val="30"/>
    <w:qFormat/>
    <w:rsid w:val="00236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6560"/>
    <w:rPr>
      <w:i/>
      <w:iCs/>
      <w:color w:val="0F4761" w:themeColor="accent1" w:themeShade="BF"/>
    </w:rPr>
  </w:style>
  <w:style w:type="character" w:styleId="Odwoanieintensywne">
    <w:name w:val="Intense Reference"/>
    <w:basedOn w:val="Domylnaczcionkaakapitu"/>
    <w:uiPriority w:val="32"/>
    <w:qFormat/>
    <w:rsid w:val="00236560"/>
    <w:rPr>
      <w:b/>
      <w:bCs/>
      <w:smallCaps/>
      <w:color w:val="0F4761" w:themeColor="accent1" w:themeShade="BF"/>
      <w:spacing w:val="5"/>
    </w:rPr>
  </w:style>
  <w:style w:type="character" w:customStyle="1" w:styleId="articletitle">
    <w:name w:val="articletitle"/>
    <w:basedOn w:val="Domylnaczcionkaakapitu"/>
    <w:rsid w:val="00236560"/>
  </w:style>
  <w:style w:type="character" w:customStyle="1" w:styleId="apple-converted-space">
    <w:name w:val="apple-converted-space"/>
    <w:basedOn w:val="Domylnaczcionkaakapitu"/>
    <w:rsid w:val="00236560"/>
  </w:style>
  <w:style w:type="character" w:styleId="Hipercze">
    <w:name w:val="Hyperlink"/>
    <w:basedOn w:val="Domylnaczcionkaakapitu"/>
    <w:uiPriority w:val="99"/>
    <w:unhideWhenUsed/>
    <w:rsid w:val="00236560"/>
    <w:rPr>
      <w:color w:val="0000FF"/>
      <w:u w:val="single"/>
    </w:rPr>
  </w:style>
  <w:style w:type="paragraph" w:customStyle="1" w:styleId="parinner">
    <w:name w:val="parinner"/>
    <w:basedOn w:val="Normalny"/>
    <w:rsid w:val="00236560"/>
    <w:pPr>
      <w:spacing w:before="100" w:beforeAutospacing="1" w:after="100" w:afterAutospacing="1"/>
    </w:pPr>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2058EB"/>
    <w:rPr>
      <w:color w:val="605E5C"/>
      <w:shd w:val="clear" w:color="auto" w:fill="E1DFDD"/>
    </w:rPr>
  </w:style>
  <w:style w:type="paragraph" w:styleId="NormalnyWeb">
    <w:name w:val="Normal (Web)"/>
    <w:basedOn w:val="Normalny"/>
    <w:uiPriority w:val="99"/>
    <w:unhideWhenUsed/>
    <w:rsid w:val="00843A92"/>
    <w:pPr>
      <w:spacing w:before="100" w:beforeAutospacing="1" w:after="100" w:afterAutospacing="1"/>
    </w:pPr>
    <w:rPr>
      <w:rFonts w:ascii="Times New Roman" w:eastAsia="Times New Roman" w:hAnsi="Times New Roman" w:cs="Times New Roman"/>
      <w:lang w:eastAsia="pl-PL"/>
    </w:rPr>
  </w:style>
  <w:style w:type="paragraph" w:styleId="Stopka">
    <w:name w:val="footer"/>
    <w:basedOn w:val="Normalny"/>
    <w:link w:val="StopkaZnak"/>
    <w:uiPriority w:val="99"/>
    <w:unhideWhenUsed/>
    <w:rsid w:val="00F937F5"/>
    <w:pPr>
      <w:tabs>
        <w:tab w:val="center" w:pos="4536"/>
        <w:tab w:val="right" w:pos="9072"/>
      </w:tabs>
    </w:pPr>
  </w:style>
  <w:style w:type="character" w:customStyle="1" w:styleId="StopkaZnak">
    <w:name w:val="Stopka Znak"/>
    <w:basedOn w:val="Domylnaczcionkaakapitu"/>
    <w:link w:val="Stopka"/>
    <w:uiPriority w:val="99"/>
    <w:rsid w:val="00F937F5"/>
  </w:style>
  <w:style w:type="character" w:styleId="Numerstrony">
    <w:name w:val="page number"/>
    <w:basedOn w:val="Domylnaczcionkaakapitu"/>
    <w:uiPriority w:val="99"/>
    <w:semiHidden/>
    <w:unhideWhenUsed/>
    <w:rsid w:val="00F937F5"/>
  </w:style>
  <w:style w:type="character" w:styleId="UyteHipercze">
    <w:name w:val="FollowedHyperlink"/>
    <w:basedOn w:val="Domylnaczcionkaakapitu"/>
    <w:uiPriority w:val="99"/>
    <w:semiHidden/>
    <w:unhideWhenUsed/>
    <w:rsid w:val="003B23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330">
      <w:bodyDiv w:val="1"/>
      <w:marLeft w:val="0"/>
      <w:marRight w:val="0"/>
      <w:marTop w:val="0"/>
      <w:marBottom w:val="0"/>
      <w:divBdr>
        <w:top w:val="none" w:sz="0" w:space="0" w:color="auto"/>
        <w:left w:val="none" w:sz="0" w:space="0" w:color="auto"/>
        <w:bottom w:val="none" w:sz="0" w:space="0" w:color="auto"/>
        <w:right w:val="none" w:sz="0" w:space="0" w:color="auto"/>
      </w:divBdr>
      <w:divsChild>
        <w:div w:id="629702220">
          <w:marLeft w:val="0"/>
          <w:marRight w:val="0"/>
          <w:marTop w:val="150"/>
          <w:marBottom w:val="168"/>
          <w:divBdr>
            <w:top w:val="none" w:sz="0" w:space="0" w:color="auto"/>
            <w:left w:val="none" w:sz="0" w:space="0" w:color="auto"/>
            <w:bottom w:val="none" w:sz="0" w:space="0" w:color="auto"/>
            <w:right w:val="none" w:sz="0" w:space="0" w:color="auto"/>
          </w:divBdr>
        </w:div>
        <w:div w:id="61145767">
          <w:marLeft w:val="0"/>
          <w:marRight w:val="0"/>
          <w:marTop w:val="0"/>
          <w:marBottom w:val="0"/>
          <w:divBdr>
            <w:top w:val="none" w:sz="0" w:space="0" w:color="auto"/>
            <w:left w:val="none" w:sz="0" w:space="0" w:color="auto"/>
            <w:bottom w:val="none" w:sz="0" w:space="0" w:color="auto"/>
            <w:right w:val="none" w:sz="0" w:space="0" w:color="auto"/>
          </w:divBdr>
          <w:divsChild>
            <w:div w:id="1508593249">
              <w:marLeft w:val="0"/>
              <w:marRight w:val="0"/>
              <w:marTop w:val="105"/>
              <w:marBottom w:val="0"/>
              <w:divBdr>
                <w:top w:val="none" w:sz="0" w:space="0" w:color="auto"/>
                <w:left w:val="none" w:sz="0" w:space="0" w:color="auto"/>
                <w:bottom w:val="none" w:sz="0" w:space="0" w:color="auto"/>
                <w:right w:val="none" w:sz="0" w:space="0" w:color="auto"/>
              </w:divBdr>
            </w:div>
          </w:divsChild>
        </w:div>
        <w:div w:id="1204949818">
          <w:marLeft w:val="0"/>
          <w:marRight w:val="0"/>
          <w:marTop w:val="0"/>
          <w:marBottom w:val="0"/>
          <w:divBdr>
            <w:top w:val="none" w:sz="0" w:space="0" w:color="auto"/>
            <w:left w:val="none" w:sz="0" w:space="0" w:color="auto"/>
            <w:bottom w:val="none" w:sz="0" w:space="0" w:color="auto"/>
            <w:right w:val="none" w:sz="0" w:space="0" w:color="auto"/>
          </w:divBdr>
          <w:divsChild>
            <w:div w:id="1030107808">
              <w:marLeft w:val="0"/>
              <w:marRight w:val="0"/>
              <w:marTop w:val="105"/>
              <w:marBottom w:val="0"/>
              <w:divBdr>
                <w:top w:val="none" w:sz="0" w:space="0" w:color="auto"/>
                <w:left w:val="none" w:sz="0" w:space="0" w:color="auto"/>
                <w:bottom w:val="none" w:sz="0" w:space="0" w:color="auto"/>
                <w:right w:val="none" w:sz="0" w:space="0" w:color="auto"/>
              </w:divBdr>
            </w:div>
          </w:divsChild>
        </w:div>
        <w:div w:id="98987429">
          <w:marLeft w:val="0"/>
          <w:marRight w:val="0"/>
          <w:marTop w:val="0"/>
          <w:marBottom w:val="0"/>
          <w:divBdr>
            <w:top w:val="none" w:sz="0" w:space="0" w:color="auto"/>
            <w:left w:val="none" w:sz="0" w:space="0" w:color="auto"/>
            <w:bottom w:val="none" w:sz="0" w:space="0" w:color="auto"/>
            <w:right w:val="none" w:sz="0" w:space="0" w:color="auto"/>
          </w:divBdr>
          <w:divsChild>
            <w:div w:id="925697651">
              <w:marLeft w:val="0"/>
              <w:marRight w:val="0"/>
              <w:marTop w:val="105"/>
              <w:marBottom w:val="0"/>
              <w:divBdr>
                <w:top w:val="none" w:sz="0" w:space="0" w:color="auto"/>
                <w:left w:val="none" w:sz="0" w:space="0" w:color="auto"/>
                <w:bottom w:val="none" w:sz="0" w:space="0" w:color="auto"/>
                <w:right w:val="none" w:sz="0" w:space="0" w:color="auto"/>
              </w:divBdr>
            </w:div>
          </w:divsChild>
        </w:div>
        <w:div w:id="2002612202">
          <w:marLeft w:val="0"/>
          <w:marRight w:val="0"/>
          <w:marTop w:val="0"/>
          <w:marBottom w:val="0"/>
          <w:divBdr>
            <w:top w:val="none" w:sz="0" w:space="0" w:color="auto"/>
            <w:left w:val="none" w:sz="0" w:space="0" w:color="auto"/>
            <w:bottom w:val="none" w:sz="0" w:space="0" w:color="auto"/>
            <w:right w:val="none" w:sz="0" w:space="0" w:color="auto"/>
          </w:divBdr>
          <w:divsChild>
            <w:div w:id="19987977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0836791">
      <w:bodyDiv w:val="1"/>
      <w:marLeft w:val="0"/>
      <w:marRight w:val="0"/>
      <w:marTop w:val="0"/>
      <w:marBottom w:val="0"/>
      <w:divBdr>
        <w:top w:val="none" w:sz="0" w:space="0" w:color="auto"/>
        <w:left w:val="none" w:sz="0" w:space="0" w:color="auto"/>
        <w:bottom w:val="none" w:sz="0" w:space="0" w:color="auto"/>
        <w:right w:val="none" w:sz="0" w:space="0" w:color="auto"/>
      </w:divBdr>
      <w:divsChild>
        <w:div w:id="1121412056">
          <w:marLeft w:val="0"/>
          <w:marRight w:val="0"/>
          <w:marTop w:val="0"/>
          <w:marBottom w:val="0"/>
          <w:divBdr>
            <w:top w:val="none" w:sz="0" w:space="0" w:color="auto"/>
            <w:left w:val="none" w:sz="0" w:space="0" w:color="auto"/>
            <w:bottom w:val="none" w:sz="0" w:space="0" w:color="auto"/>
            <w:right w:val="none" w:sz="0" w:space="0" w:color="auto"/>
          </w:divBdr>
          <w:divsChild>
            <w:div w:id="1040202754">
              <w:marLeft w:val="0"/>
              <w:marRight w:val="0"/>
              <w:marTop w:val="0"/>
              <w:marBottom w:val="0"/>
              <w:divBdr>
                <w:top w:val="none" w:sz="0" w:space="0" w:color="auto"/>
                <w:left w:val="none" w:sz="0" w:space="0" w:color="auto"/>
                <w:bottom w:val="none" w:sz="0" w:space="0" w:color="auto"/>
                <w:right w:val="none" w:sz="0" w:space="0" w:color="auto"/>
              </w:divBdr>
              <w:divsChild>
                <w:div w:id="11529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83">
      <w:bodyDiv w:val="1"/>
      <w:marLeft w:val="0"/>
      <w:marRight w:val="0"/>
      <w:marTop w:val="0"/>
      <w:marBottom w:val="0"/>
      <w:divBdr>
        <w:top w:val="none" w:sz="0" w:space="0" w:color="auto"/>
        <w:left w:val="none" w:sz="0" w:space="0" w:color="auto"/>
        <w:bottom w:val="none" w:sz="0" w:space="0" w:color="auto"/>
        <w:right w:val="none" w:sz="0" w:space="0" w:color="auto"/>
      </w:divBdr>
      <w:divsChild>
        <w:div w:id="1267612202">
          <w:marLeft w:val="0"/>
          <w:marRight w:val="0"/>
          <w:marTop w:val="0"/>
          <w:marBottom w:val="0"/>
          <w:divBdr>
            <w:top w:val="none" w:sz="0" w:space="0" w:color="auto"/>
            <w:left w:val="none" w:sz="0" w:space="0" w:color="auto"/>
            <w:bottom w:val="none" w:sz="0" w:space="0" w:color="auto"/>
            <w:right w:val="none" w:sz="0" w:space="0" w:color="auto"/>
          </w:divBdr>
          <w:divsChild>
            <w:div w:id="58676072">
              <w:marLeft w:val="0"/>
              <w:marRight w:val="0"/>
              <w:marTop w:val="0"/>
              <w:marBottom w:val="0"/>
              <w:divBdr>
                <w:top w:val="none" w:sz="0" w:space="0" w:color="auto"/>
                <w:left w:val="none" w:sz="0" w:space="0" w:color="auto"/>
                <w:bottom w:val="none" w:sz="0" w:space="0" w:color="auto"/>
                <w:right w:val="none" w:sz="0" w:space="0" w:color="auto"/>
              </w:divBdr>
              <w:divsChild>
                <w:div w:id="1658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7365">
      <w:bodyDiv w:val="1"/>
      <w:marLeft w:val="0"/>
      <w:marRight w:val="0"/>
      <w:marTop w:val="0"/>
      <w:marBottom w:val="0"/>
      <w:divBdr>
        <w:top w:val="none" w:sz="0" w:space="0" w:color="auto"/>
        <w:left w:val="none" w:sz="0" w:space="0" w:color="auto"/>
        <w:bottom w:val="none" w:sz="0" w:space="0" w:color="auto"/>
        <w:right w:val="none" w:sz="0" w:space="0" w:color="auto"/>
      </w:divBdr>
      <w:divsChild>
        <w:div w:id="2077244494">
          <w:marLeft w:val="0"/>
          <w:marRight w:val="0"/>
          <w:marTop w:val="0"/>
          <w:marBottom w:val="0"/>
          <w:divBdr>
            <w:top w:val="none" w:sz="0" w:space="0" w:color="auto"/>
            <w:left w:val="none" w:sz="0" w:space="0" w:color="auto"/>
            <w:bottom w:val="none" w:sz="0" w:space="0" w:color="auto"/>
            <w:right w:val="none" w:sz="0" w:space="0" w:color="auto"/>
          </w:divBdr>
          <w:divsChild>
            <w:div w:id="1545826348">
              <w:marLeft w:val="0"/>
              <w:marRight w:val="0"/>
              <w:marTop w:val="0"/>
              <w:marBottom w:val="0"/>
              <w:divBdr>
                <w:top w:val="none" w:sz="0" w:space="0" w:color="auto"/>
                <w:left w:val="none" w:sz="0" w:space="0" w:color="auto"/>
                <w:bottom w:val="none" w:sz="0" w:space="0" w:color="auto"/>
                <w:right w:val="none" w:sz="0" w:space="0" w:color="auto"/>
              </w:divBdr>
              <w:divsChild>
                <w:div w:id="714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5023">
      <w:bodyDiv w:val="1"/>
      <w:marLeft w:val="0"/>
      <w:marRight w:val="0"/>
      <w:marTop w:val="0"/>
      <w:marBottom w:val="0"/>
      <w:divBdr>
        <w:top w:val="none" w:sz="0" w:space="0" w:color="auto"/>
        <w:left w:val="none" w:sz="0" w:space="0" w:color="auto"/>
        <w:bottom w:val="none" w:sz="0" w:space="0" w:color="auto"/>
        <w:right w:val="none" w:sz="0" w:space="0" w:color="auto"/>
      </w:divBdr>
      <w:divsChild>
        <w:div w:id="137765764">
          <w:marLeft w:val="0"/>
          <w:marRight w:val="0"/>
          <w:marTop w:val="0"/>
          <w:marBottom w:val="0"/>
          <w:divBdr>
            <w:top w:val="none" w:sz="0" w:space="0" w:color="auto"/>
            <w:left w:val="none" w:sz="0" w:space="0" w:color="auto"/>
            <w:bottom w:val="none" w:sz="0" w:space="0" w:color="auto"/>
            <w:right w:val="none" w:sz="0" w:space="0" w:color="auto"/>
          </w:divBdr>
          <w:divsChild>
            <w:div w:id="1523665698">
              <w:marLeft w:val="0"/>
              <w:marRight w:val="0"/>
              <w:marTop w:val="0"/>
              <w:marBottom w:val="0"/>
              <w:divBdr>
                <w:top w:val="none" w:sz="0" w:space="0" w:color="auto"/>
                <w:left w:val="none" w:sz="0" w:space="0" w:color="auto"/>
                <w:bottom w:val="none" w:sz="0" w:space="0" w:color="auto"/>
                <w:right w:val="none" w:sz="0" w:space="0" w:color="auto"/>
              </w:divBdr>
              <w:divsChild>
                <w:div w:id="16678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9904">
      <w:bodyDiv w:val="1"/>
      <w:marLeft w:val="0"/>
      <w:marRight w:val="0"/>
      <w:marTop w:val="0"/>
      <w:marBottom w:val="0"/>
      <w:divBdr>
        <w:top w:val="none" w:sz="0" w:space="0" w:color="auto"/>
        <w:left w:val="none" w:sz="0" w:space="0" w:color="auto"/>
        <w:bottom w:val="none" w:sz="0" w:space="0" w:color="auto"/>
        <w:right w:val="none" w:sz="0" w:space="0" w:color="auto"/>
      </w:divBdr>
      <w:divsChild>
        <w:div w:id="1053190232">
          <w:marLeft w:val="0"/>
          <w:marRight w:val="0"/>
          <w:marTop w:val="0"/>
          <w:marBottom w:val="0"/>
          <w:divBdr>
            <w:top w:val="none" w:sz="0" w:space="0" w:color="auto"/>
            <w:left w:val="none" w:sz="0" w:space="0" w:color="auto"/>
            <w:bottom w:val="none" w:sz="0" w:space="0" w:color="auto"/>
            <w:right w:val="none" w:sz="0" w:space="0" w:color="auto"/>
          </w:divBdr>
          <w:divsChild>
            <w:div w:id="612833720">
              <w:marLeft w:val="0"/>
              <w:marRight w:val="0"/>
              <w:marTop w:val="0"/>
              <w:marBottom w:val="0"/>
              <w:divBdr>
                <w:top w:val="none" w:sz="0" w:space="0" w:color="auto"/>
                <w:left w:val="none" w:sz="0" w:space="0" w:color="auto"/>
                <w:bottom w:val="none" w:sz="0" w:space="0" w:color="auto"/>
                <w:right w:val="none" w:sz="0" w:space="0" w:color="auto"/>
              </w:divBdr>
              <w:divsChild>
                <w:div w:id="9271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0765">
      <w:bodyDiv w:val="1"/>
      <w:marLeft w:val="0"/>
      <w:marRight w:val="0"/>
      <w:marTop w:val="0"/>
      <w:marBottom w:val="0"/>
      <w:divBdr>
        <w:top w:val="none" w:sz="0" w:space="0" w:color="auto"/>
        <w:left w:val="none" w:sz="0" w:space="0" w:color="auto"/>
        <w:bottom w:val="none" w:sz="0" w:space="0" w:color="auto"/>
        <w:right w:val="none" w:sz="0" w:space="0" w:color="auto"/>
      </w:divBdr>
      <w:divsChild>
        <w:div w:id="2027629902">
          <w:marLeft w:val="0"/>
          <w:marRight w:val="0"/>
          <w:marTop w:val="0"/>
          <w:marBottom w:val="0"/>
          <w:divBdr>
            <w:top w:val="none" w:sz="0" w:space="0" w:color="auto"/>
            <w:left w:val="none" w:sz="0" w:space="0" w:color="auto"/>
            <w:bottom w:val="none" w:sz="0" w:space="0" w:color="auto"/>
            <w:right w:val="none" w:sz="0" w:space="0" w:color="auto"/>
          </w:divBdr>
          <w:divsChild>
            <w:div w:id="854001834">
              <w:marLeft w:val="0"/>
              <w:marRight w:val="0"/>
              <w:marTop w:val="0"/>
              <w:marBottom w:val="0"/>
              <w:divBdr>
                <w:top w:val="none" w:sz="0" w:space="0" w:color="auto"/>
                <w:left w:val="none" w:sz="0" w:space="0" w:color="auto"/>
                <w:bottom w:val="none" w:sz="0" w:space="0" w:color="auto"/>
                <w:right w:val="none" w:sz="0" w:space="0" w:color="auto"/>
              </w:divBdr>
              <w:divsChild>
                <w:div w:id="17785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75993">
      <w:bodyDiv w:val="1"/>
      <w:marLeft w:val="0"/>
      <w:marRight w:val="0"/>
      <w:marTop w:val="0"/>
      <w:marBottom w:val="0"/>
      <w:divBdr>
        <w:top w:val="none" w:sz="0" w:space="0" w:color="auto"/>
        <w:left w:val="none" w:sz="0" w:space="0" w:color="auto"/>
        <w:bottom w:val="none" w:sz="0" w:space="0" w:color="auto"/>
        <w:right w:val="none" w:sz="0" w:space="0" w:color="auto"/>
      </w:divBdr>
      <w:divsChild>
        <w:div w:id="777798014">
          <w:marLeft w:val="0"/>
          <w:marRight w:val="0"/>
          <w:marTop w:val="0"/>
          <w:marBottom w:val="0"/>
          <w:divBdr>
            <w:top w:val="none" w:sz="0" w:space="0" w:color="auto"/>
            <w:left w:val="none" w:sz="0" w:space="0" w:color="auto"/>
            <w:bottom w:val="none" w:sz="0" w:space="0" w:color="auto"/>
            <w:right w:val="none" w:sz="0" w:space="0" w:color="auto"/>
          </w:divBdr>
          <w:divsChild>
            <w:div w:id="1052847829">
              <w:marLeft w:val="0"/>
              <w:marRight w:val="0"/>
              <w:marTop w:val="0"/>
              <w:marBottom w:val="0"/>
              <w:divBdr>
                <w:top w:val="none" w:sz="0" w:space="0" w:color="auto"/>
                <w:left w:val="none" w:sz="0" w:space="0" w:color="auto"/>
                <w:bottom w:val="none" w:sz="0" w:space="0" w:color="auto"/>
                <w:right w:val="none" w:sz="0" w:space="0" w:color="auto"/>
              </w:divBdr>
              <w:divsChild>
                <w:div w:id="2073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038">
      <w:bodyDiv w:val="1"/>
      <w:marLeft w:val="0"/>
      <w:marRight w:val="0"/>
      <w:marTop w:val="0"/>
      <w:marBottom w:val="0"/>
      <w:divBdr>
        <w:top w:val="none" w:sz="0" w:space="0" w:color="auto"/>
        <w:left w:val="none" w:sz="0" w:space="0" w:color="auto"/>
        <w:bottom w:val="none" w:sz="0" w:space="0" w:color="auto"/>
        <w:right w:val="none" w:sz="0" w:space="0" w:color="auto"/>
      </w:divBdr>
      <w:divsChild>
        <w:div w:id="544296153">
          <w:marLeft w:val="0"/>
          <w:marRight w:val="0"/>
          <w:marTop w:val="0"/>
          <w:marBottom w:val="0"/>
          <w:divBdr>
            <w:top w:val="none" w:sz="0" w:space="0" w:color="auto"/>
            <w:left w:val="none" w:sz="0" w:space="0" w:color="auto"/>
            <w:bottom w:val="none" w:sz="0" w:space="0" w:color="auto"/>
            <w:right w:val="none" w:sz="0" w:space="0" w:color="auto"/>
          </w:divBdr>
          <w:divsChild>
            <w:div w:id="1878202607">
              <w:marLeft w:val="0"/>
              <w:marRight w:val="0"/>
              <w:marTop w:val="0"/>
              <w:marBottom w:val="0"/>
              <w:divBdr>
                <w:top w:val="none" w:sz="0" w:space="0" w:color="auto"/>
                <w:left w:val="none" w:sz="0" w:space="0" w:color="auto"/>
                <w:bottom w:val="none" w:sz="0" w:space="0" w:color="auto"/>
                <w:right w:val="none" w:sz="0" w:space="0" w:color="auto"/>
              </w:divBdr>
              <w:divsChild>
                <w:div w:id="18882251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9424821">
          <w:marLeft w:val="0"/>
          <w:marRight w:val="0"/>
          <w:marTop w:val="0"/>
          <w:marBottom w:val="0"/>
          <w:divBdr>
            <w:top w:val="none" w:sz="0" w:space="0" w:color="auto"/>
            <w:left w:val="none" w:sz="0" w:space="0" w:color="auto"/>
            <w:bottom w:val="none" w:sz="0" w:space="0" w:color="auto"/>
            <w:right w:val="none" w:sz="0" w:space="0" w:color="auto"/>
          </w:divBdr>
          <w:divsChild>
            <w:div w:id="811287134">
              <w:marLeft w:val="0"/>
              <w:marRight w:val="0"/>
              <w:marTop w:val="150"/>
              <w:marBottom w:val="168"/>
              <w:divBdr>
                <w:top w:val="none" w:sz="0" w:space="0" w:color="auto"/>
                <w:left w:val="none" w:sz="0" w:space="0" w:color="auto"/>
                <w:bottom w:val="none" w:sz="0" w:space="0" w:color="auto"/>
                <w:right w:val="none" w:sz="0" w:space="0" w:color="auto"/>
              </w:divBdr>
            </w:div>
            <w:div w:id="10761782">
              <w:marLeft w:val="0"/>
              <w:marRight w:val="0"/>
              <w:marTop w:val="0"/>
              <w:marBottom w:val="0"/>
              <w:divBdr>
                <w:top w:val="none" w:sz="0" w:space="0" w:color="auto"/>
                <w:left w:val="none" w:sz="0" w:space="0" w:color="auto"/>
                <w:bottom w:val="none" w:sz="0" w:space="0" w:color="auto"/>
                <w:right w:val="none" w:sz="0" w:space="0" w:color="auto"/>
              </w:divBdr>
              <w:divsChild>
                <w:div w:id="958757900">
                  <w:marLeft w:val="0"/>
                  <w:marRight w:val="0"/>
                  <w:marTop w:val="105"/>
                  <w:marBottom w:val="0"/>
                  <w:divBdr>
                    <w:top w:val="none" w:sz="0" w:space="0" w:color="auto"/>
                    <w:left w:val="none" w:sz="0" w:space="0" w:color="auto"/>
                    <w:bottom w:val="none" w:sz="0" w:space="0" w:color="auto"/>
                    <w:right w:val="none" w:sz="0" w:space="0" w:color="auto"/>
                  </w:divBdr>
                </w:div>
              </w:divsChild>
            </w:div>
            <w:div w:id="1894269780">
              <w:marLeft w:val="0"/>
              <w:marRight w:val="0"/>
              <w:marTop w:val="0"/>
              <w:marBottom w:val="0"/>
              <w:divBdr>
                <w:top w:val="none" w:sz="0" w:space="0" w:color="auto"/>
                <w:left w:val="none" w:sz="0" w:space="0" w:color="auto"/>
                <w:bottom w:val="none" w:sz="0" w:space="0" w:color="auto"/>
                <w:right w:val="none" w:sz="0" w:space="0" w:color="auto"/>
              </w:divBdr>
              <w:divsChild>
                <w:div w:id="1402144224">
                  <w:marLeft w:val="0"/>
                  <w:marRight w:val="0"/>
                  <w:marTop w:val="105"/>
                  <w:marBottom w:val="0"/>
                  <w:divBdr>
                    <w:top w:val="none" w:sz="0" w:space="0" w:color="auto"/>
                    <w:left w:val="none" w:sz="0" w:space="0" w:color="auto"/>
                    <w:bottom w:val="none" w:sz="0" w:space="0" w:color="auto"/>
                    <w:right w:val="none" w:sz="0" w:space="0" w:color="auto"/>
                  </w:divBdr>
                </w:div>
              </w:divsChild>
            </w:div>
            <w:div w:id="1455902813">
              <w:marLeft w:val="0"/>
              <w:marRight w:val="0"/>
              <w:marTop w:val="0"/>
              <w:marBottom w:val="0"/>
              <w:divBdr>
                <w:top w:val="none" w:sz="0" w:space="0" w:color="auto"/>
                <w:left w:val="none" w:sz="0" w:space="0" w:color="auto"/>
                <w:bottom w:val="none" w:sz="0" w:space="0" w:color="auto"/>
                <w:right w:val="none" w:sz="0" w:space="0" w:color="auto"/>
              </w:divBdr>
              <w:divsChild>
                <w:div w:id="200672585">
                  <w:marLeft w:val="0"/>
                  <w:marRight w:val="0"/>
                  <w:marTop w:val="105"/>
                  <w:marBottom w:val="0"/>
                  <w:divBdr>
                    <w:top w:val="none" w:sz="0" w:space="0" w:color="auto"/>
                    <w:left w:val="none" w:sz="0" w:space="0" w:color="auto"/>
                    <w:bottom w:val="none" w:sz="0" w:space="0" w:color="auto"/>
                    <w:right w:val="none" w:sz="0" w:space="0" w:color="auto"/>
                  </w:divBdr>
                </w:div>
              </w:divsChild>
            </w:div>
            <w:div w:id="2071884995">
              <w:marLeft w:val="0"/>
              <w:marRight w:val="0"/>
              <w:marTop w:val="0"/>
              <w:marBottom w:val="0"/>
              <w:divBdr>
                <w:top w:val="none" w:sz="0" w:space="0" w:color="auto"/>
                <w:left w:val="none" w:sz="0" w:space="0" w:color="auto"/>
                <w:bottom w:val="none" w:sz="0" w:space="0" w:color="auto"/>
                <w:right w:val="none" w:sz="0" w:space="0" w:color="auto"/>
              </w:divBdr>
              <w:divsChild>
                <w:div w:id="513568162">
                  <w:marLeft w:val="0"/>
                  <w:marRight w:val="0"/>
                  <w:marTop w:val="105"/>
                  <w:marBottom w:val="0"/>
                  <w:divBdr>
                    <w:top w:val="none" w:sz="0" w:space="0" w:color="auto"/>
                    <w:left w:val="none" w:sz="0" w:space="0" w:color="auto"/>
                    <w:bottom w:val="none" w:sz="0" w:space="0" w:color="auto"/>
                    <w:right w:val="none" w:sz="0" w:space="0" w:color="auto"/>
                  </w:divBdr>
                </w:div>
              </w:divsChild>
            </w:div>
            <w:div w:id="852770300">
              <w:marLeft w:val="0"/>
              <w:marRight w:val="0"/>
              <w:marTop w:val="0"/>
              <w:marBottom w:val="0"/>
              <w:divBdr>
                <w:top w:val="none" w:sz="0" w:space="0" w:color="auto"/>
                <w:left w:val="none" w:sz="0" w:space="0" w:color="auto"/>
                <w:bottom w:val="none" w:sz="0" w:space="0" w:color="auto"/>
                <w:right w:val="none" w:sz="0" w:space="0" w:color="auto"/>
              </w:divBdr>
              <w:divsChild>
                <w:div w:id="318467278">
                  <w:marLeft w:val="0"/>
                  <w:marRight w:val="0"/>
                  <w:marTop w:val="105"/>
                  <w:marBottom w:val="0"/>
                  <w:divBdr>
                    <w:top w:val="none" w:sz="0" w:space="0" w:color="auto"/>
                    <w:left w:val="none" w:sz="0" w:space="0" w:color="auto"/>
                    <w:bottom w:val="none" w:sz="0" w:space="0" w:color="auto"/>
                    <w:right w:val="none" w:sz="0" w:space="0" w:color="auto"/>
                  </w:divBdr>
                </w:div>
              </w:divsChild>
            </w:div>
            <w:div w:id="257909647">
              <w:marLeft w:val="0"/>
              <w:marRight w:val="0"/>
              <w:marTop w:val="0"/>
              <w:marBottom w:val="0"/>
              <w:divBdr>
                <w:top w:val="none" w:sz="0" w:space="0" w:color="auto"/>
                <w:left w:val="none" w:sz="0" w:space="0" w:color="auto"/>
                <w:bottom w:val="none" w:sz="0" w:space="0" w:color="auto"/>
                <w:right w:val="none" w:sz="0" w:space="0" w:color="auto"/>
              </w:divBdr>
              <w:divsChild>
                <w:div w:id="35013590">
                  <w:marLeft w:val="0"/>
                  <w:marRight w:val="0"/>
                  <w:marTop w:val="105"/>
                  <w:marBottom w:val="0"/>
                  <w:divBdr>
                    <w:top w:val="none" w:sz="0" w:space="0" w:color="auto"/>
                    <w:left w:val="none" w:sz="0" w:space="0" w:color="auto"/>
                    <w:bottom w:val="none" w:sz="0" w:space="0" w:color="auto"/>
                    <w:right w:val="none" w:sz="0" w:space="0" w:color="auto"/>
                  </w:divBdr>
                </w:div>
              </w:divsChild>
            </w:div>
            <w:div w:id="96486324">
              <w:marLeft w:val="0"/>
              <w:marRight w:val="0"/>
              <w:marTop w:val="0"/>
              <w:marBottom w:val="0"/>
              <w:divBdr>
                <w:top w:val="none" w:sz="0" w:space="0" w:color="auto"/>
                <w:left w:val="none" w:sz="0" w:space="0" w:color="auto"/>
                <w:bottom w:val="none" w:sz="0" w:space="0" w:color="auto"/>
                <w:right w:val="none" w:sz="0" w:space="0" w:color="auto"/>
              </w:divBdr>
              <w:divsChild>
                <w:div w:id="227155550">
                  <w:marLeft w:val="0"/>
                  <w:marRight w:val="0"/>
                  <w:marTop w:val="105"/>
                  <w:marBottom w:val="0"/>
                  <w:divBdr>
                    <w:top w:val="none" w:sz="0" w:space="0" w:color="auto"/>
                    <w:left w:val="none" w:sz="0" w:space="0" w:color="auto"/>
                    <w:bottom w:val="none" w:sz="0" w:space="0" w:color="auto"/>
                    <w:right w:val="none" w:sz="0" w:space="0" w:color="auto"/>
                  </w:divBdr>
                </w:div>
              </w:divsChild>
            </w:div>
            <w:div w:id="916474652">
              <w:marLeft w:val="0"/>
              <w:marRight w:val="0"/>
              <w:marTop w:val="0"/>
              <w:marBottom w:val="0"/>
              <w:divBdr>
                <w:top w:val="none" w:sz="0" w:space="0" w:color="auto"/>
                <w:left w:val="none" w:sz="0" w:space="0" w:color="auto"/>
                <w:bottom w:val="none" w:sz="0" w:space="0" w:color="auto"/>
                <w:right w:val="none" w:sz="0" w:space="0" w:color="auto"/>
              </w:divBdr>
              <w:divsChild>
                <w:div w:id="1853061026">
                  <w:marLeft w:val="0"/>
                  <w:marRight w:val="0"/>
                  <w:marTop w:val="105"/>
                  <w:marBottom w:val="0"/>
                  <w:divBdr>
                    <w:top w:val="none" w:sz="0" w:space="0" w:color="auto"/>
                    <w:left w:val="none" w:sz="0" w:space="0" w:color="auto"/>
                    <w:bottom w:val="none" w:sz="0" w:space="0" w:color="auto"/>
                    <w:right w:val="none" w:sz="0" w:space="0" w:color="auto"/>
                  </w:divBdr>
                </w:div>
              </w:divsChild>
            </w:div>
            <w:div w:id="1486047273">
              <w:marLeft w:val="0"/>
              <w:marRight w:val="0"/>
              <w:marTop w:val="0"/>
              <w:marBottom w:val="0"/>
              <w:divBdr>
                <w:top w:val="none" w:sz="0" w:space="0" w:color="auto"/>
                <w:left w:val="none" w:sz="0" w:space="0" w:color="auto"/>
                <w:bottom w:val="none" w:sz="0" w:space="0" w:color="auto"/>
                <w:right w:val="none" w:sz="0" w:space="0" w:color="auto"/>
              </w:divBdr>
              <w:divsChild>
                <w:div w:id="20997121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13774697">
      <w:bodyDiv w:val="1"/>
      <w:marLeft w:val="0"/>
      <w:marRight w:val="0"/>
      <w:marTop w:val="0"/>
      <w:marBottom w:val="0"/>
      <w:divBdr>
        <w:top w:val="none" w:sz="0" w:space="0" w:color="auto"/>
        <w:left w:val="none" w:sz="0" w:space="0" w:color="auto"/>
        <w:bottom w:val="none" w:sz="0" w:space="0" w:color="auto"/>
        <w:right w:val="none" w:sz="0" w:space="0" w:color="auto"/>
      </w:divBdr>
      <w:divsChild>
        <w:div w:id="131099857">
          <w:marLeft w:val="0"/>
          <w:marRight w:val="0"/>
          <w:marTop w:val="0"/>
          <w:marBottom w:val="0"/>
          <w:divBdr>
            <w:top w:val="none" w:sz="0" w:space="0" w:color="auto"/>
            <w:left w:val="none" w:sz="0" w:space="0" w:color="auto"/>
            <w:bottom w:val="none" w:sz="0" w:space="0" w:color="auto"/>
            <w:right w:val="none" w:sz="0" w:space="0" w:color="auto"/>
          </w:divBdr>
          <w:divsChild>
            <w:div w:id="753088423">
              <w:marLeft w:val="0"/>
              <w:marRight w:val="0"/>
              <w:marTop w:val="0"/>
              <w:marBottom w:val="0"/>
              <w:divBdr>
                <w:top w:val="none" w:sz="0" w:space="0" w:color="auto"/>
                <w:left w:val="none" w:sz="0" w:space="0" w:color="auto"/>
                <w:bottom w:val="none" w:sz="0" w:space="0" w:color="auto"/>
                <w:right w:val="none" w:sz="0" w:space="0" w:color="auto"/>
              </w:divBdr>
              <w:divsChild>
                <w:div w:id="6221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5562">
      <w:bodyDiv w:val="1"/>
      <w:marLeft w:val="0"/>
      <w:marRight w:val="0"/>
      <w:marTop w:val="0"/>
      <w:marBottom w:val="0"/>
      <w:divBdr>
        <w:top w:val="none" w:sz="0" w:space="0" w:color="auto"/>
        <w:left w:val="none" w:sz="0" w:space="0" w:color="auto"/>
        <w:bottom w:val="none" w:sz="0" w:space="0" w:color="auto"/>
        <w:right w:val="none" w:sz="0" w:space="0" w:color="auto"/>
      </w:divBdr>
      <w:divsChild>
        <w:div w:id="247690830">
          <w:marLeft w:val="0"/>
          <w:marRight w:val="0"/>
          <w:marTop w:val="0"/>
          <w:marBottom w:val="0"/>
          <w:divBdr>
            <w:top w:val="none" w:sz="0" w:space="0" w:color="auto"/>
            <w:left w:val="none" w:sz="0" w:space="0" w:color="auto"/>
            <w:bottom w:val="none" w:sz="0" w:space="0" w:color="auto"/>
            <w:right w:val="none" w:sz="0" w:space="0" w:color="auto"/>
          </w:divBdr>
          <w:divsChild>
            <w:div w:id="344593279">
              <w:marLeft w:val="0"/>
              <w:marRight w:val="0"/>
              <w:marTop w:val="0"/>
              <w:marBottom w:val="0"/>
              <w:divBdr>
                <w:top w:val="none" w:sz="0" w:space="0" w:color="auto"/>
                <w:left w:val="none" w:sz="0" w:space="0" w:color="auto"/>
                <w:bottom w:val="none" w:sz="0" w:space="0" w:color="auto"/>
                <w:right w:val="none" w:sz="0" w:space="0" w:color="auto"/>
              </w:divBdr>
              <w:divsChild>
                <w:div w:id="3255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8325">
      <w:bodyDiv w:val="1"/>
      <w:marLeft w:val="0"/>
      <w:marRight w:val="0"/>
      <w:marTop w:val="0"/>
      <w:marBottom w:val="0"/>
      <w:divBdr>
        <w:top w:val="none" w:sz="0" w:space="0" w:color="auto"/>
        <w:left w:val="none" w:sz="0" w:space="0" w:color="auto"/>
        <w:bottom w:val="none" w:sz="0" w:space="0" w:color="auto"/>
        <w:right w:val="none" w:sz="0" w:space="0" w:color="auto"/>
      </w:divBdr>
      <w:divsChild>
        <w:div w:id="677538888">
          <w:marLeft w:val="0"/>
          <w:marRight w:val="0"/>
          <w:marTop w:val="0"/>
          <w:marBottom w:val="0"/>
          <w:divBdr>
            <w:top w:val="none" w:sz="0" w:space="0" w:color="auto"/>
            <w:left w:val="none" w:sz="0" w:space="0" w:color="auto"/>
            <w:bottom w:val="none" w:sz="0" w:space="0" w:color="auto"/>
            <w:right w:val="none" w:sz="0" w:space="0" w:color="auto"/>
          </w:divBdr>
          <w:divsChild>
            <w:div w:id="1325663250">
              <w:marLeft w:val="0"/>
              <w:marRight w:val="0"/>
              <w:marTop w:val="0"/>
              <w:marBottom w:val="0"/>
              <w:divBdr>
                <w:top w:val="none" w:sz="0" w:space="0" w:color="auto"/>
                <w:left w:val="none" w:sz="0" w:space="0" w:color="auto"/>
                <w:bottom w:val="none" w:sz="0" w:space="0" w:color="auto"/>
                <w:right w:val="none" w:sz="0" w:space="0" w:color="auto"/>
              </w:divBdr>
              <w:divsChild>
                <w:div w:id="12739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588">
      <w:bodyDiv w:val="1"/>
      <w:marLeft w:val="0"/>
      <w:marRight w:val="0"/>
      <w:marTop w:val="0"/>
      <w:marBottom w:val="0"/>
      <w:divBdr>
        <w:top w:val="none" w:sz="0" w:space="0" w:color="auto"/>
        <w:left w:val="none" w:sz="0" w:space="0" w:color="auto"/>
        <w:bottom w:val="none" w:sz="0" w:space="0" w:color="auto"/>
        <w:right w:val="none" w:sz="0" w:space="0" w:color="auto"/>
      </w:divBdr>
      <w:divsChild>
        <w:div w:id="1323855745">
          <w:marLeft w:val="0"/>
          <w:marRight w:val="0"/>
          <w:marTop w:val="0"/>
          <w:marBottom w:val="0"/>
          <w:divBdr>
            <w:top w:val="none" w:sz="0" w:space="0" w:color="auto"/>
            <w:left w:val="none" w:sz="0" w:space="0" w:color="auto"/>
            <w:bottom w:val="none" w:sz="0" w:space="0" w:color="auto"/>
            <w:right w:val="none" w:sz="0" w:space="0" w:color="auto"/>
          </w:divBdr>
          <w:divsChild>
            <w:div w:id="1541091800">
              <w:marLeft w:val="0"/>
              <w:marRight w:val="0"/>
              <w:marTop w:val="0"/>
              <w:marBottom w:val="0"/>
              <w:divBdr>
                <w:top w:val="none" w:sz="0" w:space="0" w:color="auto"/>
                <w:left w:val="none" w:sz="0" w:space="0" w:color="auto"/>
                <w:bottom w:val="none" w:sz="0" w:space="0" w:color="auto"/>
                <w:right w:val="none" w:sz="0" w:space="0" w:color="auto"/>
              </w:divBdr>
              <w:divsChild>
                <w:div w:id="6579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99849">
      <w:bodyDiv w:val="1"/>
      <w:marLeft w:val="0"/>
      <w:marRight w:val="0"/>
      <w:marTop w:val="0"/>
      <w:marBottom w:val="0"/>
      <w:divBdr>
        <w:top w:val="none" w:sz="0" w:space="0" w:color="auto"/>
        <w:left w:val="none" w:sz="0" w:space="0" w:color="auto"/>
        <w:bottom w:val="none" w:sz="0" w:space="0" w:color="auto"/>
        <w:right w:val="none" w:sz="0" w:space="0" w:color="auto"/>
      </w:divBdr>
      <w:divsChild>
        <w:div w:id="1369260211">
          <w:marLeft w:val="0"/>
          <w:marRight w:val="0"/>
          <w:marTop w:val="0"/>
          <w:marBottom w:val="0"/>
          <w:divBdr>
            <w:top w:val="none" w:sz="0" w:space="0" w:color="auto"/>
            <w:left w:val="none" w:sz="0" w:space="0" w:color="auto"/>
            <w:bottom w:val="none" w:sz="0" w:space="0" w:color="auto"/>
            <w:right w:val="none" w:sz="0" w:space="0" w:color="auto"/>
          </w:divBdr>
          <w:divsChild>
            <w:div w:id="1701275414">
              <w:marLeft w:val="0"/>
              <w:marRight w:val="0"/>
              <w:marTop w:val="0"/>
              <w:marBottom w:val="0"/>
              <w:divBdr>
                <w:top w:val="none" w:sz="0" w:space="0" w:color="auto"/>
                <w:left w:val="none" w:sz="0" w:space="0" w:color="auto"/>
                <w:bottom w:val="none" w:sz="0" w:space="0" w:color="auto"/>
                <w:right w:val="none" w:sz="0" w:space="0" w:color="auto"/>
              </w:divBdr>
              <w:divsChild>
                <w:div w:id="1709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7413">
      <w:bodyDiv w:val="1"/>
      <w:marLeft w:val="0"/>
      <w:marRight w:val="0"/>
      <w:marTop w:val="0"/>
      <w:marBottom w:val="0"/>
      <w:divBdr>
        <w:top w:val="none" w:sz="0" w:space="0" w:color="auto"/>
        <w:left w:val="none" w:sz="0" w:space="0" w:color="auto"/>
        <w:bottom w:val="none" w:sz="0" w:space="0" w:color="auto"/>
        <w:right w:val="none" w:sz="0" w:space="0" w:color="auto"/>
      </w:divBdr>
      <w:divsChild>
        <w:div w:id="519441310">
          <w:marLeft w:val="0"/>
          <w:marRight w:val="0"/>
          <w:marTop w:val="0"/>
          <w:marBottom w:val="0"/>
          <w:divBdr>
            <w:top w:val="none" w:sz="0" w:space="0" w:color="auto"/>
            <w:left w:val="none" w:sz="0" w:space="0" w:color="auto"/>
            <w:bottom w:val="none" w:sz="0" w:space="0" w:color="auto"/>
            <w:right w:val="none" w:sz="0" w:space="0" w:color="auto"/>
          </w:divBdr>
          <w:divsChild>
            <w:div w:id="422341760">
              <w:marLeft w:val="0"/>
              <w:marRight w:val="0"/>
              <w:marTop w:val="0"/>
              <w:marBottom w:val="0"/>
              <w:divBdr>
                <w:top w:val="none" w:sz="0" w:space="0" w:color="auto"/>
                <w:left w:val="none" w:sz="0" w:space="0" w:color="auto"/>
                <w:bottom w:val="none" w:sz="0" w:space="0" w:color="auto"/>
                <w:right w:val="none" w:sz="0" w:space="0" w:color="auto"/>
              </w:divBdr>
              <w:divsChild>
                <w:div w:id="747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7983">
      <w:bodyDiv w:val="1"/>
      <w:marLeft w:val="0"/>
      <w:marRight w:val="0"/>
      <w:marTop w:val="0"/>
      <w:marBottom w:val="0"/>
      <w:divBdr>
        <w:top w:val="none" w:sz="0" w:space="0" w:color="auto"/>
        <w:left w:val="none" w:sz="0" w:space="0" w:color="auto"/>
        <w:bottom w:val="none" w:sz="0" w:space="0" w:color="auto"/>
        <w:right w:val="none" w:sz="0" w:space="0" w:color="auto"/>
      </w:divBdr>
      <w:divsChild>
        <w:div w:id="1888757962">
          <w:marLeft w:val="0"/>
          <w:marRight w:val="0"/>
          <w:marTop w:val="0"/>
          <w:marBottom w:val="0"/>
          <w:divBdr>
            <w:top w:val="none" w:sz="0" w:space="0" w:color="auto"/>
            <w:left w:val="none" w:sz="0" w:space="0" w:color="auto"/>
            <w:bottom w:val="none" w:sz="0" w:space="0" w:color="auto"/>
            <w:right w:val="none" w:sz="0" w:space="0" w:color="auto"/>
          </w:divBdr>
          <w:divsChild>
            <w:div w:id="1648975501">
              <w:marLeft w:val="0"/>
              <w:marRight w:val="0"/>
              <w:marTop w:val="0"/>
              <w:marBottom w:val="0"/>
              <w:divBdr>
                <w:top w:val="none" w:sz="0" w:space="0" w:color="auto"/>
                <w:left w:val="none" w:sz="0" w:space="0" w:color="auto"/>
                <w:bottom w:val="none" w:sz="0" w:space="0" w:color="auto"/>
                <w:right w:val="none" w:sz="0" w:space="0" w:color="auto"/>
              </w:divBdr>
              <w:divsChild>
                <w:div w:id="7857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641">
      <w:bodyDiv w:val="1"/>
      <w:marLeft w:val="0"/>
      <w:marRight w:val="0"/>
      <w:marTop w:val="0"/>
      <w:marBottom w:val="0"/>
      <w:divBdr>
        <w:top w:val="none" w:sz="0" w:space="0" w:color="auto"/>
        <w:left w:val="none" w:sz="0" w:space="0" w:color="auto"/>
        <w:bottom w:val="none" w:sz="0" w:space="0" w:color="auto"/>
        <w:right w:val="none" w:sz="0" w:space="0" w:color="auto"/>
      </w:divBdr>
      <w:divsChild>
        <w:div w:id="92670061">
          <w:marLeft w:val="0"/>
          <w:marRight w:val="0"/>
          <w:marTop w:val="0"/>
          <w:marBottom w:val="0"/>
          <w:divBdr>
            <w:top w:val="none" w:sz="0" w:space="0" w:color="auto"/>
            <w:left w:val="none" w:sz="0" w:space="0" w:color="auto"/>
            <w:bottom w:val="none" w:sz="0" w:space="0" w:color="auto"/>
            <w:right w:val="none" w:sz="0" w:space="0" w:color="auto"/>
          </w:divBdr>
          <w:divsChild>
            <w:div w:id="2127694642">
              <w:marLeft w:val="0"/>
              <w:marRight w:val="0"/>
              <w:marTop w:val="0"/>
              <w:marBottom w:val="0"/>
              <w:divBdr>
                <w:top w:val="none" w:sz="0" w:space="0" w:color="auto"/>
                <w:left w:val="none" w:sz="0" w:space="0" w:color="auto"/>
                <w:bottom w:val="none" w:sz="0" w:space="0" w:color="auto"/>
                <w:right w:val="none" w:sz="0" w:space="0" w:color="auto"/>
              </w:divBdr>
              <w:divsChild>
                <w:div w:id="11489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227">
      <w:bodyDiv w:val="1"/>
      <w:marLeft w:val="0"/>
      <w:marRight w:val="0"/>
      <w:marTop w:val="0"/>
      <w:marBottom w:val="0"/>
      <w:divBdr>
        <w:top w:val="none" w:sz="0" w:space="0" w:color="auto"/>
        <w:left w:val="none" w:sz="0" w:space="0" w:color="auto"/>
        <w:bottom w:val="none" w:sz="0" w:space="0" w:color="auto"/>
        <w:right w:val="none" w:sz="0" w:space="0" w:color="auto"/>
      </w:divBdr>
      <w:divsChild>
        <w:div w:id="451903399">
          <w:marLeft w:val="0"/>
          <w:marRight w:val="0"/>
          <w:marTop w:val="0"/>
          <w:marBottom w:val="0"/>
          <w:divBdr>
            <w:top w:val="none" w:sz="0" w:space="0" w:color="auto"/>
            <w:left w:val="none" w:sz="0" w:space="0" w:color="auto"/>
            <w:bottom w:val="none" w:sz="0" w:space="0" w:color="auto"/>
            <w:right w:val="none" w:sz="0" w:space="0" w:color="auto"/>
          </w:divBdr>
          <w:divsChild>
            <w:div w:id="1267156988">
              <w:marLeft w:val="0"/>
              <w:marRight w:val="0"/>
              <w:marTop w:val="0"/>
              <w:marBottom w:val="0"/>
              <w:divBdr>
                <w:top w:val="none" w:sz="0" w:space="0" w:color="auto"/>
                <w:left w:val="none" w:sz="0" w:space="0" w:color="auto"/>
                <w:bottom w:val="none" w:sz="0" w:space="0" w:color="auto"/>
                <w:right w:val="none" w:sz="0" w:space="0" w:color="auto"/>
              </w:divBdr>
              <w:divsChild>
                <w:div w:id="381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7626">
      <w:bodyDiv w:val="1"/>
      <w:marLeft w:val="0"/>
      <w:marRight w:val="0"/>
      <w:marTop w:val="0"/>
      <w:marBottom w:val="0"/>
      <w:divBdr>
        <w:top w:val="none" w:sz="0" w:space="0" w:color="auto"/>
        <w:left w:val="none" w:sz="0" w:space="0" w:color="auto"/>
        <w:bottom w:val="none" w:sz="0" w:space="0" w:color="auto"/>
        <w:right w:val="none" w:sz="0" w:space="0" w:color="auto"/>
      </w:divBdr>
      <w:divsChild>
        <w:div w:id="644311930">
          <w:marLeft w:val="0"/>
          <w:marRight w:val="0"/>
          <w:marTop w:val="0"/>
          <w:marBottom w:val="0"/>
          <w:divBdr>
            <w:top w:val="none" w:sz="0" w:space="0" w:color="auto"/>
            <w:left w:val="none" w:sz="0" w:space="0" w:color="auto"/>
            <w:bottom w:val="none" w:sz="0" w:space="0" w:color="auto"/>
            <w:right w:val="none" w:sz="0" w:space="0" w:color="auto"/>
          </w:divBdr>
          <w:divsChild>
            <w:div w:id="1341392283">
              <w:marLeft w:val="0"/>
              <w:marRight w:val="0"/>
              <w:marTop w:val="0"/>
              <w:marBottom w:val="0"/>
              <w:divBdr>
                <w:top w:val="none" w:sz="0" w:space="0" w:color="auto"/>
                <w:left w:val="none" w:sz="0" w:space="0" w:color="auto"/>
                <w:bottom w:val="none" w:sz="0" w:space="0" w:color="auto"/>
                <w:right w:val="none" w:sz="0" w:space="0" w:color="auto"/>
              </w:divBdr>
              <w:divsChild>
                <w:div w:id="15203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1741">
      <w:bodyDiv w:val="1"/>
      <w:marLeft w:val="0"/>
      <w:marRight w:val="0"/>
      <w:marTop w:val="0"/>
      <w:marBottom w:val="0"/>
      <w:divBdr>
        <w:top w:val="none" w:sz="0" w:space="0" w:color="auto"/>
        <w:left w:val="none" w:sz="0" w:space="0" w:color="auto"/>
        <w:bottom w:val="none" w:sz="0" w:space="0" w:color="auto"/>
        <w:right w:val="none" w:sz="0" w:space="0" w:color="auto"/>
      </w:divBdr>
      <w:divsChild>
        <w:div w:id="1835414931">
          <w:marLeft w:val="0"/>
          <w:marRight w:val="0"/>
          <w:marTop w:val="0"/>
          <w:marBottom w:val="0"/>
          <w:divBdr>
            <w:top w:val="none" w:sz="0" w:space="0" w:color="auto"/>
            <w:left w:val="none" w:sz="0" w:space="0" w:color="auto"/>
            <w:bottom w:val="none" w:sz="0" w:space="0" w:color="auto"/>
            <w:right w:val="none" w:sz="0" w:space="0" w:color="auto"/>
          </w:divBdr>
          <w:divsChild>
            <w:div w:id="688414739">
              <w:marLeft w:val="0"/>
              <w:marRight w:val="0"/>
              <w:marTop w:val="0"/>
              <w:marBottom w:val="0"/>
              <w:divBdr>
                <w:top w:val="none" w:sz="0" w:space="0" w:color="auto"/>
                <w:left w:val="none" w:sz="0" w:space="0" w:color="auto"/>
                <w:bottom w:val="none" w:sz="0" w:space="0" w:color="auto"/>
                <w:right w:val="none" w:sz="0" w:space="0" w:color="auto"/>
              </w:divBdr>
              <w:divsChild>
                <w:div w:id="1768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3116">
      <w:bodyDiv w:val="1"/>
      <w:marLeft w:val="0"/>
      <w:marRight w:val="0"/>
      <w:marTop w:val="0"/>
      <w:marBottom w:val="0"/>
      <w:divBdr>
        <w:top w:val="none" w:sz="0" w:space="0" w:color="auto"/>
        <w:left w:val="none" w:sz="0" w:space="0" w:color="auto"/>
        <w:bottom w:val="none" w:sz="0" w:space="0" w:color="auto"/>
        <w:right w:val="none" w:sz="0" w:space="0" w:color="auto"/>
      </w:divBdr>
      <w:divsChild>
        <w:div w:id="573467691">
          <w:marLeft w:val="0"/>
          <w:marRight w:val="0"/>
          <w:marTop w:val="0"/>
          <w:marBottom w:val="0"/>
          <w:divBdr>
            <w:top w:val="none" w:sz="0" w:space="0" w:color="auto"/>
            <w:left w:val="none" w:sz="0" w:space="0" w:color="auto"/>
            <w:bottom w:val="none" w:sz="0" w:space="0" w:color="auto"/>
            <w:right w:val="none" w:sz="0" w:space="0" w:color="auto"/>
          </w:divBdr>
          <w:divsChild>
            <w:div w:id="281570576">
              <w:marLeft w:val="0"/>
              <w:marRight w:val="0"/>
              <w:marTop w:val="0"/>
              <w:marBottom w:val="0"/>
              <w:divBdr>
                <w:top w:val="none" w:sz="0" w:space="0" w:color="auto"/>
                <w:left w:val="none" w:sz="0" w:space="0" w:color="auto"/>
                <w:bottom w:val="none" w:sz="0" w:space="0" w:color="auto"/>
                <w:right w:val="none" w:sz="0" w:space="0" w:color="auto"/>
              </w:divBdr>
              <w:divsChild>
                <w:div w:id="1334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69919">
      <w:bodyDiv w:val="1"/>
      <w:marLeft w:val="0"/>
      <w:marRight w:val="0"/>
      <w:marTop w:val="0"/>
      <w:marBottom w:val="0"/>
      <w:divBdr>
        <w:top w:val="none" w:sz="0" w:space="0" w:color="auto"/>
        <w:left w:val="none" w:sz="0" w:space="0" w:color="auto"/>
        <w:bottom w:val="none" w:sz="0" w:space="0" w:color="auto"/>
        <w:right w:val="none" w:sz="0" w:space="0" w:color="auto"/>
      </w:divBdr>
      <w:divsChild>
        <w:div w:id="1729524129">
          <w:marLeft w:val="0"/>
          <w:marRight w:val="0"/>
          <w:marTop w:val="0"/>
          <w:marBottom w:val="0"/>
          <w:divBdr>
            <w:top w:val="none" w:sz="0" w:space="0" w:color="auto"/>
            <w:left w:val="none" w:sz="0" w:space="0" w:color="auto"/>
            <w:bottom w:val="none" w:sz="0" w:space="0" w:color="auto"/>
            <w:right w:val="none" w:sz="0" w:space="0" w:color="auto"/>
          </w:divBdr>
          <w:divsChild>
            <w:div w:id="1597009427">
              <w:marLeft w:val="0"/>
              <w:marRight w:val="0"/>
              <w:marTop w:val="0"/>
              <w:marBottom w:val="0"/>
              <w:divBdr>
                <w:top w:val="none" w:sz="0" w:space="0" w:color="auto"/>
                <w:left w:val="none" w:sz="0" w:space="0" w:color="auto"/>
                <w:bottom w:val="none" w:sz="0" w:space="0" w:color="auto"/>
                <w:right w:val="none" w:sz="0" w:space="0" w:color="auto"/>
              </w:divBdr>
              <w:divsChild>
                <w:div w:id="5442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3828">
      <w:bodyDiv w:val="1"/>
      <w:marLeft w:val="0"/>
      <w:marRight w:val="0"/>
      <w:marTop w:val="0"/>
      <w:marBottom w:val="0"/>
      <w:divBdr>
        <w:top w:val="none" w:sz="0" w:space="0" w:color="auto"/>
        <w:left w:val="none" w:sz="0" w:space="0" w:color="auto"/>
        <w:bottom w:val="none" w:sz="0" w:space="0" w:color="auto"/>
        <w:right w:val="none" w:sz="0" w:space="0" w:color="auto"/>
      </w:divBdr>
      <w:divsChild>
        <w:div w:id="2139227199">
          <w:marLeft w:val="0"/>
          <w:marRight w:val="0"/>
          <w:marTop w:val="0"/>
          <w:marBottom w:val="0"/>
          <w:divBdr>
            <w:top w:val="none" w:sz="0" w:space="0" w:color="auto"/>
            <w:left w:val="none" w:sz="0" w:space="0" w:color="auto"/>
            <w:bottom w:val="none" w:sz="0" w:space="0" w:color="auto"/>
            <w:right w:val="none" w:sz="0" w:space="0" w:color="auto"/>
          </w:divBdr>
          <w:divsChild>
            <w:div w:id="1756711020">
              <w:marLeft w:val="0"/>
              <w:marRight w:val="0"/>
              <w:marTop w:val="0"/>
              <w:marBottom w:val="0"/>
              <w:divBdr>
                <w:top w:val="none" w:sz="0" w:space="0" w:color="auto"/>
                <w:left w:val="none" w:sz="0" w:space="0" w:color="auto"/>
                <w:bottom w:val="none" w:sz="0" w:space="0" w:color="auto"/>
                <w:right w:val="none" w:sz="0" w:space="0" w:color="auto"/>
              </w:divBdr>
              <w:divsChild>
                <w:div w:id="1881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3539">
      <w:bodyDiv w:val="1"/>
      <w:marLeft w:val="0"/>
      <w:marRight w:val="0"/>
      <w:marTop w:val="0"/>
      <w:marBottom w:val="0"/>
      <w:divBdr>
        <w:top w:val="none" w:sz="0" w:space="0" w:color="auto"/>
        <w:left w:val="none" w:sz="0" w:space="0" w:color="auto"/>
        <w:bottom w:val="none" w:sz="0" w:space="0" w:color="auto"/>
        <w:right w:val="none" w:sz="0" w:space="0" w:color="auto"/>
      </w:divBdr>
      <w:divsChild>
        <w:div w:id="911696559">
          <w:marLeft w:val="0"/>
          <w:marRight w:val="0"/>
          <w:marTop w:val="0"/>
          <w:marBottom w:val="0"/>
          <w:divBdr>
            <w:top w:val="none" w:sz="0" w:space="0" w:color="auto"/>
            <w:left w:val="none" w:sz="0" w:space="0" w:color="auto"/>
            <w:bottom w:val="none" w:sz="0" w:space="0" w:color="auto"/>
            <w:right w:val="none" w:sz="0" w:space="0" w:color="auto"/>
          </w:divBdr>
          <w:divsChild>
            <w:div w:id="1103918707">
              <w:marLeft w:val="0"/>
              <w:marRight w:val="0"/>
              <w:marTop w:val="0"/>
              <w:marBottom w:val="0"/>
              <w:divBdr>
                <w:top w:val="none" w:sz="0" w:space="0" w:color="auto"/>
                <w:left w:val="none" w:sz="0" w:space="0" w:color="auto"/>
                <w:bottom w:val="none" w:sz="0" w:space="0" w:color="auto"/>
                <w:right w:val="none" w:sz="0" w:space="0" w:color="auto"/>
              </w:divBdr>
              <w:divsChild>
                <w:div w:id="5853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70387">
      <w:bodyDiv w:val="1"/>
      <w:marLeft w:val="0"/>
      <w:marRight w:val="0"/>
      <w:marTop w:val="0"/>
      <w:marBottom w:val="0"/>
      <w:divBdr>
        <w:top w:val="none" w:sz="0" w:space="0" w:color="auto"/>
        <w:left w:val="none" w:sz="0" w:space="0" w:color="auto"/>
        <w:bottom w:val="none" w:sz="0" w:space="0" w:color="auto"/>
        <w:right w:val="none" w:sz="0" w:space="0" w:color="auto"/>
      </w:divBdr>
      <w:divsChild>
        <w:div w:id="1111705121">
          <w:marLeft w:val="0"/>
          <w:marRight w:val="0"/>
          <w:marTop w:val="0"/>
          <w:marBottom w:val="0"/>
          <w:divBdr>
            <w:top w:val="none" w:sz="0" w:space="0" w:color="auto"/>
            <w:left w:val="none" w:sz="0" w:space="0" w:color="auto"/>
            <w:bottom w:val="none" w:sz="0" w:space="0" w:color="auto"/>
            <w:right w:val="none" w:sz="0" w:space="0" w:color="auto"/>
          </w:divBdr>
          <w:divsChild>
            <w:div w:id="981078376">
              <w:marLeft w:val="0"/>
              <w:marRight w:val="0"/>
              <w:marTop w:val="0"/>
              <w:marBottom w:val="0"/>
              <w:divBdr>
                <w:top w:val="none" w:sz="0" w:space="0" w:color="auto"/>
                <w:left w:val="none" w:sz="0" w:space="0" w:color="auto"/>
                <w:bottom w:val="none" w:sz="0" w:space="0" w:color="auto"/>
                <w:right w:val="none" w:sz="0" w:space="0" w:color="auto"/>
              </w:divBdr>
              <w:divsChild>
                <w:div w:id="14445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08911">
      <w:bodyDiv w:val="1"/>
      <w:marLeft w:val="0"/>
      <w:marRight w:val="0"/>
      <w:marTop w:val="0"/>
      <w:marBottom w:val="0"/>
      <w:divBdr>
        <w:top w:val="none" w:sz="0" w:space="0" w:color="auto"/>
        <w:left w:val="none" w:sz="0" w:space="0" w:color="auto"/>
        <w:bottom w:val="none" w:sz="0" w:space="0" w:color="auto"/>
        <w:right w:val="none" w:sz="0" w:space="0" w:color="auto"/>
      </w:divBdr>
      <w:divsChild>
        <w:div w:id="44187137">
          <w:marLeft w:val="0"/>
          <w:marRight w:val="0"/>
          <w:marTop w:val="0"/>
          <w:marBottom w:val="0"/>
          <w:divBdr>
            <w:top w:val="none" w:sz="0" w:space="0" w:color="auto"/>
            <w:left w:val="none" w:sz="0" w:space="0" w:color="auto"/>
            <w:bottom w:val="none" w:sz="0" w:space="0" w:color="auto"/>
            <w:right w:val="none" w:sz="0" w:space="0" w:color="auto"/>
          </w:divBdr>
          <w:divsChild>
            <w:div w:id="1155952566">
              <w:marLeft w:val="0"/>
              <w:marRight w:val="0"/>
              <w:marTop w:val="0"/>
              <w:marBottom w:val="0"/>
              <w:divBdr>
                <w:top w:val="none" w:sz="0" w:space="0" w:color="auto"/>
                <w:left w:val="none" w:sz="0" w:space="0" w:color="auto"/>
                <w:bottom w:val="none" w:sz="0" w:space="0" w:color="auto"/>
                <w:right w:val="none" w:sz="0" w:space="0" w:color="auto"/>
              </w:divBdr>
              <w:divsChild>
                <w:div w:id="665280497">
                  <w:marLeft w:val="0"/>
                  <w:marRight w:val="0"/>
                  <w:marTop w:val="0"/>
                  <w:marBottom w:val="0"/>
                  <w:divBdr>
                    <w:top w:val="none" w:sz="0" w:space="0" w:color="auto"/>
                    <w:left w:val="none" w:sz="0" w:space="0" w:color="auto"/>
                    <w:bottom w:val="none" w:sz="0" w:space="0" w:color="auto"/>
                    <w:right w:val="none" w:sz="0" w:space="0" w:color="auto"/>
                  </w:divBdr>
                </w:div>
              </w:divsChild>
            </w:div>
            <w:div w:id="1734160207">
              <w:marLeft w:val="0"/>
              <w:marRight w:val="0"/>
              <w:marTop w:val="0"/>
              <w:marBottom w:val="0"/>
              <w:divBdr>
                <w:top w:val="none" w:sz="0" w:space="0" w:color="auto"/>
                <w:left w:val="none" w:sz="0" w:space="0" w:color="auto"/>
                <w:bottom w:val="none" w:sz="0" w:space="0" w:color="auto"/>
                <w:right w:val="none" w:sz="0" w:space="0" w:color="auto"/>
              </w:divBdr>
              <w:divsChild>
                <w:div w:id="887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9865">
          <w:marLeft w:val="0"/>
          <w:marRight w:val="0"/>
          <w:marTop w:val="0"/>
          <w:marBottom w:val="0"/>
          <w:divBdr>
            <w:top w:val="none" w:sz="0" w:space="0" w:color="auto"/>
            <w:left w:val="none" w:sz="0" w:space="0" w:color="auto"/>
            <w:bottom w:val="none" w:sz="0" w:space="0" w:color="auto"/>
            <w:right w:val="none" w:sz="0" w:space="0" w:color="auto"/>
          </w:divBdr>
          <w:divsChild>
            <w:div w:id="313686301">
              <w:marLeft w:val="0"/>
              <w:marRight w:val="0"/>
              <w:marTop w:val="0"/>
              <w:marBottom w:val="0"/>
              <w:divBdr>
                <w:top w:val="none" w:sz="0" w:space="0" w:color="auto"/>
                <w:left w:val="none" w:sz="0" w:space="0" w:color="auto"/>
                <w:bottom w:val="none" w:sz="0" w:space="0" w:color="auto"/>
                <w:right w:val="none" w:sz="0" w:space="0" w:color="auto"/>
              </w:divBdr>
              <w:divsChild>
                <w:div w:id="1161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3608">
      <w:bodyDiv w:val="1"/>
      <w:marLeft w:val="0"/>
      <w:marRight w:val="0"/>
      <w:marTop w:val="0"/>
      <w:marBottom w:val="0"/>
      <w:divBdr>
        <w:top w:val="none" w:sz="0" w:space="0" w:color="auto"/>
        <w:left w:val="none" w:sz="0" w:space="0" w:color="auto"/>
        <w:bottom w:val="none" w:sz="0" w:space="0" w:color="auto"/>
        <w:right w:val="none" w:sz="0" w:space="0" w:color="auto"/>
      </w:divBdr>
      <w:divsChild>
        <w:div w:id="1900361695">
          <w:marLeft w:val="0"/>
          <w:marRight w:val="0"/>
          <w:marTop w:val="0"/>
          <w:marBottom w:val="0"/>
          <w:divBdr>
            <w:top w:val="none" w:sz="0" w:space="0" w:color="auto"/>
            <w:left w:val="none" w:sz="0" w:space="0" w:color="auto"/>
            <w:bottom w:val="none" w:sz="0" w:space="0" w:color="auto"/>
            <w:right w:val="none" w:sz="0" w:space="0" w:color="auto"/>
          </w:divBdr>
          <w:divsChild>
            <w:div w:id="1776365651">
              <w:marLeft w:val="0"/>
              <w:marRight w:val="0"/>
              <w:marTop w:val="0"/>
              <w:marBottom w:val="0"/>
              <w:divBdr>
                <w:top w:val="none" w:sz="0" w:space="0" w:color="auto"/>
                <w:left w:val="none" w:sz="0" w:space="0" w:color="auto"/>
                <w:bottom w:val="none" w:sz="0" w:space="0" w:color="auto"/>
                <w:right w:val="none" w:sz="0" w:space="0" w:color="auto"/>
              </w:divBdr>
              <w:divsChild>
                <w:div w:id="763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9649">
      <w:bodyDiv w:val="1"/>
      <w:marLeft w:val="0"/>
      <w:marRight w:val="0"/>
      <w:marTop w:val="0"/>
      <w:marBottom w:val="0"/>
      <w:divBdr>
        <w:top w:val="none" w:sz="0" w:space="0" w:color="auto"/>
        <w:left w:val="none" w:sz="0" w:space="0" w:color="auto"/>
        <w:bottom w:val="none" w:sz="0" w:space="0" w:color="auto"/>
        <w:right w:val="none" w:sz="0" w:space="0" w:color="auto"/>
      </w:divBdr>
      <w:divsChild>
        <w:div w:id="278952408">
          <w:marLeft w:val="0"/>
          <w:marRight w:val="0"/>
          <w:marTop w:val="0"/>
          <w:marBottom w:val="0"/>
          <w:divBdr>
            <w:top w:val="none" w:sz="0" w:space="0" w:color="auto"/>
            <w:left w:val="none" w:sz="0" w:space="0" w:color="auto"/>
            <w:bottom w:val="none" w:sz="0" w:space="0" w:color="auto"/>
            <w:right w:val="none" w:sz="0" w:space="0" w:color="auto"/>
          </w:divBdr>
          <w:divsChild>
            <w:div w:id="2025592340">
              <w:marLeft w:val="0"/>
              <w:marRight w:val="0"/>
              <w:marTop w:val="0"/>
              <w:marBottom w:val="0"/>
              <w:divBdr>
                <w:top w:val="none" w:sz="0" w:space="0" w:color="auto"/>
                <w:left w:val="none" w:sz="0" w:space="0" w:color="auto"/>
                <w:bottom w:val="none" w:sz="0" w:space="0" w:color="auto"/>
                <w:right w:val="none" w:sz="0" w:space="0" w:color="auto"/>
              </w:divBdr>
              <w:divsChild>
                <w:div w:id="1302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16</Pages>
  <Words>5419</Words>
  <Characters>32515</Characters>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2024-08-13T18:11:00Z</dcterms:created>
  <dcterms:modified xsi:type="dcterms:W3CDTF">2024-10-03T11:02:00Z</dcterms:modified>
  <cp:category/>
</cp:coreProperties>
</file>