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26D" w:rsidRPr="0032026D" w:rsidRDefault="0032026D" w:rsidP="0032026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0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2a</w:t>
      </w:r>
    </w:p>
    <w:p w:rsidR="0032026D" w:rsidRPr="0032026D" w:rsidRDefault="0032026D" w:rsidP="0032026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0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„Programu o</w:t>
      </w:r>
      <w:r w:rsidRPr="003202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pieki nad rodzinami wysokiego, dziedzicznie uwarunkowanego ryzyka zachorowania na nowotwory złośliwe – Moduł II – wczesne wykrywanie i prewencja nowotworów złośliwych w rodzinach wysokiego, dziedzicznie uwarunkowanego ryzyka zachorowania na raka jelita grubego i błony śluzowej trzonu macicy” na lata 201</w:t>
      </w:r>
      <w:r w:rsidR="00F03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3202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-2021.</w:t>
      </w:r>
    </w:p>
    <w:p w:rsidR="0032026D" w:rsidRPr="0032026D" w:rsidRDefault="0032026D" w:rsidP="0032026D">
      <w:p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b/>
          <w:bCs/>
          <w:lang w:eastAsia="zh-CN"/>
        </w:rPr>
        <w:t>Celem zadania</w:t>
      </w:r>
      <w:r w:rsidRPr="0032026D">
        <w:rPr>
          <w:rFonts w:ascii="Times New Roman" w:eastAsia="SimSun" w:hAnsi="Times New Roman" w:cs="Times New Roman"/>
          <w:lang w:eastAsia="zh-CN"/>
        </w:rPr>
        <w:t xml:space="preserve"> jest przede wszystkim zidentyfikowanie i zapewnienie opieki odpowiadającej obecnym standardom - rodzinom z dziedzicznymi zespołami predyspozycji do nowotworów złośliwych, w których dominuje predyspozycja do rozwoju raka jelita grubego z zespołem 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gruczolakowatej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 polipowatości rodzinnej (FAP, ang. 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Familial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Adenomatous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Polyposis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), zespołem Lyncha, 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Peutza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Jeghersa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 (PJS, ang. 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Peutza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Jeghers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Syndrome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>)</w:t>
      </w:r>
      <w:r w:rsidRPr="0032026D">
        <w:rPr>
          <w:rFonts w:ascii="Times New Roman" w:eastAsia="Calibri" w:hAnsi="Times New Roman" w:cs="Times New Roman"/>
        </w:rPr>
        <w:t>, p</w:t>
      </w:r>
      <w:r w:rsidRPr="0032026D">
        <w:rPr>
          <w:rFonts w:ascii="Times New Roman" w:eastAsia="SimSun" w:hAnsi="Times New Roman" w:cs="Times New Roman"/>
          <w:lang w:eastAsia="zh-CN"/>
        </w:rPr>
        <w:t xml:space="preserve">olipowatości młodzieńczej (JPS, ang. 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juvenile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polyposis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syndrome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) oraz zespołem polipowatości recesywnej uwarunkowanym mutacjami w genie </w:t>
      </w:r>
      <w:r w:rsidRPr="0032026D">
        <w:rPr>
          <w:rFonts w:ascii="Times New Roman" w:eastAsia="SimSun" w:hAnsi="Times New Roman" w:cs="Times New Roman"/>
          <w:i/>
          <w:lang w:eastAsia="zh-CN"/>
        </w:rPr>
        <w:t>MUTYH.</w:t>
      </w:r>
    </w:p>
    <w:p w:rsidR="0032026D" w:rsidRPr="0032026D" w:rsidRDefault="0032026D" w:rsidP="0032026D">
      <w:p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 xml:space="preserve">Opieka nad tymi rodzinami umożliwia w dłuższej perspektywie wydłużenie przeżyć nosicieli mutacji genu </w:t>
      </w:r>
      <w:r w:rsidRPr="0032026D">
        <w:rPr>
          <w:rFonts w:ascii="Times New Roman" w:eastAsia="SimSun" w:hAnsi="Times New Roman" w:cs="Times New Roman"/>
          <w:i/>
          <w:lang w:eastAsia="zh-CN"/>
        </w:rPr>
        <w:t>APC</w:t>
      </w:r>
      <w:r w:rsidRPr="0032026D">
        <w:rPr>
          <w:rFonts w:ascii="Times New Roman" w:eastAsia="SimSun" w:hAnsi="Times New Roman" w:cs="Times New Roman"/>
          <w:lang w:eastAsia="zh-CN"/>
        </w:rPr>
        <w:t xml:space="preserve"> o 10-12 lat oraz zapewnienie długich przeżyć nosicielom mutacji genów </w:t>
      </w:r>
      <w:r w:rsidRPr="0032026D">
        <w:rPr>
          <w:rFonts w:ascii="Times New Roman" w:eastAsia="SimSun" w:hAnsi="Times New Roman" w:cs="Times New Roman"/>
          <w:i/>
          <w:lang w:eastAsia="zh-CN"/>
        </w:rPr>
        <w:t>MLH1, MSH2,</w:t>
      </w:r>
      <w:r w:rsidRPr="0032026D">
        <w:rPr>
          <w:rFonts w:ascii="Times New Roman" w:eastAsia="SimSun" w:hAnsi="Times New Roman" w:cs="Times New Roman"/>
          <w:lang w:eastAsia="zh-CN"/>
        </w:rPr>
        <w:t xml:space="preserve"> </w:t>
      </w:r>
      <w:r w:rsidRPr="0032026D">
        <w:rPr>
          <w:rFonts w:ascii="Times New Roman" w:eastAsia="SimSun" w:hAnsi="Times New Roman" w:cs="Times New Roman"/>
          <w:i/>
          <w:lang w:eastAsia="zh-CN"/>
        </w:rPr>
        <w:t xml:space="preserve">MSH6, PMS2, STK11, SMAD4, BMPR1A, EPCAM </w:t>
      </w:r>
      <w:r w:rsidRPr="0032026D">
        <w:rPr>
          <w:rFonts w:ascii="Times New Roman" w:eastAsia="SimSun" w:hAnsi="Times New Roman" w:cs="Times New Roman"/>
          <w:lang w:eastAsia="zh-CN"/>
        </w:rPr>
        <w:t>i</w:t>
      </w:r>
      <w:r w:rsidRPr="0032026D">
        <w:rPr>
          <w:rFonts w:ascii="Times New Roman" w:eastAsia="SimSun" w:hAnsi="Times New Roman" w:cs="Times New Roman"/>
          <w:i/>
          <w:lang w:eastAsia="zh-CN"/>
        </w:rPr>
        <w:t xml:space="preserve"> MUTYH</w:t>
      </w:r>
      <w:r w:rsidRPr="0032026D">
        <w:rPr>
          <w:rFonts w:ascii="Times New Roman" w:eastAsia="SimSun" w:hAnsi="Times New Roman" w:cs="Times New Roman"/>
          <w:lang w:eastAsia="zh-CN"/>
        </w:rPr>
        <w:t xml:space="preserve">. Wdrożenie programu opieki powinno umożliwić znaczne zwiększenie odsetka wczesnych 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rozpoznań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 nowotworów i wyleczeń.</w:t>
      </w:r>
    </w:p>
    <w:p w:rsidR="0032026D" w:rsidRPr="0032026D" w:rsidRDefault="0032026D" w:rsidP="0032026D">
      <w:pPr>
        <w:spacing w:after="0" w:line="360" w:lineRule="auto"/>
        <w:jc w:val="both"/>
        <w:rPr>
          <w:rFonts w:ascii="Times New Roman" w:eastAsia="SimSun" w:hAnsi="Times New Roman" w:cs="Times New Roman"/>
          <w:b/>
          <w:lang w:eastAsia="zh-CN"/>
        </w:rPr>
      </w:pPr>
      <w:r w:rsidRPr="0032026D">
        <w:rPr>
          <w:rFonts w:ascii="Times New Roman" w:eastAsia="SimSun" w:hAnsi="Times New Roman" w:cs="Times New Roman"/>
          <w:b/>
          <w:lang w:eastAsia="zh-CN"/>
        </w:rPr>
        <w:t xml:space="preserve">Opis: </w:t>
      </w:r>
    </w:p>
    <w:p w:rsidR="0032026D" w:rsidRPr="0032026D" w:rsidRDefault="0032026D" w:rsidP="0032026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 xml:space="preserve">Zidentyfikowanie, na podstawie ankiet osób zdrowych i/lub dokładnych wywiadów rodzinnych, osób z rodzin, w których występuje wysokie ryzyko zachorowania na raka jelita grubego, błony śluzowej trzonu macicy i inne towarzyszące nowotwory; </w:t>
      </w:r>
    </w:p>
    <w:p w:rsidR="0032026D" w:rsidRPr="0032026D" w:rsidRDefault="0032026D" w:rsidP="0032026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 xml:space="preserve">rozpoznanie wśród tych rodzin występowania nosicielstwa mutacji genów najsilniejszych predyspozycji, tj. genów </w:t>
      </w:r>
      <w:r w:rsidRPr="0032026D">
        <w:rPr>
          <w:rFonts w:ascii="Times New Roman" w:eastAsia="SimSun" w:hAnsi="Times New Roman" w:cs="Times New Roman"/>
          <w:i/>
          <w:lang w:eastAsia="zh-CN"/>
        </w:rPr>
        <w:t>APC/MLH1/MSH2/MSH6/PMS2 /STK11/SMAD4/BMPR1A/ MUTYH/EPCAM;</w:t>
      </w:r>
    </w:p>
    <w:p w:rsidR="0032026D" w:rsidRPr="0032026D" w:rsidRDefault="0032026D" w:rsidP="0032026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b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 xml:space="preserve">objęcie członków rodzin, w których występuje wysokie ryzyko zachorowania, programami opieki, obejmującymi okresowe badania 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kolonoskopowe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>, gastroskopowe, USG ginekologiczne, oznaczanie stężeń CA125 w surowicy krwi.</w:t>
      </w:r>
    </w:p>
    <w:p w:rsidR="0032026D" w:rsidRPr="0032026D" w:rsidRDefault="0032026D" w:rsidP="0032026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b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>Pacjentów do programu kwalifikuje lekarz poradni genetycznej na podstawie dokładnego wywiadu rodzinnego (dane o wszystkich krewnych I</w:t>
      </w:r>
      <w:r w:rsidRPr="0032026D">
        <w:rPr>
          <w:rFonts w:ascii="Times New Roman" w:eastAsia="SimSun" w:hAnsi="Times New Roman" w:cs="Times New Roman"/>
          <w:vertAlign w:val="superscript"/>
          <w:lang w:eastAsia="zh-CN"/>
        </w:rPr>
        <w:t>0</w:t>
      </w:r>
      <w:r w:rsidRPr="0032026D">
        <w:rPr>
          <w:rFonts w:ascii="Times New Roman" w:eastAsia="SimSun" w:hAnsi="Times New Roman" w:cs="Times New Roman"/>
          <w:lang w:eastAsia="zh-CN"/>
        </w:rPr>
        <w:t xml:space="preserve"> – wiek 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zachorowań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 i typ/umiejscowienie nowotworów wśród tych krewnych oraz dane krewnych, którzy nie zachorowali na nowotwory; wiek 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zachorowań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 i typ/umiejscowienie nowotworów u wszystkich krewnych II</w:t>
      </w:r>
      <w:r w:rsidRPr="0032026D">
        <w:rPr>
          <w:rFonts w:ascii="Times New Roman" w:eastAsia="SimSun" w:hAnsi="Times New Roman" w:cs="Times New Roman"/>
          <w:vertAlign w:val="superscript"/>
          <w:lang w:eastAsia="zh-CN"/>
        </w:rPr>
        <w:t>0</w:t>
      </w:r>
      <w:r w:rsidRPr="0032026D">
        <w:rPr>
          <w:rFonts w:ascii="Times New Roman" w:eastAsia="SimSun" w:hAnsi="Times New Roman" w:cs="Times New Roman"/>
          <w:lang w:eastAsia="zh-CN"/>
        </w:rPr>
        <w:t xml:space="preserve"> i ewentualnie dalszych stopni). </w:t>
      </w:r>
    </w:p>
    <w:p w:rsidR="0032026D" w:rsidRPr="0032026D" w:rsidRDefault="0032026D" w:rsidP="0032026D">
      <w:p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 xml:space="preserve">Ze względu na zróżnicowane doświadczenie poszczególnych ośrodków wykrywających mutacje w zespołach predyspozycji do nowotworów złośliwych, w których dominuje predyspozycja do rozwoju raka jelita grubego, stosowane są w nich różnorodne protokoły badań. W związku z powyższym, w celu zapewnienia maksymalnej efektywności medycznej i ekonomicznej programu a równocześnie nie wymuszania zmiany protokołów dotychczas stosowanych w ośrodkach, wprowadza się zasadę </w:t>
      </w:r>
      <w:r w:rsidRPr="0032026D">
        <w:rPr>
          <w:rFonts w:ascii="Times New Roman" w:eastAsia="SimSun" w:hAnsi="Times New Roman" w:cs="Times New Roman"/>
          <w:lang w:eastAsia="zh-CN"/>
        </w:rPr>
        <w:lastRenderedPageBreak/>
        <w:t xml:space="preserve">odpłatności jedynie za wykrycie nosicielstwa mutacji </w:t>
      </w:r>
      <w:r w:rsidRPr="0032026D">
        <w:rPr>
          <w:rFonts w:ascii="Times New Roman" w:eastAsia="SimSun" w:hAnsi="Times New Roman" w:cs="Times New Roman"/>
          <w:i/>
          <w:lang w:eastAsia="zh-CN"/>
        </w:rPr>
        <w:t xml:space="preserve">APC, MLH1, MSH2, MSH6, PMS2, STK11, SMAD4, BMPR1A, MUTYH i EPCAM </w:t>
      </w:r>
      <w:r w:rsidRPr="0032026D">
        <w:rPr>
          <w:rFonts w:ascii="Times New Roman" w:eastAsia="SimSun" w:hAnsi="Times New Roman" w:cs="Times New Roman"/>
          <w:lang w:eastAsia="zh-CN"/>
        </w:rPr>
        <w:t>.</w:t>
      </w:r>
    </w:p>
    <w:p w:rsidR="0032026D" w:rsidRPr="0032026D" w:rsidRDefault="0032026D" w:rsidP="0032026D">
      <w:pPr>
        <w:spacing w:after="0" w:line="360" w:lineRule="auto"/>
        <w:jc w:val="both"/>
        <w:rPr>
          <w:rFonts w:ascii="Times New Roman" w:eastAsia="SimSun" w:hAnsi="Times New Roman" w:cs="Times New Roman"/>
          <w:u w:val="single"/>
          <w:lang w:eastAsia="zh-CN"/>
        </w:rPr>
      </w:pPr>
      <w:r w:rsidRPr="0032026D">
        <w:rPr>
          <w:rFonts w:ascii="Times New Roman" w:eastAsia="SimSun" w:hAnsi="Times New Roman" w:cs="Times New Roman"/>
          <w:u w:val="single"/>
          <w:lang w:eastAsia="zh-CN"/>
        </w:rPr>
        <w:t>W ramach programu finansowane są:</w:t>
      </w:r>
    </w:p>
    <w:p w:rsidR="0032026D" w:rsidRPr="0032026D" w:rsidRDefault="0032026D" w:rsidP="0032026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 xml:space="preserve">Wprowadzenie do rejestru - zidentyfikowanie osoby wysokiego ryzyka, pełny opis obciążenia rodzinnego oraz zebranie dodatkowej dokumentacji lekarskiej, a w przypadku zdrowych pacjentów, skierowanie do pierwszego badania 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kolonoskopowego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, oraz (kobiety) na USG ginekologiczne i oznaczenie stężenia CA125 w surowicy krwi,  koordynacja działań podczas identyfikacji nowych osób z grup wysokiego ryzyka. (w tym koszt pracy lekarza i personelu pomocniczego) </w:t>
      </w:r>
    </w:p>
    <w:p w:rsidR="0032026D" w:rsidRPr="0032026D" w:rsidRDefault="0032026D" w:rsidP="0032026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 xml:space="preserve">Wizyta lekarska z wydaniem wyniku konsultacji genetycznej oraz edukacja pacjenta. </w:t>
      </w:r>
    </w:p>
    <w:p w:rsidR="0032026D" w:rsidRPr="0032026D" w:rsidRDefault="0032026D" w:rsidP="0032026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 xml:space="preserve">Ocena ekspresji genów 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mutatorowych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 w rakach jelita grubego rozpoznanych u pacjentów poniżej 60 r.ż.</w:t>
      </w:r>
    </w:p>
    <w:p w:rsidR="0032026D" w:rsidRPr="0032026D" w:rsidRDefault="0032026D" w:rsidP="0032026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 xml:space="preserve">Koszt wykrycia nosiciela mutacji </w:t>
      </w:r>
      <w:r w:rsidRPr="0032026D">
        <w:rPr>
          <w:rFonts w:ascii="Times New Roman" w:eastAsia="SimSun" w:hAnsi="Times New Roman" w:cs="Times New Roman"/>
          <w:i/>
          <w:lang w:eastAsia="zh-CN"/>
        </w:rPr>
        <w:t xml:space="preserve">APC, MLH1, MSH2, MSH6, PMS2, STK11, SMAD4, BMPR1A, MUTYH i EPCAM </w:t>
      </w:r>
    </w:p>
    <w:p w:rsidR="0032026D" w:rsidRPr="0032026D" w:rsidRDefault="0032026D" w:rsidP="0032026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 xml:space="preserve">Wykrycie jednego nosiciela/ki </w:t>
      </w:r>
      <w:r w:rsidRPr="0032026D">
        <w:rPr>
          <w:rFonts w:ascii="Times New Roman" w:eastAsia="SimSun" w:hAnsi="Times New Roman" w:cs="Times New Roman"/>
          <w:i/>
          <w:lang w:eastAsia="zh-CN"/>
        </w:rPr>
        <w:t>APC, MLH1, MSH2, MSH6, PMS2, STK11, SMAD4, BMPR1A, MUTYH i EPCAM</w:t>
      </w:r>
      <w:r w:rsidRPr="0032026D">
        <w:rPr>
          <w:rFonts w:ascii="Times New Roman" w:eastAsia="SimSun" w:hAnsi="Times New Roman" w:cs="Times New Roman"/>
          <w:lang w:eastAsia="zh-CN"/>
        </w:rPr>
        <w:t xml:space="preserve"> zawiera całkowity koszt badań (w tym takich jak: molekularne, immunohistochemiczne czy ocena niestabilności 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mikrosatelitarnej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>).</w:t>
      </w:r>
    </w:p>
    <w:p w:rsidR="0032026D" w:rsidRPr="0032026D" w:rsidRDefault="0032026D" w:rsidP="0032026D">
      <w:p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>Dodatkowe koszty opieki nad pacjentką/pacjentem:</w:t>
      </w:r>
    </w:p>
    <w:p w:rsidR="0032026D" w:rsidRPr="0032026D" w:rsidRDefault="0032026D" w:rsidP="0032026D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 xml:space="preserve">Coroczna konsultacja lekarska, skierowanie na badania, koordynacja opieki (w tym koszt pracy lekarza i personelu pomocniczego). </w:t>
      </w:r>
    </w:p>
    <w:p w:rsidR="0032026D" w:rsidRPr="0032026D" w:rsidRDefault="0032026D" w:rsidP="0032026D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proofErr w:type="spellStart"/>
      <w:r w:rsidRPr="0032026D">
        <w:rPr>
          <w:rFonts w:ascii="Times New Roman" w:eastAsia="SimSun" w:hAnsi="Times New Roman" w:cs="Times New Roman"/>
          <w:lang w:eastAsia="zh-CN"/>
        </w:rPr>
        <w:t>Kolonoskopia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 (w tym koszt znieczulenia</w:t>
      </w:r>
      <w:r w:rsidR="004F5859">
        <w:rPr>
          <w:rFonts w:ascii="Times New Roman" w:eastAsia="SimSun" w:hAnsi="Times New Roman" w:cs="Times New Roman"/>
          <w:lang w:eastAsia="zh-CN"/>
        </w:rPr>
        <w:t>/sedacji</w:t>
      </w:r>
      <w:r w:rsidRPr="0032026D">
        <w:rPr>
          <w:rFonts w:ascii="Times New Roman" w:eastAsia="SimSun" w:hAnsi="Times New Roman" w:cs="Times New Roman"/>
          <w:lang w:eastAsia="zh-CN"/>
        </w:rPr>
        <w:t>).</w:t>
      </w:r>
    </w:p>
    <w:p w:rsidR="004F5859" w:rsidRPr="004F5859" w:rsidRDefault="004F5859" w:rsidP="004F5859">
      <w:p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proofErr w:type="spellStart"/>
      <w:r w:rsidRPr="004F5859">
        <w:rPr>
          <w:rFonts w:ascii="Times New Roman" w:eastAsia="SimSun" w:hAnsi="Times New Roman" w:cs="Times New Roman"/>
          <w:lang w:eastAsia="zh-CN"/>
        </w:rPr>
        <w:t>Kolonoskopię</w:t>
      </w:r>
      <w:proofErr w:type="spellEnd"/>
      <w:r w:rsidRPr="004F5859">
        <w:rPr>
          <w:rFonts w:ascii="Times New Roman" w:eastAsia="SimSun" w:hAnsi="Times New Roman" w:cs="Times New Roman"/>
          <w:lang w:eastAsia="zh-CN"/>
        </w:rPr>
        <w:t xml:space="preserve"> rutynowo wykonuje się w tzw. „znieczuleniu miejscowym”, co polega na miejscowym użyciu żelu znieczulającego dla zniesienia negatywnych odczuć w obrębie odbytu. Za </w:t>
      </w:r>
      <w:proofErr w:type="spellStart"/>
      <w:r w:rsidRPr="004F5859">
        <w:rPr>
          <w:rFonts w:ascii="Times New Roman" w:eastAsia="SimSun" w:hAnsi="Times New Roman" w:cs="Times New Roman"/>
          <w:lang w:eastAsia="zh-CN"/>
        </w:rPr>
        <w:t>kolonoskopię</w:t>
      </w:r>
      <w:proofErr w:type="spellEnd"/>
      <w:r w:rsidRPr="004F5859">
        <w:rPr>
          <w:rFonts w:ascii="Times New Roman" w:eastAsia="SimSun" w:hAnsi="Times New Roman" w:cs="Times New Roman"/>
          <w:lang w:eastAsia="zh-CN"/>
        </w:rPr>
        <w:t xml:space="preserve"> w sedacji uznaje się badanie w trakcie, którego podawane są leki mające na celu zmniejszyć dyskomfort pacjenta związany z </w:t>
      </w:r>
      <w:proofErr w:type="spellStart"/>
      <w:r w:rsidRPr="004F5859">
        <w:rPr>
          <w:rFonts w:ascii="Times New Roman" w:eastAsia="SimSun" w:hAnsi="Times New Roman" w:cs="Times New Roman"/>
          <w:lang w:eastAsia="zh-CN"/>
        </w:rPr>
        <w:t>kolonoskopią</w:t>
      </w:r>
      <w:proofErr w:type="spellEnd"/>
      <w:r w:rsidRPr="004F5859">
        <w:rPr>
          <w:rFonts w:ascii="Times New Roman" w:eastAsia="SimSun" w:hAnsi="Times New Roman" w:cs="Times New Roman"/>
          <w:lang w:eastAsia="zh-CN"/>
        </w:rPr>
        <w:t xml:space="preserve"> (</w:t>
      </w:r>
      <w:proofErr w:type="spellStart"/>
      <w:r w:rsidRPr="004F5859">
        <w:rPr>
          <w:rFonts w:ascii="Times New Roman" w:eastAsia="SimSun" w:hAnsi="Times New Roman" w:cs="Times New Roman"/>
          <w:lang w:eastAsia="zh-CN"/>
        </w:rPr>
        <w:t>Propofol</w:t>
      </w:r>
      <w:proofErr w:type="spellEnd"/>
      <w:r w:rsidRPr="004F5859">
        <w:rPr>
          <w:rFonts w:ascii="Times New Roman" w:eastAsia="SimSun" w:hAnsi="Times New Roman" w:cs="Times New Roman"/>
          <w:lang w:eastAsia="zh-CN"/>
        </w:rPr>
        <w:t xml:space="preserve"> albo co najmniej jeden lek sedatywny i co najmniej jeden lek przeciwbólowy albo preparat wziewny na bazie podtlenku azotu np. </w:t>
      </w:r>
      <w:proofErr w:type="spellStart"/>
      <w:r w:rsidRPr="004F5859">
        <w:rPr>
          <w:rFonts w:ascii="Times New Roman" w:eastAsia="SimSun" w:hAnsi="Times New Roman" w:cs="Times New Roman"/>
          <w:lang w:eastAsia="zh-CN"/>
        </w:rPr>
        <w:t>Entonox</w:t>
      </w:r>
      <w:proofErr w:type="spellEnd"/>
      <w:r w:rsidRPr="004F5859">
        <w:rPr>
          <w:rFonts w:ascii="Times New Roman" w:eastAsia="SimSun" w:hAnsi="Times New Roman" w:cs="Times New Roman"/>
          <w:lang w:eastAsia="zh-CN"/>
        </w:rPr>
        <w:t xml:space="preserve">) a pacjent jest monitorowany przez dodatkową, przeszkoloną osobę (anestezjolog lub dodatkowy przeszkolony lekarz, lub pielęgniarka po odbyciu dodatkowego kursu z anestezjologii) z udziałem dodatkowego sprzętu monitorującego (co najmniej </w:t>
      </w:r>
      <w:proofErr w:type="spellStart"/>
      <w:r w:rsidRPr="004F5859">
        <w:rPr>
          <w:rFonts w:ascii="Times New Roman" w:eastAsia="SimSun" w:hAnsi="Times New Roman" w:cs="Times New Roman"/>
          <w:lang w:eastAsia="zh-CN"/>
        </w:rPr>
        <w:t>pulsoksymetr</w:t>
      </w:r>
      <w:proofErr w:type="spellEnd"/>
      <w:r w:rsidRPr="004F5859">
        <w:rPr>
          <w:rFonts w:ascii="Times New Roman" w:eastAsia="SimSun" w:hAnsi="Times New Roman" w:cs="Times New Roman"/>
          <w:lang w:eastAsia="zh-CN"/>
        </w:rPr>
        <w:t xml:space="preserve"> z funkcją monitorowania tętna i </w:t>
      </w:r>
      <w:proofErr w:type="spellStart"/>
      <w:r w:rsidRPr="004F5859">
        <w:rPr>
          <w:rFonts w:ascii="Times New Roman" w:eastAsia="SimSun" w:hAnsi="Times New Roman" w:cs="Times New Roman"/>
          <w:lang w:eastAsia="zh-CN"/>
        </w:rPr>
        <w:t>sfingomanometr</w:t>
      </w:r>
      <w:proofErr w:type="spellEnd"/>
      <w:r w:rsidRPr="004F5859">
        <w:rPr>
          <w:rFonts w:ascii="Times New Roman" w:eastAsia="SimSun" w:hAnsi="Times New Roman" w:cs="Times New Roman"/>
          <w:lang w:eastAsia="zh-CN"/>
        </w:rPr>
        <w:t xml:space="preserve">). Optymalnym lekiem do stosowania w sedacji do </w:t>
      </w:r>
      <w:proofErr w:type="spellStart"/>
      <w:r w:rsidRPr="004F5859">
        <w:rPr>
          <w:rFonts w:ascii="Times New Roman" w:eastAsia="SimSun" w:hAnsi="Times New Roman" w:cs="Times New Roman"/>
          <w:lang w:eastAsia="zh-CN"/>
        </w:rPr>
        <w:t>kolonoskopii</w:t>
      </w:r>
      <w:proofErr w:type="spellEnd"/>
      <w:r w:rsidRPr="004F5859">
        <w:rPr>
          <w:rFonts w:ascii="Times New Roman" w:eastAsia="SimSun" w:hAnsi="Times New Roman" w:cs="Times New Roman"/>
          <w:lang w:eastAsia="zh-CN"/>
        </w:rPr>
        <w:t xml:space="preserve"> jest </w:t>
      </w:r>
      <w:proofErr w:type="spellStart"/>
      <w:r w:rsidRPr="004F5859">
        <w:rPr>
          <w:rFonts w:ascii="Times New Roman" w:eastAsia="SimSun" w:hAnsi="Times New Roman" w:cs="Times New Roman"/>
          <w:lang w:eastAsia="zh-CN"/>
        </w:rPr>
        <w:t>Propofol</w:t>
      </w:r>
      <w:proofErr w:type="spellEnd"/>
      <w:r w:rsidRPr="004F5859">
        <w:rPr>
          <w:rFonts w:ascii="Times New Roman" w:eastAsia="SimSun" w:hAnsi="Times New Roman" w:cs="Times New Roman"/>
          <w:lang w:eastAsia="zh-CN"/>
        </w:rPr>
        <w:t xml:space="preserve">, który zgodnie z aktualnymi przepisami może być podawany jedynie przez personel anestezjologiczny. Możliwe jest podawanie jedynie zestawu dwóch leków na przykład </w:t>
      </w:r>
      <w:proofErr w:type="spellStart"/>
      <w:r w:rsidRPr="004F5859">
        <w:rPr>
          <w:rFonts w:ascii="Times New Roman" w:eastAsia="SimSun" w:hAnsi="Times New Roman" w:cs="Times New Roman"/>
          <w:lang w:eastAsia="zh-CN"/>
        </w:rPr>
        <w:t>midazolamu</w:t>
      </w:r>
      <w:proofErr w:type="spellEnd"/>
      <w:r w:rsidRPr="004F5859">
        <w:rPr>
          <w:rFonts w:ascii="Times New Roman" w:eastAsia="SimSun" w:hAnsi="Times New Roman" w:cs="Times New Roman"/>
          <w:lang w:eastAsia="zh-CN"/>
        </w:rPr>
        <w:t xml:space="preserve"> (lek sedatywny) i fentanylu (lek przeciwbólowy) lub innego zestawu leków  (w tym wziewnego preparatu zawierającego podtlenek azotu) wśród, których nie ma </w:t>
      </w:r>
      <w:proofErr w:type="spellStart"/>
      <w:r w:rsidRPr="004F5859">
        <w:rPr>
          <w:rFonts w:ascii="Times New Roman" w:eastAsia="SimSun" w:hAnsi="Times New Roman" w:cs="Times New Roman"/>
          <w:lang w:eastAsia="zh-CN"/>
        </w:rPr>
        <w:t>Propofolu</w:t>
      </w:r>
      <w:proofErr w:type="spellEnd"/>
      <w:r w:rsidRPr="004F5859">
        <w:rPr>
          <w:rFonts w:ascii="Times New Roman" w:eastAsia="SimSun" w:hAnsi="Times New Roman" w:cs="Times New Roman"/>
          <w:lang w:eastAsia="zh-CN"/>
        </w:rPr>
        <w:t xml:space="preserve">, ale aby uznać dane badanie </w:t>
      </w:r>
      <w:proofErr w:type="spellStart"/>
      <w:r w:rsidRPr="004F5859">
        <w:rPr>
          <w:rFonts w:ascii="Times New Roman" w:eastAsia="SimSun" w:hAnsi="Times New Roman" w:cs="Times New Roman"/>
          <w:lang w:eastAsia="zh-CN"/>
        </w:rPr>
        <w:t>kolonoskopowe</w:t>
      </w:r>
      <w:proofErr w:type="spellEnd"/>
      <w:r w:rsidRPr="004F5859">
        <w:rPr>
          <w:rFonts w:ascii="Times New Roman" w:eastAsia="SimSun" w:hAnsi="Times New Roman" w:cs="Times New Roman"/>
          <w:lang w:eastAsia="zh-CN"/>
        </w:rPr>
        <w:t xml:space="preserve">  za badanie w sedacji (dla potrzeb Programu) konieczne jest monitorowanie przez dodatkową osobę i odpowiedni sprzęt monitorujący (jak wyżej).</w:t>
      </w:r>
    </w:p>
    <w:p w:rsidR="0032026D" w:rsidRPr="0032026D" w:rsidRDefault="0032026D" w:rsidP="0032026D">
      <w:p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>Wykonania badania w znieczuleniu/sedacji zalecane jest osobom:</w:t>
      </w:r>
    </w:p>
    <w:p w:rsidR="0032026D" w:rsidRPr="0032026D" w:rsidRDefault="0032026D" w:rsidP="0032026D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lastRenderedPageBreak/>
        <w:t>po przebytych rozległych operacjach w obrębie jamy brzusznej, zwłaszcza operacjach ginekologicznych, w tym cięciach cesarskich i operacjach będących wynikiem powikłań medycznych,</w:t>
      </w:r>
    </w:p>
    <w:p w:rsidR="0032026D" w:rsidRPr="0032026D" w:rsidRDefault="0032026D" w:rsidP="0032026D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>po niepełnych lub bardzo bolesnych badaniach endoskopowych jelita grubego w przeszłości,</w:t>
      </w:r>
    </w:p>
    <w:p w:rsidR="0032026D" w:rsidRPr="0032026D" w:rsidRDefault="0032026D" w:rsidP="0032026D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>zgłaszającym administracji ośrodka duży lęk przed wykonaniem badania.</w:t>
      </w:r>
    </w:p>
    <w:p w:rsidR="0032026D" w:rsidRDefault="0032026D" w:rsidP="0032026D">
      <w:p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 xml:space="preserve">W koszcie znieczulenia należy uwzględnić koszt wykonania ewentualnych badań diagnostycznych, potrzebnych do wykonania badania 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kolonoskopowego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 w znieczuleniu.</w:t>
      </w:r>
    </w:p>
    <w:p w:rsidR="004F5859" w:rsidRDefault="004F5859" w:rsidP="0032026D">
      <w:p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4F5859">
        <w:rPr>
          <w:rFonts w:ascii="Times New Roman" w:eastAsia="SimSun" w:hAnsi="Times New Roman" w:cs="Times New Roman"/>
          <w:lang w:eastAsia="zh-CN"/>
        </w:rPr>
        <w:t xml:space="preserve">Badanie </w:t>
      </w:r>
      <w:proofErr w:type="spellStart"/>
      <w:r w:rsidRPr="004F5859">
        <w:rPr>
          <w:rFonts w:ascii="Times New Roman" w:eastAsia="SimSun" w:hAnsi="Times New Roman" w:cs="Times New Roman"/>
          <w:lang w:eastAsia="zh-CN"/>
        </w:rPr>
        <w:t>kolonoskopowe</w:t>
      </w:r>
      <w:proofErr w:type="spellEnd"/>
      <w:r w:rsidRPr="004F5859">
        <w:rPr>
          <w:rFonts w:ascii="Times New Roman" w:eastAsia="SimSun" w:hAnsi="Times New Roman" w:cs="Times New Roman"/>
          <w:lang w:eastAsia="zh-CN"/>
        </w:rPr>
        <w:t xml:space="preserve"> wykonane i rozliczone w ramach tego zadania, nie może być jednocześnie wykonywane i rozliczane w ramach </w:t>
      </w:r>
      <w:r>
        <w:rPr>
          <w:rFonts w:ascii="Times New Roman" w:eastAsia="SimSun" w:hAnsi="Times New Roman" w:cs="Times New Roman"/>
          <w:lang w:eastAsia="zh-CN"/>
        </w:rPr>
        <w:t>„</w:t>
      </w:r>
      <w:r w:rsidRPr="004F5859">
        <w:rPr>
          <w:rFonts w:ascii="Times New Roman" w:eastAsia="SimSun" w:hAnsi="Times New Roman" w:cs="Times New Roman"/>
          <w:lang w:eastAsia="zh-CN"/>
        </w:rPr>
        <w:t>Programu badań przesiewowych raka jelita grubego</w:t>
      </w:r>
      <w:r>
        <w:rPr>
          <w:rFonts w:ascii="Times New Roman" w:eastAsia="SimSun" w:hAnsi="Times New Roman" w:cs="Times New Roman"/>
          <w:lang w:eastAsia="zh-CN"/>
        </w:rPr>
        <w:t>”</w:t>
      </w:r>
      <w:r w:rsidRPr="004F5859">
        <w:rPr>
          <w:rFonts w:ascii="Times New Roman" w:eastAsia="SimSun" w:hAnsi="Times New Roman" w:cs="Times New Roman"/>
          <w:lang w:eastAsia="zh-CN"/>
        </w:rPr>
        <w:t xml:space="preserve"> i/lub w ramach kontraktu z NFZ (tj. podwójnie finansowane).</w:t>
      </w:r>
    </w:p>
    <w:p w:rsidR="0032026D" w:rsidRPr="0032026D" w:rsidRDefault="0032026D" w:rsidP="0032026D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>USG ginekologiczne.</w:t>
      </w:r>
    </w:p>
    <w:p w:rsidR="0032026D" w:rsidRPr="0032026D" w:rsidRDefault="0032026D" w:rsidP="0032026D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>Oznaczenie stężenia CA125,</w:t>
      </w:r>
    </w:p>
    <w:p w:rsidR="0032026D" w:rsidRPr="0032026D" w:rsidRDefault="0032026D" w:rsidP="0032026D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>Dodatkowa wizyta konsultacyjna.</w:t>
      </w:r>
    </w:p>
    <w:p w:rsidR="0032026D" w:rsidRPr="0032026D" w:rsidRDefault="0032026D" w:rsidP="0032026D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 xml:space="preserve">Dla rodzin z zespołem 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Peutza-Jeghersa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 dodatkowo zalecane jest:</w:t>
      </w:r>
    </w:p>
    <w:p w:rsidR="0032026D" w:rsidRPr="0032026D" w:rsidRDefault="0032026D" w:rsidP="0032026D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>USG i/lub mammografia i/lub MRI piersi.</w:t>
      </w:r>
    </w:p>
    <w:p w:rsidR="0032026D" w:rsidRPr="0032026D" w:rsidRDefault="0032026D" w:rsidP="0032026D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>Badanie jelita cienkiego (pasaż jelita cienkiego).</w:t>
      </w:r>
    </w:p>
    <w:p w:rsidR="0032026D" w:rsidRPr="0032026D" w:rsidRDefault="0032026D" w:rsidP="0032026D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>USG jamy brzusznej.</w:t>
      </w:r>
    </w:p>
    <w:p w:rsidR="0032026D" w:rsidRDefault="0032026D" w:rsidP="0032026D">
      <w:p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>Badania dla rodzin z zespołem JPS finansowane są w ramach AOS ze środków NFZ.</w:t>
      </w:r>
    </w:p>
    <w:p w:rsidR="004A6925" w:rsidRPr="00A3283D" w:rsidRDefault="004A6925" w:rsidP="004A6925">
      <w:p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56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Maksymalne ceny jednostkowe proponowane przez Ministra Zdrowia dla poszczególnych zadań:</w:t>
      </w:r>
    </w:p>
    <w:p w:rsidR="004A6925" w:rsidRDefault="004A6925" w:rsidP="0032026D">
      <w:p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6941"/>
        <w:gridCol w:w="2268"/>
      </w:tblGrid>
      <w:tr w:rsidR="003A56E1" w:rsidRPr="003A56E1" w:rsidTr="003A56E1">
        <w:trPr>
          <w:trHeight w:val="379"/>
        </w:trPr>
        <w:tc>
          <w:tcPr>
            <w:tcW w:w="6941" w:type="dxa"/>
            <w:vMerge w:val="restart"/>
            <w:hideMark/>
          </w:tcPr>
          <w:p w:rsidR="003A56E1" w:rsidRPr="003A56E1" w:rsidRDefault="003A56E1" w:rsidP="003A56E1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3A56E1">
              <w:rPr>
                <w:rFonts w:ascii="Times New Roman" w:eastAsia="SimSun" w:hAnsi="Times New Roman" w:cs="Times New Roman"/>
                <w:bCs/>
                <w:lang w:eastAsia="zh-CN"/>
              </w:rPr>
              <w:t>Nazwa</w:t>
            </w:r>
          </w:p>
        </w:tc>
        <w:tc>
          <w:tcPr>
            <w:tcW w:w="2268" w:type="dxa"/>
            <w:vMerge w:val="restart"/>
            <w:hideMark/>
          </w:tcPr>
          <w:p w:rsidR="003A56E1" w:rsidRPr="003A56E1" w:rsidRDefault="003A56E1" w:rsidP="003A56E1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lang w:eastAsia="zh-CN"/>
              </w:rPr>
              <w:t>Maksymalna cena jednostkowa (w zł)</w:t>
            </w:r>
            <w:r w:rsidRPr="003A56E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</w:t>
            </w:r>
          </w:p>
        </w:tc>
      </w:tr>
      <w:tr w:rsidR="003A56E1" w:rsidRPr="003A56E1" w:rsidTr="003A56E1">
        <w:trPr>
          <w:trHeight w:val="450"/>
        </w:trPr>
        <w:tc>
          <w:tcPr>
            <w:tcW w:w="6941" w:type="dxa"/>
            <w:vMerge/>
            <w:hideMark/>
          </w:tcPr>
          <w:p w:rsidR="003A56E1" w:rsidRPr="003A56E1" w:rsidRDefault="003A56E1" w:rsidP="003A56E1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</w:tc>
        <w:tc>
          <w:tcPr>
            <w:tcW w:w="2268" w:type="dxa"/>
            <w:vMerge/>
            <w:hideMark/>
          </w:tcPr>
          <w:p w:rsidR="003A56E1" w:rsidRPr="003A56E1" w:rsidRDefault="003A56E1" w:rsidP="003A56E1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</w:tc>
      </w:tr>
      <w:tr w:rsidR="003A56E1" w:rsidRPr="003A56E1" w:rsidTr="003A56E1">
        <w:trPr>
          <w:trHeight w:val="503"/>
        </w:trPr>
        <w:tc>
          <w:tcPr>
            <w:tcW w:w="6941" w:type="dxa"/>
            <w:hideMark/>
          </w:tcPr>
          <w:p w:rsidR="003A56E1" w:rsidRPr="003A56E1" w:rsidRDefault="003A56E1" w:rsidP="003A56E1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A56E1">
              <w:rPr>
                <w:rFonts w:ascii="Times New Roman" w:eastAsia="SimSun" w:hAnsi="Times New Roman" w:cs="Times New Roman"/>
                <w:lang w:eastAsia="zh-CN"/>
              </w:rPr>
              <w:t>zidentyfikowanie jednej osoby z rodziny wysokiego ryzyka, opis obciążenia i  wprowadzenie do rejestru; koszt koordynacji działań</w:t>
            </w:r>
          </w:p>
        </w:tc>
        <w:tc>
          <w:tcPr>
            <w:tcW w:w="2268" w:type="dxa"/>
            <w:vAlign w:val="center"/>
            <w:hideMark/>
          </w:tcPr>
          <w:p w:rsidR="003A56E1" w:rsidRPr="003A56E1" w:rsidRDefault="003A56E1" w:rsidP="003A56E1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A56E1">
              <w:rPr>
                <w:rFonts w:ascii="Times New Roman" w:eastAsia="SimSun" w:hAnsi="Times New Roman" w:cs="Times New Roman"/>
                <w:lang w:eastAsia="zh-CN"/>
              </w:rPr>
              <w:t>118,00</w:t>
            </w:r>
          </w:p>
        </w:tc>
      </w:tr>
      <w:tr w:rsidR="003A56E1" w:rsidRPr="003A56E1" w:rsidTr="003A56E1">
        <w:trPr>
          <w:trHeight w:val="990"/>
        </w:trPr>
        <w:tc>
          <w:tcPr>
            <w:tcW w:w="6941" w:type="dxa"/>
            <w:hideMark/>
          </w:tcPr>
          <w:p w:rsidR="003A56E1" w:rsidRPr="003A56E1" w:rsidRDefault="003A56E1" w:rsidP="003A56E1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A56E1">
              <w:rPr>
                <w:rFonts w:ascii="Times New Roman" w:eastAsia="SimSun" w:hAnsi="Times New Roman" w:cs="Times New Roman"/>
                <w:lang w:eastAsia="zh-CN"/>
              </w:rPr>
              <w:t>wizyta lekarska z wydaniem wyniku konsultacji genetycznej oraz edukacją pacjenta</w:t>
            </w:r>
          </w:p>
        </w:tc>
        <w:tc>
          <w:tcPr>
            <w:tcW w:w="2268" w:type="dxa"/>
            <w:vAlign w:val="center"/>
            <w:hideMark/>
          </w:tcPr>
          <w:p w:rsidR="003A56E1" w:rsidRPr="003A56E1" w:rsidRDefault="003A56E1" w:rsidP="003A56E1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A56E1">
              <w:rPr>
                <w:rFonts w:ascii="Times New Roman" w:eastAsia="SimSun" w:hAnsi="Times New Roman" w:cs="Times New Roman"/>
                <w:lang w:eastAsia="zh-CN"/>
              </w:rPr>
              <w:t>50,00</w:t>
            </w:r>
          </w:p>
        </w:tc>
      </w:tr>
      <w:tr w:rsidR="003A56E1" w:rsidRPr="003A56E1" w:rsidTr="000608D5">
        <w:trPr>
          <w:trHeight w:val="1152"/>
        </w:trPr>
        <w:tc>
          <w:tcPr>
            <w:tcW w:w="6941" w:type="dxa"/>
            <w:hideMark/>
          </w:tcPr>
          <w:p w:rsidR="003A56E1" w:rsidRPr="003A56E1" w:rsidRDefault="003A56E1" w:rsidP="003A56E1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A56E1">
              <w:rPr>
                <w:rFonts w:ascii="Times New Roman" w:eastAsia="SimSun" w:hAnsi="Times New Roman" w:cs="Times New Roman"/>
                <w:lang w:eastAsia="zh-CN"/>
              </w:rPr>
              <w:t xml:space="preserve">ocena ekspresji genów </w:t>
            </w:r>
            <w:r w:rsidRPr="003A56E1">
              <w:rPr>
                <w:rFonts w:ascii="Times New Roman" w:eastAsia="SimSun" w:hAnsi="Times New Roman" w:cs="Times New Roman"/>
                <w:i/>
                <w:iCs/>
                <w:lang w:eastAsia="zh-CN"/>
              </w:rPr>
              <w:t xml:space="preserve">MLH1, MSH2, MSH6, PMS2 </w:t>
            </w:r>
            <w:r w:rsidRPr="003A56E1">
              <w:rPr>
                <w:rFonts w:ascii="Times New Roman" w:eastAsia="SimSun" w:hAnsi="Times New Roman" w:cs="Times New Roman"/>
                <w:lang w:eastAsia="zh-CN"/>
              </w:rPr>
              <w:t xml:space="preserve">w tkance nowo (w ciągu roku od diagnozy) rozpoznanych raków jelita grubego u pacjentów przed 60 rokiem życia </w:t>
            </w:r>
          </w:p>
        </w:tc>
        <w:tc>
          <w:tcPr>
            <w:tcW w:w="2268" w:type="dxa"/>
            <w:vAlign w:val="center"/>
            <w:hideMark/>
          </w:tcPr>
          <w:p w:rsidR="003A56E1" w:rsidRPr="003A56E1" w:rsidRDefault="003A56E1" w:rsidP="003A56E1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A56E1">
              <w:rPr>
                <w:rFonts w:ascii="Times New Roman" w:eastAsia="SimSun" w:hAnsi="Times New Roman" w:cs="Times New Roman"/>
                <w:lang w:eastAsia="zh-CN"/>
              </w:rPr>
              <w:t>325,00</w:t>
            </w:r>
          </w:p>
        </w:tc>
      </w:tr>
      <w:tr w:rsidR="003A56E1" w:rsidRPr="003A56E1" w:rsidTr="000608D5">
        <w:trPr>
          <w:trHeight w:val="1503"/>
        </w:trPr>
        <w:tc>
          <w:tcPr>
            <w:tcW w:w="6941" w:type="dxa"/>
            <w:hideMark/>
          </w:tcPr>
          <w:p w:rsidR="003A56E1" w:rsidRPr="003A56E1" w:rsidRDefault="003A56E1" w:rsidP="003A56E1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A56E1">
              <w:rPr>
                <w:rFonts w:ascii="Times New Roman" w:eastAsia="SimSun" w:hAnsi="Times New Roman" w:cs="Times New Roman"/>
                <w:lang w:eastAsia="zh-CN"/>
              </w:rPr>
              <w:t xml:space="preserve">koszt wykrycia jednego nosiciela/ki </w:t>
            </w:r>
            <w:r w:rsidRPr="003A56E1">
              <w:rPr>
                <w:rFonts w:ascii="Times New Roman" w:eastAsia="SimSun" w:hAnsi="Times New Roman" w:cs="Times New Roman"/>
                <w:i/>
                <w:iCs/>
                <w:lang w:eastAsia="zh-CN"/>
              </w:rPr>
              <w:t>APC</w:t>
            </w:r>
            <w:r w:rsidRPr="003A56E1">
              <w:rPr>
                <w:rFonts w:ascii="Times New Roman" w:eastAsia="SimSun" w:hAnsi="Times New Roman" w:cs="Times New Roman"/>
                <w:lang w:eastAsia="zh-CN"/>
              </w:rPr>
              <w:t xml:space="preserve"> i/lub </w:t>
            </w:r>
            <w:r w:rsidRPr="003A56E1">
              <w:rPr>
                <w:rFonts w:ascii="Times New Roman" w:eastAsia="SimSun" w:hAnsi="Times New Roman" w:cs="Times New Roman"/>
                <w:i/>
                <w:iCs/>
                <w:lang w:eastAsia="zh-CN"/>
              </w:rPr>
              <w:t>MLH1, MSH2,  MSH6, PMS2, STK11, SMAD4, BMPR1A, EPCAM  i MUTYH</w:t>
            </w:r>
            <w:r w:rsidRPr="003A56E1">
              <w:rPr>
                <w:rFonts w:ascii="Times New Roman" w:eastAsia="SimSun" w:hAnsi="Times New Roman" w:cs="Times New Roman"/>
                <w:lang w:eastAsia="zh-CN"/>
              </w:rPr>
              <w:t xml:space="preserve">;  zawiera całkowity koszt badań (w tym takich jak: molekularne, immunohistochemiczne czy niestabilność </w:t>
            </w:r>
            <w:proofErr w:type="spellStart"/>
            <w:r w:rsidRPr="003A56E1">
              <w:rPr>
                <w:rFonts w:ascii="Times New Roman" w:eastAsia="SimSun" w:hAnsi="Times New Roman" w:cs="Times New Roman"/>
                <w:lang w:eastAsia="zh-CN"/>
              </w:rPr>
              <w:t>mikrosatelitarna</w:t>
            </w:r>
            <w:proofErr w:type="spellEnd"/>
            <w:r w:rsidRPr="003A56E1">
              <w:rPr>
                <w:rFonts w:ascii="Times New Roman" w:eastAsia="SimSun" w:hAnsi="Times New Roman" w:cs="Times New Roman"/>
                <w:lang w:eastAsia="zh-CN"/>
              </w:rPr>
              <w:t>)</w:t>
            </w:r>
          </w:p>
        </w:tc>
        <w:tc>
          <w:tcPr>
            <w:tcW w:w="2268" w:type="dxa"/>
            <w:vAlign w:val="center"/>
            <w:hideMark/>
          </w:tcPr>
          <w:p w:rsidR="003A56E1" w:rsidRPr="003A56E1" w:rsidRDefault="003A56E1" w:rsidP="003A56E1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A56E1">
              <w:rPr>
                <w:rFonts w:ascii="Times New Roman" w:eastAsia="SimSun" w:hAnsi="Times New Roman" w:cs="Times New Roman"/>
                <w:lang w:eastAsia="zh-CN"/>
              </w:rPr>
              <w:t>6 540,00</w:t>
            </w:r>
          </w:p>
        </w:tc>
      </w:tr>
      <w:tr w:rsidR="003A56E1" w:rsidRPr="003A56E1" w:rsidTr="003A56E1">
        <w:trPr>
          <w:trHeight w:val="720"/>
        </w:trPr>
        <w:tc>
          <w:tcPr>
            <w:tcW w:w="6941" w:type="dxa"/>
            <w:hideMark/>
          </w:tcPr>
          <w:p w:rsidR="003A56E1" w:rsidRPr="003A56E1" w:rsidRDefault="003A56E1" w:rsidP="003A56E1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A56E1">
              <w:rPr>
                <w:rFonts w:ascii="Times New Roman" w:eastAsia="SimSun" w:hAnsi="Times New Roman" w:cs="Times New Roman"/>
                <w:lang w:eastAsia="zh-CN"/>
              </w:rPr>
              <w:lastRenderedPageBreak/>
              <w:t>coroczna konsultacja lekarska, skierowanie do badań; koszt koordynacji opieki</w:t>
            </w:r>
          </w:p>
        </w:tc>
        <w:tc>
          <w:tcPr>
            <w:tcW w:w="2268" w:type="dxa"/>
            <w:vAlign w:val="center"/>
            <w:hideMark/>
          </w:tcPr>
          <w:p w:rsidR="003A56E1" w:rsidRPr="003A56E1" w:rsidRDefault="003A56E1" w:rsidP="003A56E1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A56E1">
              <w:rPr>
                <w:rFonts w:ascii="Times New Roman" w:eastAsia="SimSun" w:hAnsi="Times New Roman" w:cs="Times New Roman"/>
                <w:lang w:eastAsia="zh-CN"/>
              </w:rPr>
              <w:t>102,00</w:t>
            </w:r>
          </w:p>
        </w:tc>
      </w:tr>
      <w:tr w:rsidR="003A56E1" w:rsidRPr="003A56E1" w:rsidTr="000608D5">
        <w:trPr>
          <w:trHeight w:val="544"/>
        </w:trPr>
        <w:tc>
          <w:tcPr>
            <w:tcW w:w="6941" w:type="dxa"/>
            <w:hideMark/>
          </w:tcPr>
          <w:p w:rsidR="003A56E1" w:rsidRPr="003A56E1" w:rsidRDefault="003A56E1" w:rsidP="003A56E1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3A56E1">
              <w:rPr>
                <w:rFonts w:ascii="Times New Roman" w:eastAsia="SimSun" w:hAnsi="Times New Roman" w:cs="Times New Roman"/>
                <w:lang w:eastAsia="zh-CN"/>
              </w:rPr>
              <w:t>kolonoskopia</w:t>
            </w:r>
            <w:proofErr w:type="spellEnd"/>
            <w:r w:rsidRPr="003A56E1">
              <w:rPr>
                <w:rFonts w:ascii="Times New Roman" w:eastAsia="SimSun" w:hAnsi="Times New Roman" w:cs="Times New Roman"/>
                <w:lang w:eastAsia="zh-CN"/>
              </w:rPr>
              <w:t xml:space="preserve"> z ewentualnym znieczuleniem *</w:t>
            </w:r>
          </w:p>
        </w:tc>
        <w:tc>
          <w:tcPr>
            <w:tcW w:w="2268" w:type="dxa"/>
            <w:vAlign w:val="center"/>
            <w:hideMark/>
          </w:tcPr>
          <w:p w:rsidR="003A56E1" w:rsidRPr="003A56E1" w:rsidRDefault="003A56E1" w:rsidP="003A56E1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A56E1">
              <w:rPr>
                <w:rFonts w:ascii="Times New Roman" w:eastAsia="SimSun" w:hAnsi="Times New Roman" w:cs="Times New Roman"/>
                <w:lang w:eastAsia="zh-CN"/>
              </w:rPr>
              <w:t>609,00</w:t>
            </w:r>
          </w:p>
        </w:tc>
      </w:tr>
      <w:tr w:rsidR="003A56E1" w:rsidRPr="003A56E1" w:rsidTr="003A56E1">
        <w:trPr>
          <w:trHeight w:val="480"/>
        </w:trPr>
        <w:tc>
          <w:tcPr>
            <w:tcW w:w="6941" w:type="dxa"/>
            <w:hideMark/>
          </w:tcPr>
          <w:p w:rsidR="003A56E1" w:rsidRPr="003A56E1" w:rsidRDefault="003A56E1" w:rsidP="003A56E1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A56E1">
              <w:rPr>
                <w:rFonts w:ascii="Times New Roman" w:eastAsia="SimSun" w:hAnsi="Times New Roman" w:cs="Times New Roman"/>
                <w:lang w:eastAsia="zh-CN"/>
              </w:rPr>
              <w:t>USG ginekologiczne</w:t>
            </w:r>
          </w:p>
        </w:tc>
        <w:tc>
          <w:tcPr>
            <w:tcW w:w="2268" w:type="dxa"/>
            <w:vAlign w:val="center"/>
            <w:hideMark/>
          </w:tcPr>
          <w:p w:rsidR="003A56E1" w:rsidRPr="003A56E1" w:rsidRDefault="003A56E1" w:rsidP="003A56E1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A56E1">
              <w:rPr>
                <w:rFonts w:ascii="Times New Roman" w:eastAsia="SimSun" w:hAnsi="Times New Roman" w:cs="Times New Roman"/>
                <w:lang w:eastAsia="zh-CN"/>
              </w:rPr>
              <w:t>115,00</w:t>
            </w:r>
          </w:p>
        </w:tc>
      </w:tr>
      <w:tr w:rsidR="003A56E1" w:rsidRPr="003A56E1" w:rsidTr="003A56E1">
        <w:trPr>
          <w:trHeight w:val="540"/>
        </w:trPr>
        <w:tc>
          <w:tcPr>
            <w:tcW w:w="6941" w:type="dxa"/>
            <w:hideMark/>
          </w:tcPr>
          <w:p w:rsidR="003A56E1" w:rsidRPr="003A56E1" w:rsidRDefault="003A56E1" w:rsidP="003A56E1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A56E1">
              <w:rPr>
                <w:rFonts w:ascii="Times New Roman" w:eastAsia="SimSun" w:hAnsi="Times New Roman" w:cs="Times New Roman"/>
                <w:lang w:eastAsia="zh-CN"/>
              </w:rPr>
              <w:t>oznaczenie stężenia CA 125 w surowicy krwi</w:t>
            </w:r>
          </w:p>
        </w:tc>
        <w:tc>
          <w:tcPr>
            <w:tcW w:w="2268" w:type="dxa"/>
            <w:vAlign w:val="center"/>
            <w:hideMark/>
          </w:tcPr>
          <w:p w:rsidR="003A56E1" w:rsidRPr="003A56E1" w:rsidRDefault="003A56E1" w:rsidP="003A56E1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A56E1">
              <w:rPr>
                <w:rFonts w:ascii="Times New Roman" w:eastAsia="SimSun" w:hAnsi="Times New Roman" w:cs="Times New Roman"/>
                <w:lang w:eastAsia="zh-CN"/>
              </w:rPr>
              <w:t>30,00</w:t>
            </w:r>
          </w:p>
        </w:tc>
      </w:tr>
      <w:tr w:rsidR="003A56E1" w:rsidRPr="003A56E1" w:rsidTr="003A56E1">
        <w:trPr>
          <w:trHeight w:val="525"/>
        </w:trPr>
        <w:tc>
          <w:tcPr>
            <w:tcW w:w="6941" w:type="dxa"/>
            <w:hideMark/>
          </w:tcPr>
          <w:p w:rsidR="003A56E1" w:rsidRPr="003A56E1" w:rsidRDefault="003A56E1" w:rsidP="003A56E1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A56E1">
              <w:rPr>
                <w:rFonts w:ascii="Times New Roman" w:eastAsia="SimSun" w:hAnsi="Times New Roman" w:cs="Times New Roman"/>
                <w:lang w:eastAsia="zh-CN"/>
              </w:rPr>
              <w:t>dodatkowa wizyta konsultacyjna</w:t>
            </w:r>
          </w:p>
        </w:tc>
        <w:tc>
          <w:tcPr>
            <w:tcW w:w="2268" w:type="dxa"/>
            <w:vAlign w:val="center"/>
            <w:hideMark/>
          </w:tcPr>
          <w:p w:rsidR="003A56E1" w:rsidRPr="003A56E1" w:rsidRDefault="003A56E1" w:rsidP="003A56E1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A56E1">
              <w:rPr>
                <w:rFonts w:ascii="Times New Roman" w:eastAsia="SimSun" w:hAnsi="Times New Roman" w:cs="Times New Roman"/>
                <w:lang w:eastAsia="zh-CN"/>
              </w:rPr>
              <w:t>45,00</w:t>
            </w:r>
          </w:p>
        </w:tc>
      </w:tr>
    </w:tbl>
    <w:p w:rsidR="004A6925" w:rsidRPr="000608D5" w:rsidRDefault="000608D5" w:rsidP="000608D5">
      <w:p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*</w:t>
      </w:r>
      <w:r w:rsidRPr="000608D5">
        <w:rPr>
          <w:rFonts w:ascii="Times New Roman" w:eastAsia="SimSun" w:hAnsi="Times New Roman" w:cs="Times New Roman"/>
          <w:i/>
          <w:lang w:eastAsia="zh-CN"/>
        </w:rPr>
        <w:t>badanie nie wykonywane w ramach Programu badań przesiewowych raka jelita grubego i w ramach kontraktu z NFZ</w:t>
      </w:r>
    </w:p>
    <w:p w:rsidR="0032026D" w:rsidRPr="0032026D" w:rsidRDefault="0032026D" w:rsidP="0032026D">
      <w:pPr>
        <w:spacing w:before="120" w:after="12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 xml:space="preserve">Spośród wszystkich 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zachorowań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 na raka jelita grubego i odbytnicy rozpoznawanych co roku w Polsce, 10-15% 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zachorowań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 jest uwarunkowanych zwiększonym ryzykiem rodzinnym. Podobne uwarunkowania występują w około 150 spośród 3 500 corocznych 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zachorowań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 na raka błony śluzowej trzonu macicy. Co najmniej kilkakrotnie zwiększone ryzyko 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zachorowań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 na te nowotwory występuje w populacji obejmującej 50 000 – 100 000 osób w wieku od 20 do 70 lat, w tym około 10 000-15 000 osób należy do grupy najwyższego ryzyka 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zachorowań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 na nowotwory dziedziczne. Dziedziczne uwarunkowania występują szczególnie często w 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zachorowaniach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 na raki jelita grubego. Skutkiem nosicielstwa genów silnych predyspozycji do rozwoju tych nowotworów jest także wysokie ryzyko zachorowania na nowotwory złośliwe w niektórych innych umiejscowieniach, w tym na nowotwory trzonu macicy, jajników, jelita cienkiego, nerki, żołądka, trzustki, dróg moczowych i dróg żółciowych. </w:t>
      </w:r>
    </w:p>
    <w:p w:rsidR="0032026D" w:rsidRPr="0032026D" w:rsidRDefault="0032026D" w:rsidP="0032026D">
      <w:p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 xml:space="preserve">Rak jelita grubego u pacjentów z zespołem Lyncha ma odrębny przebieg kliniczny i charakteryzuje się odmienną wrażliwością na leczenie chemiczne w porównaniu do 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zachorowań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 sporadycznych na ten  nowotwór. Stworzenie rejestru chorych na raka jelita grubego z zespołem Lyncha umożliwi wieloletnią obserwację tych pacjentów, analizę danych klinicznych, a w przyszłości modyfikację postępowania terapeutycznego u tych chorych. </w:t>
      </w:r>
    </w:p>
    <w:p w:rsidR="0032026D" w:rsidRPr="0032026D" w:rsidRDefault="0032026D" w:rsidP="0032026D">
      <w:pPr>
        <w:spacing w:after="0" w:line="360" w:lineRule="auto"/>
        <w:jc w:val="both"/>
        <w:rPr>
          <w:rFonts w:ascii="Times New Roman" w:eastAsia="SimSun" w:hAnsi="Times New Roman" w:cs="Times New Roman"/>
          <w:b/>
          <w:lang w:eastAsia="zh-CN"/>
        </w:rPr>
      </w:pPr>
      <w:r w:rsidRPr="0032026D">
        <w:rPr>
          <w:rFonts w:ascii="Times New Roman" w:eastAsia="SimSun" w:hAnsi="Times New Roman" w:cs="Times New Roman"/>
          <w:b/>
          <w:lang w:eastAsia="zh-CN"/>
        </w:rPr>
        <w:t xml:space="preserve">Opis działań </w:t>
      </w:r>
    </w:p>
    <w:p w:rsidR="0032026D" w:rsidRPr="0032026D" w:rsidRDefault="0032026D" w:rsidP="0032026D">
      <w:p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>Pacjentów do programu kwalifikuje lekarz poradni genetycznej na podstawie dokładnego wywiadu rodzinnego (dane o wszystkich krewnych I</w:t>
      </w:r>
      <w:r w:rsidRPr="0032026D">
        <w:rPr>
          <w:rFonts w:ascii="Times New Roman" w:eastAsia="SimSun" w:hAnsi="Times New Roman" w:cs="Times New Roman"/>
          <w:vertAlign w:val="superscript"/>
          <w:lang w:eastAsia="zh-CN"/>
        </w:rPr>
        <w:t>0</w:t>
      </w:r>
      <w:r w:rsidRPr="0032026D">
        <w:rPr>
          <w:rFonts w:ascii="Times New Roman" w:eastAsia="SimSun" w:hAnsi="Times New Roman" w:cs="Times New Roman"/>
          <w:lang w:eastAsia="zh-CN"/>
        </w:rPr>
        <w:t xml:space="preserve"> – wiek 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zachorowań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 i typ/umiejscowienie nowotworów wśród tych krewnych oraz dane krewnych, którzy nie zachorowali na nowotwory; wiek 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zachorowań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 i typ/umiejscowienie nowotworów u wszystkich krewnych II</w:t>
      </w:r>
      <w:r w:rsidRPr="0032026D">
        <w:rPr>
          <w:rFonts w:ascii="Times New Roman" w:eastAsia="SimSun" w:hAnsi="Times New Roman" w:cs="Times New Roman"/>
          <w:vertAlign w:val="superscript"/>
          <w:lang w:eastAsia="zh-CN"/>
        </w:rPr>
        <w:t>0</w:t>
      </w:r>
      <w:r w:rsidRPr="0032026D">
        <w:rPr>
          <w:rFonts w:ascii="Times New Roman" w:eastAsia="SimSun" w:hAnsi="Times New Roman" w:cs="Times New Roman"/>
          <w:lang w:eastAsia="zh-CN"/>
        </w:rPr>
        <w:t xml:space="preserve"> i ewentualnie dalszych stopni). </w:t>
      </w:r>
    </w:p>
    <w:p w:rsidR="0032026D" w:rsidRPr="0032026D" w:rsidRDefault="0032026D" w:rsidP="0032026D">
      <w:p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b/>
          <w:u w:val="single"/>
          <w:lang w:eastAsia="zh-CN"/>
        </w:rPr>
        <w:t xml:space="preserve">Zespół rodzinnej </w:t>
      </w:r>
      <w:proofErr w:type="spellStart"/>
      <w:r w:rsidRPr="0032026D">
        <w:rPr>
          <w:rFonts w:ascii="Times New Roman" w:eastAsia="SimSun" w:hAnsi="Times New Roman" w:cs="Times New Roman"/>
          <w:b/>
          <w:u w:val="single"/>
          <w:lang w:eastAsia="zh-CN"/>
        </w:rPr>
        <w:t>gruczolakowatej</w:t>
      </w:r>
      <w:proofErr w:type="spellEnd"/>
      <w:r w:rsidRPr="0032026D">
        <w:rPr>
          <w:rFonts w:ascii="Times New Roman" w:eastAsia="SimSun" w:hAnsi="Times New Roman" w:cs="Times New Roman"/>
          <w:b/>
          <w:u w:val="single"/>
          <w:lang w:eastAsia="zh-CN"/>
        </w:rPr>
        <w:t xml:space="preserve"> polipowatości jelit (FAP)</w:t>
      </w:r>
      <w:r w:rsidRPr="0032026D">
        <w:rPr>
          <w:rFonts w:ascii="Times New Roman" w:eastAsia="SimSun" w:hAnsi="Times New Roman" w:cs="Times New Roman"/>
          <w:lang w:eastAsia="zh-CN"/>
        </w:rPr>
        <w:t xml:space="preserve"> </w:t>
      </w:r>
    </w:p>
    <w:p w:rsidR="0032026D" w:rsidRPr="0032026D" w:rsidRDefault="0032026D" w:rsidP="0032026D">
      <w:p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 xml:space="preserve">Podstawą rozpoznania jest obciążenie rodzinne i stwierdzenie licznych polipów w jelicie grubym oraz innych fenotypowych cech tego zespołu (kostniaki, polipy dwunastnicy 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itp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). Badanie mutacji genu </w:t>
      </w:r>
      <w:r w:rsidRPr="0032026D">
        <w:rPr>
          <w:rFonts w:ascii="Times New Roman" w:eastAsia="SimSun" w:hAnsi="Times New Roman" w:cs="Times New Roman"/>
          <w:i/>
          <w:lang w:eastAsia="zh-CN"/>
        </w:rPr>
        <w:t>APC</w:t>
      </w:r>
      <w:r w:rsidRPr="0032026D">
        <w:rPr>
          <w:rFonts w:ascii="Times New Roman" w:eastAsia="SimSun" w:hAnsi="Times New Roman" w:cs="Times New Roman"/>
          <w:lang w:eastAsia="zh-CN"/>
        </w:rPr>
        <w:t xml:space="preserve"> jest pomocne dla potwierdzenia/wykluczenia nosicielstwa a identyfikacja mutacji (obok historii obciążenia rodzinnego) jest potwierdzeniem rozpoznania klinicznego, oszacowania ryzyka i przybliżonego wieku zachorowania na raka jelita grubego oraz nowotwory w innych umiejscowieniach. </w:t>
      </w:r>
    </w:p>
    <w:p w:rsidR="0032026D" w:rsidRPr="0032026D" w:rsidRDefault="0032026D" w:rsidP="0032026D">
      <w:p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lastRenderedPageBreak/>
        <w:t>U krewnych I</w:t>
      </w:r>
      <w:r w:rsidRPr="0032026D">
        <w:rPr>
          <w:rFonts w:ascii="Times New Roman" w:eastAsia="SimSun" w:hAnsi="Times New Roman" w:cs="Times New Roman"/>
          <w:vertAlign w:val="superscript"/>
          <w:lang w:eastAsia="zh-CN"/>
        </w:rPr>
        <w:t>0</w:t>
      </w:r>
      <w:r w:rsidRPr="0032026D">
        <w:rPr>
          <w:rFonts w:ascii="Times New Roman" w:eastAsia="SimSun" w:hAnsi="Times New Roman" w:cs="Times New Roman"/>
          <w:lang w:eastAsia="zh-CN"/>
        </w:rPr>
        <w:t xml:space="preserve"> osób chorych, u których rozpoznano nosicielstwo mutacji genu </w:t>
      </w:r>
      <w:r w:rsidRPr="0032026D">
        <w:rPr>
          <w:rFonts w:ascii="Times New Roman" w:eastAsia="SimSun" w:hAnsi="Times New Roman" w:cs="Times New Roman"/>
          <w:i/>
          <w:lang w:eastAsia="zh-CN"/>
        </w:rPr>
        <w:t>APC,</w:t>
      </w:r>
      <w:r w:rsidRPr="0032026D">
        <w:rPr>
          <w:rFonts w:ascii="Times New Roman" w:eastAsia="SimSun" w:hAnsi="Times New Roman" w:cs="Times New Roman"/>
          <w:lang w:eastAsia="zh-CN"/>
        </w:rPr>
        <w:t xml:space="preserve"> zaleca się wykonanie badania endoskopowego jelit (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rektosigmoidoskopia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) już na początku 2 dekady życia, ponieważ istnieje prawdopodobieństwo wykrycia raka jelita grubego nawet u młodych pacjentów. </w:t>
      </w:r>
    </w:p>
    <w:p w:rsidR="0032026D" w:rsidRPr="0032026D" w:rsidRDefault="0032026D" w:rsidP="0032026D">
      <w:p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 xml:space="preserve">Badanie nosicielstwa mutacji w genie </w:t>
      </w:r>
      <w:r w:rsidRPr="0032026D">
        <w:rPr>
          <w:rFonts w:ascii="Times New Roman" w:eastAsia="SimSun" w:hAnsi="Times New Roman" w:cs="Times New Roman"/>
          <w:i/>
          <w:lang w:eastAsia="zh-CN"/>
        </w:rPr>
        <w:t xml:space="preserve">APC </w:t>
      </w:r>
      <w:r w:rsidRPr="0032026D">
        <w:rPr>
          <w:rFonts w:ascii="Times New Roman" w:eastAsia="SimSun" w:hAnsi="Times New Roman" w:cs="Times New Roman"/>
          <w:lang w:eastAsia="zh-CN"/>
        </w:rPr>
        <w:t xml:space="preserve">jest uzasadnione u osób niepełnoletnich z rodzin z FAP lub dzieci z objawami FAP – </w:t>
      </w:r>
      <w:r w:rsidRPr="0032026D">
        <w:rPr>
          <w:rFonts w:ascii="Times New Roman" w:eastAsia="SimSun" w:hAnsi="Times New Roman" w:cs="Times New Roman"/>
          <w:i/>
          <w:lang w:eastAsia="zh-CN"/>
        </w:rPr>
        <w:t>vide</w:t>
      </w:r>
      <w:r w:rsidRPr="0032026D">
        <w:rPr>
          <w:rFonts w:ascii="Times New Roman" w:eastAsia="SimSun" w:hAnsi="Times New Roman" w:cs="Times New Roman"/>
          <w:lang w:eastAsia="zh-CN"/>
        </w:rPr>
        <w:t xml:space="preserve"> wytyczne ESHG. Takie podejście umożliwia dzieciom z rodzin z FAP, u których wykluczono nosicielstwo mutacji markerowej, uniknięcie licznych  niepotrzebnych inwazyjnych badań endoskopowych, natomiast potwierdzenie nosicielstwa mutacji markerowej przekłada się na lepsze przestrzeganie zasad nadzoru endoskopowego i dzięki temu zmniejsza się ryzyko raka we wczesnym wieku. Pełnoletnim osobom z rodzin, w których ustalono mutację markerową odpowiedzialną za FAP, u których w badaniach endoskopowych nie stwierdza się polipów, należy zaproponować badanie genetyczne, mające na celu wykluczenie nosicielstwa mutacji w obrębie genu </w:t>
      </w:r>
      <w:r w:rsidRPr="0032026D">
        <w:rPr>
          <w:rFonts w:ascii="Times New Roman" w:eastAsia="SimSun" w:hAnsi="Times New Roman" w:cs="Times New Roman"/>
          <w:i/>
          <w:lang w:eastAsia="zh-CN"/>
        </w:rPr>
        <w:t>APC</w:t>
      </w:r>
      <w:r w:rsidRPr="0032026D">
        <w:rPr>
          <w:rFonts w:ascii="Times New Roman" w:eastAsia="SimSun" w:hAnsi="Times New Roman" w:cs="Times New Roman"/>
          <w:lang w:eastAsia="zh-CN"/>
        </w:rPr>
        <w:t xml:space="preserve">. Jeśli u danego pacjenta nie stwierdza się markerowej dla danej rodziny mutacji w tym genie, może on zostać zwolniony z nadzoru endoskopowego i innych badań z programu opieki. </w:t>
      </w:r>
    </w:p>
    <w:p w:rsidR="0032026D" w:rsidRPr="0032026D" w:rsidRDefault="0032026D" w:rsidP="0032026D">
      <w:p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32026D" w:rsidRPr="0032026D" w:rsidRDefault="0032026D" w:rsidP="0032026D">
      <w:p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 xml:space="preserve">Zalecenia dotyczące opieki nad członkami rodzin, w których stwierdzono polipy w jelicie grubym lub wykryto mutację genu </w:t>
      </w:r>
      <w:r w:rsidRPr="0032026D">
        <w:rPr>
          <w:rFonts w:ascii="Times New Roman" w:eastAsia="SimSun" w:hAnsi="Times New Roman" w:cs="Times New Roman"/>
          <w:i/>
          <w:lang w:eastAsia="zh-CN"/>
        </w:rPr>
        <w:t>APC</w:t>
      </w:r>
      <w:r w:rsidRPr="0032026D">
        <w:rPr>
          <w:rFonts w:ascii="Times New Roman" w:eastAsia="SimSun" w:hAnsi="Times New Roman" w:cs="Times New Roman"/>
          <w:lang w:eastAsia="zh-CN"/>
        </w:rPr>
        <w:t xml:space="preserve">: </w:t>
      </w:r>
    </w:p>
    <w:p w:rsidR="0032026D" w:rsidRPr="0032026D" w:rsidRDefault="0032026D" w:rsidP="0032026D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 xml:space="preserve">Wykonywanie badań 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kolonoskopowych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 w odstępach co 18 miesięcy począwszy od 18 roku życia, a</w:t>
      </w:r>
      <w:r w:rsidRPr="0032026D">
        <w:rPr>
          <w:rFonts w:ascii="Times New Roman" w:eastAsia="SimSun" w:hAnsi="Times New Roman" w:cs="Times New Roman"/>
          <w:color w:val="FF0000"/>
          <w:lang w:eastAsia="zh-CN"/>
        </w:rPr>
        <w:t xml:space="preserve"> </w:t>
      </w:r>
      <w:r w:rsidRPr="0032026D">
        <w:rPr>
          <w:rFonts w:ascii="Times New Roman" w:eastAsia="SimSun" w:hAnsi="Times New Roman" w:cs="Times New Roman"/>
          <w:lang w:eastAsia="zh-CN"/>
        </w:rPr>
        <w:t xml:space="preserve">w rodzinach w których raki występują wcześnie należy zalecić wykonanie 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sigmoidoskopii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 od wieku o 10 lat niższego niż wiek zachorowania najmłodszej osoby w rodzinie lub od 12 r.ż.,</w:t>
      </w:r>
    </w:p>
    <w:p w:rsidR="0032026D" w:rsidRPr="0032026D" w:rsidRDefault="0032026D" w:rsidP="0032026D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 xml:space="preserve">Od momentu stwierdzenia polipów w jelicie grubym zaleca się wykonywanie gastroskopii w odstępach 12-36 miesięcy (pomocnicze znaczenie dla ustalenia terminu kolejnej endoskopii górnego odcinka przewodu pokarmowego ma klasyfikacja 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Spiegelmana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>)</w:t>
      </w:r>
    </w:p>
    <w:p w:rsidR="0032026D" w:rsidRPr="0032026D" w:rsidRDefault="0032026D" w:rsidP="0032026D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 xml:space="preserve">W przypadku stwierdzenia mnogich polipów w jelicie grubym, których nie można usunąć doszczętnie endoskopowo, pacjentowi należy zaproponować 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kolektomię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, ponieważ ryzyko rozwoju raka w jelicie grubym w tej grupie wynosi blisko 100% a zabieg 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kolektomii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 jest jedynym skutecznym sposobem zapobiegania temu zachorowaniu, </w:t>
      </w:r>
    </w:p>
    <w:p w:rsidR="0032026D" w:rsidRPr="0032026D" w:rsidRDefault="0032026D" w:rsidP="0032026D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 xml:space="preserve">Po 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kolektomii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 należy wykonywać co roku badanie endoskopowe pozostawionego odcinka jelita grubego - jeśli zabieg był subtotalny - lub wytworzonego zbiornika jelitowego,</w:t>
      </w:r>
    </w:p>
    <w:p w:rsidR="0032026D" w:rsidRPr="0032026D" w:rsidRDefault="0032026D" w:rsidP="0032026D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>W przypadku podejrzenia u pacjenta z FAP obecności zmian w jelicie cienkim, których nie można ocenić/usunąć w czasie badania endoskopowego górnego odcinka przewodu pokarmowego, pacjenta należy skierować do oddziału gastroenterologicznego mającego doświadczenie w opiece nad rodzinami z tym zespołem.</w:t>
      </w:r>
    </w:p>
    <w:p w:rsidR="0032026D" w:rsidRPr="0032026D" w:rsidRDefault="0032026D" w:rsidP="0032026D">
      <w:p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 xml:space="preserve">Należy poinformować pacjenta z FAP o wskazaniach do wykonywania co 6-12 miesięcy badania USG wątroby i oznaczenia stężenia AFP w osoczu w wieku od 0,5 roku życia, ze względu na ryzyko zachorowania na 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wątrobiaka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 zarodkowego (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hepatoblastoma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). </w:t>
      </w:r>
    </w:p>
    <w:p w:rsidR="0032026D" w:rsidRPr="0032026D" w:rsidRDefault="0032026D" w:rsidP="0032026D">
      <w:p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lastRenderedPageBreak/>
        <w:t xml:space="preserve">Prawdopodobieństwo 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wątrobiaka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 zarodkowego w grupie tych dzieci wynosi 1/300 (a w grupie nosicieli mutacji 1/150). Nowotwór wątroby u dzieci wcześnie wykryty jest wyleczalny, zaś proponowana metoda badań przesiewowych jest małoinwazyjna.</w:t>
      </w:r>
    </w:p>
    <w:p w:rsidR="0032026D" w:rsidRPr="0032026D" w:rsidRDefault="0032026D" w:rsidP="0032026D">
      <w:p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 xml:space="preserve">Powyższa opieka jest dostępna w ramach ambulatoryjnej opieki specjalistycznej w onkologicznych lub gastroenterologicznych poradniach dziecięcych. </w:t>
      </w:r>
    </w:p>
    <w:p w:rsidR="0032026D" w:rsidRPr="0032026D" w:rsidRDefault="0032026D" w:rsidP="0032026D">
      <w:p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>Dzieci z rodzin z FAP od początku 2 dekady życia powinny być pod opieką poradni gastroenterologicznej dla dzieci i mieć zapewniony nadzór endoskopowy.</w:t>
      </w:r>
    </w:p>
    <w:p w:rsidR="0032026D" w:rsidRPr="0032026D" w:rsidRDefault="0032026D" w:rsidP="0032026D">
      <w:pPr>
        <w:spacing w:after="0" w:line="360" w:lineRule="auto"/>
        <w:jc w:val="both"/>
        <w:rPr>
          <w:rFonts w:ascii="Times New Roman" w:eastAsia="SimSun" w:hAnsi="Times New Roman" w:cs="Times New Roman"/>
          <w:b/>
          <w:u w:val="single"/>
          <w:lang w:eastAsia="zh-CN"/>
        </w:rPr>
      </w:pPr>
      <w:r w:rsidRPr="0032026D">
        <w:rPr>
          <w:rFonts w:ascii="Times New Roman" w:eastAsia="SimSun" w:hAnsi="Times New Roman" w:cs="Times New Roman"/>
          <w:b/>
          <w:u w:val="single"/>
          <w:lang w:eastAsia="zh-CN"/>
        </w:rPr>
        <w:t xml:space="preserve">Zespół </w:t>
      </w:r>
      <w:proofErr w:type="spellStart"/>
      <w:r w:rsidRPr="0032026D">
        <w:rPr>
          <w:rFonts w:ascii="Times New Roman" w:eastAsia="SimSun" w:hAnsi="Times New Roman" w:cs="Times New Roman"/>
          <w:b/>
          <w:u w:val="single"/>
          <w:lang w:eastAsia="zh-CN"/>
        </w:rPr>
        <w:t>gruczolakowatej</w:t>
      </w:r>
      <w:proofErr w:type="spellEnd"/>
      <w:r w:rsidRPr="0032026D">
        <w:rPr>
          <w:rFonts w:ascii="Times New Roman" w:eastAsia="SimSun" w:hAnsi="Times New Roman" w:cs="Times New Roman"/>
          <w:b/>
          <w:u w:val="single"/>
          <w:lang w:eastAsia="zh-CN"/>
        </w:rPr>
        <w:t xml:space="preserve"> polipowatości rodzinnej o opóźnionej ekspresji (AFAP – </w:t>
      </w:r>
      <w:proofErr w:type="spellStart"/>
      <w:r w:rsidRPr="0032026D">
        <w:rPr>
          <w:rFonts w:ascii="Times New Roman" w:eastAsia="SimSun" w:hAnsi="Times New Roman" w:cs="Times New Roman"/>
          <w:b/>
          <w:u w:val="single"/>
          <w:lang w:eastAsia="zh-CN"/>
        </w:rPr>
        <w:t>attenuated</w:t>
      </w:r>
      <w:proofErr w:type="spellEnd"/>
      <w:r w:rsidRPr="0032026D">
        <w:rPr>
          <w:rFonts w:ascii="Times New Roman" w:eastAsia="SimSun" w:hAnsi="Times New Roman" w:cs="Times New Roman"/>
          <w:b/>
          <w:u w:val="single"/>
          <w:lang w:eastAsia="zh-CN"/>
        </w:rPr>
        <w:t xml:space="preserve"> FAP). </w:t>
      </w:r>
    </w:p>
    <w:p w:rsidR="0032026D" w:rsidRPr="0032026D" w:rsidRDefault="0032026D" w:rsidP="0032026D">
      <w:p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 xml:space="preserve">Zalecenia dotyczące osób z AFAP: </w:t>
      </w:r>
    </w:p>
    <w:p w:rsidR="0032026D" w:rsidRPr="0032026D" w:rsidRDefault="0032026D" w:rsidP="0032026D">
      <w:pPr>
        <w:numPr>
          <w:ilvl w:val="0"/>
          <w:numId w:val="7"/>
        </w:numPr>
        <w:spacing w:after="0" w:line="360" w:lineRule="auto"/>
        <w:ind w:left="567" w:hanging="578"/>
        <w:jc w:val="both"/>
        <w:rPr>
          <w:rFonts w:ascii="Times New Roman" w:eastAsia="SimSun" w:hAnsi="Times New Roman" w:cs="Times New Roman"/>
          <w:lang w:eastAsia="zh-CN"/>
        </w:rPr>
      </w:pPr>
      <w:proofErr w:type="spellStart"/>
      <w:r w:rsidRPr="0032026D">
        <w:rPr>
          <w:rFonts w:ascii="Times New Roman" w:eastAsia="SimSun" w:hAnsi="Times New Roman" w:cs="Times New Roman"/>
          <w:lang w:eastAsia="zh-CN"/>
        </w:rPr>
        <w:t>Kolonoskopia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>, którą należy rozpocząć od 20 roku życia. Sugerowany odstęp między badaniami – około 24 miesięcy; jeżeli stwierdzono polipy – badania wraz z 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polipektomiami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 należy wykonywać co około 12-18 miesięcy.</w:t>
      </w:r>
    </w:p>
    <w:p w:rsidR="0032026D" w:rsidRPr="0032026D" w:rsidRDefault="0032026D" w:rsidP="0032026D">
      <w:pPr>
        <w:numPr>
          <w:ilvl w:val="0"/>
          <w:numId w:val="7"/>
        </w:numPr>
        <w:spacing w:after="0" w:line="360" w:lineRule="auto"/>
        <w:ind w:left="567" w:hanging="578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 xml:space="preserve">Od momentu wykrycia polipów w jelicie grubym należy pacjentom zaproponować gastroskopię co 1-3 lata. </w:t>
      </w:r>
    </w:p>
    <w:p w:rsidR="0032026D" w:rsidRPr="0032026D" w:rsidRDefault="0032026D" w:rsidP="0032026D">
      <w:p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>Przyjmuje się, że leczenie operacyjne (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kolektomia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) powinno być podjęte w momencie wykrycia mnogich gruczolaków w jelicie grubym. Zakres 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kolektomii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 zależy od zasięgu zmian. Po leczeniu operacyjnym obowiązuje nadzór endoskopowy nad pozostawioną częścią jelita grubego. </w:t>
      </w:r>
    </w:p>
    <w:p w:rsidR="0032026D" w:rsidRPr="0032026D" w:rsidRDefault="0032026D" w:rsidP="0032026D">
      <w:p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 xml:space="preserve">Pełnoletnim osobom z rodzin, w których stwierdzono lub podejrzewa się zespół łagodnej 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gruczolakowatej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 polipowatości rodzinnej, należy zaproponować badanie genetyczne, mające na celu wykluczenie nosicielstwa mutacji w obrębie genu </w:t>
      </w:r>
      <w:r w:rsidRPr="0032026D">
        <w:rPr>
          <w:rFonts w:ascii="Times New Roman" w:eastAsia="SimSun" w:hAnsi="Times New Roman" w:cs="Times New Roman"/>
          <w:i/>
          <w:lang w:eastAsia="zh-CN"/>
        </w:rPr>
        <w:t>APC</w:t>
      </w:r>
      <w:r w:rsidRPr="0032026D">
        <w:rPr>
          <w:rFonts w:ascii="Times New Roman" w:eastAsia="SimSun" w:hAnsi="Times New Roman" w:cs="Times New Roman"/>
          <w:lang w:eastAsia="zh-CN"/>
        </w:rPr>
        <w:t xml:space="preserve">. Jeśli u danego pacjenta nie stwierdza się markerowej dla danej rodziny mutacji w obrębie genu </w:t>
      </w:r>
      <w:r w:rsidRPr="0032026D">
        <w:rPr>
          <w:rFonts w:ascii="Times New Roman" w:eastAsia="SimSun" w:hAnsi="Times New Roman" w:cs="Times New Roman"/>
          <w:i/>
          <w:lang w:eastAsia="zh-CN"/>
        </w:rPr>
        <w:t>APC</w:t>
      </w:r>
      <w:r w:rsidRPr="0032026D">
        <w:rPr>
          <w:rFonts w:ascii="Times New Roman" w:eastAsia="SimSun" w:hAnsi="Times New Roman" w:cs="Times New Roman"/>
          <w:lang w:eastAsia="zh-CN"/>
        </w:rPr>
        <w:t>, może on zostać zwolniony z nadzoru endoskopowego.</w:t>
      </w:r>
    </w:p>
    <w:p w:rsidR="0032026D" w:rsidRPr="0032026D" w:rsidRDefault="0032026D" w:rsidP="0032026D">
      <w:pPr>
        <w:spacing w:after="0" w:line="360" w:lineRule="auto"/>
        <w:jc w:val="both"/>
        <w:rPr>
          <w:rFonts w:ascii="Times New Roman" w:eastAsia="SimSun" w:hAnsi="Times New Roman" w:cs="Times New Roman"/>
          <w:b/>
          <w:u w:val="single"/>
          <w:lang w:eastAsia="zh-CN"/>
        </w:rPr>
      </w:pPr>
      <w:r w:rsidRPr="0032026D">
        <w:rPr>
          <w:rFonts w:ascii="Times New Roman" w:eastAsia="SimSun" w:hAnsi="Times New Roman" w:cs="Times New Roman"/>
          <w:b/>
          <w:u w:val="single"/>
          <w:lang w:eastAsia="zh-CN"/>
        </w:rPr>
        <w:t xml:space="preserve">Zespół Lyncha (dziedziczny rak jelita grubego bez polipowatości (HNPCC). </w:t>
      </w:r>
    </w:p>
    <w:p w:rsidR="0032026D" w:rsidRPr="0032026D" w:rsidRDefault="0032026D" w:rsidP="0032026D">
      <w:p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 xml:space="preserve">Do badania ekspresji genów </w:t>
      </w:r>
      <w:r w:rsidRPr="0032026D">
        <w:rPr>
          <w:rFonts w:ascii="Times New Roman" w:eastAsia="SimSun" w:hAnsi="Times New Roman" w:cs="Times New Roman"/>
          <w:i/>
          <w:lang w:eastAsia="zh-CN"/>
        </w:rPr>
        <w:t>MLH1, MSH2, MSH6, PMS2</w:t>
      </w:r>
      <w:r w:rsidRPr="0032026D">
        <w:rPr>
          <w:rFonts w:ascii="Times New Roman" w:eastAsia="SimSun" w:hAnsi="Times New Roman" w:cs="Times New Roman"/>
          <w:lang w:eastAsia="zh-CN"/>
        </w:rPr>
        <w:t xml:space="preserve"> metodą immunohistochemiczną w tkance guza kwalifikują się wszyscy chorzy, którzy odpowiadają kryteriom z Bethesdy. Brak ekspresji jednego lub kilku genów kwalifikuje do badania molekularnego – poszukiwanie mutacji 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germinalnej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 w DNA krwi obwodowej lub innej tkanki pacjenta. </w:t>
      </w:r>
    </w:p>
    <w:p w:rsidR="0032026D" w:rsidRPr="0032026D" w:rsidRDefault="0032026D" w:rsidP="0032026D">
      <w:p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 xml:space="preserve">W przypadku gdy wykonanie badania immunohistochemicznego ekspresji genów w guzie nie jest możliwe (np. gdy dotyczy to zdrowych probantów z obciążonych rodzin, gdy nie można uzyskać skrawka guza od krewnego, który wcześniej zachorował) – zaleca się badanie nosicielstwa mutacji u probantów z rodzin spełniających kryteria Bethesda: 1. rozpoznanie raka jelita grubego przed 50rż, 2. wystąpienie synchroniczne lub 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metachroniczne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 raka jelita grubego lub raka ze spectrum zespołu Lyncha (rak żołądka, pęcherza moczowego, dróg żółciowych, jelita cienkiego), niezależnie od wieku, 3.raka jelita grubego z wysoką niestabilnością 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mikrosatelitarną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 przed 60r. życia, 4. raka jelita grubego i jednego lub więcej krewnych z rakiem jelita grubego lub innym rakiem ze spektrum HNPCC (przynajmniej u jednej osoby rozpoznanie musi być postawione przed 50 r.ż.), </w:t>
      </w:r>
    </w:p>
    <w:p w:rsidR="0032026D" w:rsidRPr="0032026D" w:rsidRDefault="0032026D" w:rsidP="0032026D">
      <w:p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lastRenderedPageBreak/>
        <w:t xml:space="preserve">Zalecenia dotyczące osób z zespołem Lyncha obejmują: </w:t>
      </w:r>
    </w:p>
    <w:p w:rsidR="0032026D" w:rsidRPr="0032026D" w:rsidRDefault="0032026D" w:rsidP="0032026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 xml:space="preserve">Od 20-25 roku życia 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kolonoskopia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 co 1-2 lata w przypadku nosicielstwa mutacji w genach </w:t>
      </w:r>
      <w:r w:rsidRPr="0032026D">
        <w:rPr>
          <w:rFonts w:ascii="Times New Roman" w:eastAsia="SimSun" w:hAnsi="Times New Roman" w:cs="Times New Roman"/>
          <w:i/>
          <w:lang w:eastAsia="zh-CN"/>
        </w:rPr>
        <w:t>MLH1, MSH2,</w:t>
      </w:r>
      <w:r w:rsidRPr="0032026D">
        <w:rPr>
          <w:rFonts w:ascii="Times New Roman" w:eastAsia="SimSun" w:hAnsi="Times New Roman" w:cs="Times New Roman"/>
          <w:lang w:eastAsia="zh-CN"/>
        </w:rPr>
        <w:t xml:space="preserve"> a od 25–30 roku życia u nosicieli mutacji w genie </w:t>
      </w:r>
      <w:r w:rsidRPr="0032026D">
        <w:rPr>
          <w:rFonts w:ascii="Times New Roman" w:eastAsia="SimSun" w:hAnsi="Times New Roman" w:cs="Times New Roman"/>
          <w:i/>
          <w:lang w:eastAsia="zh-CN"/>
        </w:rPr>
        <w:t>PMS2, EPCAM</w:t>
      </w:r>
      <w:r w:rsidRPr="0032026D">
        <w:rPr>
          <w:rFonts w:ascii="Times New Roman" w:eastAsia="SimSun" w:hAnsi="Times New Roman" w:cs="Times New Roman"/>
          <w:lang w:eastAsia="zh-CN"/>
        </w:rPr>
        <w:t xml:space="preserve"> lub </w:t>
      </w:r>
      <w:r w:rsidRPr="0032026D">
        <w:rPr>
          <w:rFonts w:ascii="Times New Roman" w:eastAsia="SimSun" w:hAnsi="Times New Roman" w:cs="Times New Roman"/>
          <w:i/>
          <w:lang w:eastAsia="zh-CN"/>
        </w:rPr>
        <w:t>MSH6.</w:t>
      </w:r>
    </w:p>
    <w:p w:rsidR="0032026D" w:rsidRPr="0032026D" w:rsidRDefault="0032026D" w:rsidP="0032026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 xml:space="preserve">W przypadku wykrycia raka w jelicie grubym zalecanym sposobem leczenia chirurgicznego, z uwagi na wysokie ryzyko rozwoju synchronicznych lub 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metachroniczych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 zmian nowotworowych, jest subtotalna 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kolektomia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>.</w:t>
      </w:r>
    </w:p>
    <w:p w:rsidR="0032026D" w:rsidRPr="0032026D" w:rsidRDefault="0032026D" w:rsidP="0032026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>Po zabiegu należy prowadzić badania endoskopowe pozostawionej części jelita grubego - nie rzadziej niż co 2 lata.</w:t>
      </w:r>
    </w:p>
    <w:p w:rsidR="0032026D" w:rsidRPr="0032026D" w:rsidRDefault="0032026D" w:rsidP="0032026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 xml:space="preserve">U kobiet, od 30 roku życia należy zalecać corocznie badania USG 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przezpochwowe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 mające na celu wczesne wykrycie raka błony śluzowej trzonu macicy i ewentualnie raka jajnika oraz oznaczanie stężenia CA125 w surowicy krwi.</w:t>
      </w:r>
    </w:p>
    <w:p w:rsidR="0032026D" w:rsidRPr="0032026D" w:rsidRDefault="0032026D" w:rsidP="0032026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 xml:space="preserve">U kobiet od 30 roku życia – każde nieprawidłowe krwawienie z dróg rodnych u kobiety z zespołem Lyncha powinno być wskazaniem do starannej diagnostyki w kierunku raka błony śluzowej trzonu macicy (histeroskopia). </w:t>
      </w:r>
    </w:p>
    <w:p w:rsidR="0032026D" w:rsidRPr="0032026D" w:rsidRDefault="0032026D" w:rsidP="0032026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 xml:space="preserve">U kobiet nosicielek mutacji </w:t>
      </w:r>
      <w:r w:rsidRPr="0032026D">
        <w:rPr>
          <w:rFonts w:ascii="Times New Roman" w:eastAsia="SimSun" w:hAnsi="Times New Roman" w:cs="Times New Roman"/>
          <w:i/>
          <w:lang w:eastAsia="zh-CN"/>
        </w:rPr>
        <w:t>MLH1, MSH2, MSH6,</w:t>
      </w:r>
      <w:r w:rsidRPr="0032026D">
        <w:rPr>
          <w:rFonts w:ascii="Times New Roman" w:eastAsia="SimSun" w:hAnsi="Times New Roman" w:cs="Times New Roman"/>
          <w:lang w:eastAsia="zh-CN"/>
        </w:rPr>
        <w:t xml:space="preserve"> </w:t>
      </w:r>
      <w:r w:rsidRPr="0032026D">
        <w:rPr>
          <w:rFonts w:ascii="Times New Roman" w:eastAsia="SimSun" w:hAnsi="Times New Roman" w:cs="Times New Roman"/>
          <w:i/>
          <w:lang w:eastAsia="zh-CN"/>
        </w:rPr>
        <w:t>PMS2,</w:t>
      </w:r>
      <w:r w:rsidRPr="0032026D">
        <w:rPr>
          <w:rFonts w:ascii="Times New Roman" w:eastAsia="SimSun" w:hAnsi="Times New Roman" w:cs="Times New Roman"/>
          <w:lang w:eastAsia="zh-CN"/>
        </w:rPr>
        <w:t xml:space="preserve"> które zrealizowały plany macierzyńskie, zalecana jest opcja profilaktycznej 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histerektomii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 z 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adneksektomią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 od 35 r.ż. w związku z wysokim ryzykiem raka błony śluzowej trzonu macicy i raka jajnika.</w:t>
      </w:r>
    </w:p>
    <w:p w:rsidR="0032026D" w:rsidRPr="0032026D" w:rsidRDefault="0032026D" w:rsidP="0032026D">
      <w:pPr>
        <w:spacing w:after="0" w:line="360" w:lineRule="auto"/>
        <w:jc w:val="both"/>
        <w:rPr>
          <w:rFonts w:ascii="Times New Roman" w:eastAsia="SimSun" w:hAnsi="Times New Roman" w:cs="Times New Roman"/>
          <w:b/>
          <w:u w:val="single"/>
          <w:lang w:eastAsia="zh-CN"/>
        </w:rPr>
      </w:pPr>
      <w:r w:rsidRPr="0032026D">
        <w:rPr>
          <w:rFonts w:ascii="Times New Roman" w:eastAsia="SimSun" w:hAnsi="Times New Roman" w:cs="Times New Roman"/>
          <w:b/>
          <w:u w:val="single"/>
          <w:lang w:eastAsia="zh-CN"/>
        </w:rPr>
        <w:t>Rodzinne raki jelita grubego i błony śluzowej trzonu macicy.</w:t>
      </w:r>
    </w:p>
    <w:p w:rsidR="0032026D" w:rsidRPr="0032026D" w:rsidRDefault="0032026D" w:rsidP="0032026D">
      <w:p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 xml:space="preserve">Do tej grupy włącza się rodziny: </w:t>
      </w:r>
    </w:p>
    <w:p w:rsidR="0032026D" w:rsidRPr="0032026D" w:rsidRDefault="0032026D" w:rsidP="0032026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 xml:space="preserve">Spełniające kryteria z Bethesdy, u których nie stwierdzono zaburzeń ekspresji genów </w:t>
      </w:r>
      <w:r w:rsidRPr="0032026D">
        <w:rPr>
          <w:rFonts w:ascii="Times New Roman" w:eastAsia="SimSun" w:hAnsi="Times New Roman" w:cs="Times New Roman"/>
          <w:i/>
          <w:lang w:eastAsia="zh-CN"/>
        </w:rPr>
        <w:t>MLH1, MSH2</w:t>
      </w:r>
      <w:r w:rsidRPr="0032026D">
        <w:rPr>
          <w:rFonts w:ascii="Times New Roman" w:eastAsia="SimSun" w:hAnsi="Times New Roman" w:cs="Times New Roman"/>
          <w:lang w:eastAsia="zh-CN"/>
        </w:rPr>
        <w:t xml:space="preserve"> i </w:t>
      </w:r>
      <w:r w:rsidRPr="0032026D">
        <w:rPr>
          <w:rFonts w:ascii="Times New Roman" w:eastAsia="SimSun" w:hAnsi="Times New Roman" w:cs="Times New Roman"/>
          <w:i/>
          <w:lang w:eastAsia="zh-CN"/>
        </w:rPr>
        <w:t>MSH6</w:t>
      </w:r>
      <w:r w:rsidRPr="0032026D">
        <w:rPr>
          <w:rFonts w:ascii="Times New Roman" w:eastAsia="SimSun" w:hAnsi="Times New Roman" w:cs="Times New Roman"/>
          <w:lang w:eastAsia="zh-CN"/>
        </w:rPr>
        <w:t xml:space="preserve"> i nosicielstwa mutacji tych genów, </w:t>
      </w:r>
    </w:p>
    <w:p w:rsidR="0032026D" w:rsidRPr="0032026D" w:rsidRDefault="0032026D" w:rsidP="0032026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>W których u 2 krewnych I lub II</w:t>
      </w:r>
      <w:r w:rsidRPr="0032026D">
        <w:rPr>
          <w:rFonts w:ascii="Times New Roman" w:eastAsia="SimSun" w:hAnsi="Times New Roman" w:cs="Times New Roman"/>
          <w:vertAlign w:val="superscript"/>
          <w:lang w:eastAsia="zh-CN"/>
        </w:rPr>
        <w:t>0</w:t>
      </w:r>
      <w:r w:rsidRPr="0032026D">
        <w:rPr>
          <w:rFonts w:ascii="Times New Roman" w:eastAsia="SimSun" w:hAnsi="Times New Roman" w:cs="Times New Roman"/>
          <w:lang w:eastAsia="zh-CN"/>
        </w:rPr>
        <w:t xml:space="preserve"> wystąpiły zachorowania na raka jelita grubego, niezależnie od wieku tych 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zachorowań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, </w:t>
      </w:r>
    </w:p>
    <w:p w:rsidR="0032026D" w:rsidRPr="0032026D" w:rsidRDefault="0032026D" w:rsidP="0032026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 xml:space="preserve">W których wśród krewnych I 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i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 II</w:t>
      </w:r>
      <w:r w:rsidRPr="0032026D">
        <w:rPr>
          <w:rFonts w:ascii="Times New Roman" w:eastAsia="SimSun" w:hAnsi="Times New Roman" w:cs="Times New Roman"/>
          <w:vertAlign w:val="superscript"/>
          <w:lang w:eastAsia="zh-CN"/>
        </w:rPr>
        <w:t>0</w:t>
      </w:r>
      <w:r w:rsidRPr="0032026D">
        <w:rPr>
          <w:rFonts w:ascii="Times New Roman" w:eastAsia="SimSun" w:hAnsi="Times New Roman" w:cs="Times New Roman"/>
          <w:lang w:eastAsia="zh-CN"/>
        </w:rPr>
        <w:t xml:space="preserve">  wystąpiło 3 lub więcej 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zachorowań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 łącznie na raka jelita grubego i odbytnicy, błony śluzowej trzonu macicy, jajnika, żołądka i nerki – niezależnie od wieku zachorowania, </w:t>
      </w:r>
    </w:p>
    <w:p w:rsidR="0032026D" w:rsidRPr="0032026D" w:rsidRDefault="0032026D" w:rsidP="0032026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 xml:space="preserve">W których wśród krewnych I 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i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 II</w:t>
      </w:r>
      <w:r w:rsidRPr="0032026D">
        <w:rPr>
          <w:rFonts w:ascii="Times New Roman" w:eastAsia="SimSun" w:hAnsi="Times New Roman" w:cs="Times New Roman"/>
          <w:vertAlign w:val="superscript"/>
          <w:lang w:eastAsia="zh-CN"/>
        </w:rPr>
        <w:t>0</w:t>
      </w:r>
      <w:r w:rsidRPr="0032026D">
        <w:rPr>
          <w:rFonts w:ascii="Times New Roman" w:eastAsia="SimSun" w:hAnsi="Times New Roman" w:cs="Times New Roman"/>
          <w:lang w:eastAsia="zh-CN"/>
        </w:rPr>
        <w:t xml:space="preserve"> wystąpiło 3 lub więcej 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zachorowań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 na nowotwory ze spektrum zespołu Lyncha w umiejscowieniach pozajelitowych tj. raki błony śluzowej trzonu macicy, jajnika, żołądka i nerki. </w:t>
      </w:r>
    </w:p>
    <w:p w:rsidR="0032026D" w:rsidRPr="0032026D" w:rsidRDefault="0032026D" w:rsidP="0032026D">
      <w:p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 xml:space="preserve">Zalecenia dotyczące ww. osób obejmują: </w:t>
      </w:r>
    </w:p>
    <w:p w:rsidR="0032026D" w:rsidRPr="0032026D" w:rsidRDefault="0032026D" w:rsidP="0032026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proofErr w:type="spellStart"/>
      <w:r w:rsidRPr="0032026D">
        <w:rPr>
          <w:rFonts w:ascii="Times New Roman" w:eastAsia="SimSun" w:hAnsi="Times New Roman" w:cs="Times New Roman"/>
          <w:lang w:eastAsia="zh-CN"/>
        </w:rPr>
        <w:t>Kolonoskopię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 od 40 roku życia (lub od wieku o 10 lat wcześniejszego niż wiek najwcześniejszego zachorowania na raka jelita grubego w rodzinie, w zależności od tego, co przypada wcześniej) w odstępach nie rzadziej niż 5-letnich, </w:t>
      </w:r>
    </w:p>
    <w:p w:rsidR="0032026D" w:rsidRPr="0032026D" w:rsidRDefault="0032026D" w:rsidP="0032026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>U kobiet badanie ginekologiczne w tym USG ginekologiczne oraz badanie CA125 od 35 roku życia co roku.</w:t>
      </w:r>
    </w:p>
    <w:p w:rsidR="0032026D" w:rsidRPr="0032026D" w:rsidRDefault="0032026D" w:rsidP="0032026D">
      <w:pPr>
        <w:spacing w:after="0" w:line="360" w:lineRule="auto"/>
        <w:jc w:val="both"/>
        <w:rPr>
          <w:rFonts w:ascii="Times New Roman" w:eastAsia="SimSun" w:hAnsi="Times New Roman" w:cs="Times New Roman"/>
          <w:bCs/>
          <w:lang w:eastAsia="zh-CN"/>
        </w:rPr>
      </w:pPr>
      <w:r w:rsidRPr="0032026D">
        <w:rPr>
          <w:rFonts w:ascii="Times New Roman" w:eastAsia="SimSun" w:hAnsi="Times New Roman" w:cs="Times New Roman"/>
          <w:b/>
          <w:u w:val="single"/>
          <w:lang w:eastAsia="zh-CN"/>
        </w:rPr>
        <w:t xml:space="preserve">Zespół </w:t>
      </w:r>
      <w:proofErr w:type="spellStart"/>
      <w:r w:rsidRPr="0032026D">
        <w:rPr>
          <w:rFonts w:ascii="Times New Roman" w:eastAsia="SimSun" w:hAnsi="Times New Roman" w:cs="Times New Roman"/>
          <w:b/>
          <w:bCs/>
          <w:u w:val="single"/>
          <w:lang w:eastAsia="zh-CN"/>
        </w:rPr>
        <w:t>Peutza</w:t>
      </w:r>
      <w:proofErr w:type="spellEnd"/>
      <w:r w:rsidRPr="0032026D">
        <w:rPr>
          <w:rFonts w:ascii="Times New Roman" w:eastAsia="SimSun" w:hAnsi="Times New Roman" w:cs="Times New Roman"/>
          <w:b/>
          <w:bCs/>
          <w:u w:val="single"/>
          <w:lang w:eastAsia="zh-CN"/>
        </w:rPr>
        <w:t xml:space="preserve"> </w:t>
      </w:r>
      <w:proofErr w:type="spellStart"/>
      <w:r w:rsidRPr="0032026D">
        <w:rPr>
          <w:rFonts w:ascii="Times New Roman" w:eastAsia="SimSun" w:hAnsi="Times New Roman" w:cs="Times New Roman"/>
          <w:b/>
          <w:bCs/>
          <w:u w:val="single"/>
          <w:lang w:eastAsia="zh-CN"/>
        </w:rPr>
        <w:t>Jeghersa</w:t>
      </w:r>
      <w:proofErr w:type="spellEnd"/>
      <w:r w:rsidRPr="0032026D">
        <w:rPr>
          <w:rFonts w:ascii="Times New Roman" w:eastAsia="SimSun" w:hAnsi="Times New Roman" w:cs="Times New Roman"/>
          <w:b/>
          <w:bCs/>
          <w:u w:val="single"/>
          <w:lang w:eastAsia="zh-CN"/>
        </w:rPr>
        <w:t xml:space="preserve"> (PJS </w:t>
      </w:r>
      <w:proofErr w:type="spellStart"/>
      <w:r w:rsidRPr="0032026D">
        <w:rPr>
          <w:rFonts w:ascii="Times New Roman" w:eastAsia="SimSun" w:hAnsi="Times New Roman" w:cs="Times New Roman"/>
          <w:b/>
          <w:bCs/>
          <w:u w:val="single"/>
          <w:lang w:eastAsia="zh-CN"/>
        </w:rPr>
        <w:t>Peutz</w:t>
      </w:r>
      <w:proofErr w:type="spellEnd"/>
      <w:r w:rsidRPr="0032026D">
        <w:rPr>
          <w:rFonts w:ascii="Times New Roman" w:eastAsia="SimSun" w:hAnsi="Times New Roman" w:cs="Times New Roman"/>
          <w:b/>
          <w:bCs/>
          <w:u w:val="single"/>
          <w:lang w:eastAsia="zh-CN"/>
        </w:rPr>
        <w:t xml:space="preserve"> </w:t>
      </w:r>
      <w:proofErr w:type="spellStart"/>
      <w:r w:rsidRPr="0032026D">
        <w:rPr>
          <w:rFonts w:ascii="Times New Roman" w:eastAsia="SimSun" w:hAnsi="Times New Roman" w:cs="Times New Roman"/>
          <w:b/>
          <w:bCs/>
          <w:u w:val="single"/>
          <w:lang w:eastAsia="zh-CN"/>
        </w:rPr>
        <w:t>Jeghers</w:t>
      </w:r>
      <w:proofErr w:type="spellEnd"/>
      <w:r w:rsidRPr="0032026D">
        <w:rPr>
          <w:rFonts w:ascii="Times New Roman" w:eastAsia="SimSun" w:hAnsi="Times New Roman" w:cs="Times New Roman"/>
          <w:b/>
          <w:bCs/>
          <w:u w:val="single"/>
          <w:lang w:eastAsia="zh-CN"/>
        </w:rPr>
        <w:t xml:space="preserve"> </w:t>
      </w:r>
      <w:proofErr w:type="spellStart"/>
      <w:r w:rsidRPr="0032026D">
        <w:rPr>
          <w:rFonts w:ascii="Times New Roman" w:eastAsia="SimSun" w:hAnsi="Times New Roman" w:cs="Times New Roman"/>
          <w:b/>
          <w:bCs/>
          <w:u w:val="single"/>
          <w:lang w:eastAsia="zh-CN"/>
        </w:rPr>
        <w:t>Syndrome</w:t>
      </w:r>
      <w:proofErr w:type="spellEnd"/>
      <w:r w:rsidRPr="0032026D">
        <w:rPr>
          <w:rFonts w:ascii="Times New Roman" w:eastAsia="SimSun" w:hAnsi="Times New Roman" w:cs="Times New Roman"/>
          <w:b/>
          <w:bCs/>
          <w:u w:val="single"/>
          <w:lang w:eastAsia="zh-CN"/>
        </w:rPr>
        <w:t>)</w:t>
      </w:r>
      <w:r w:rsidRPr="0032026D">
        <w:rPr>
          <w:rFonts w:ascii="Times New Roman" w:eastAsia="SimSun" w:hAnsi="Times New Roman" w:cs="Times New Roman"/>
          <w:bCs/>
          <w:lang w:eastAsia="zh-CN"/>
        </w:rPr>
        <w:t xml:space="preserve"> </w:t>
      </w:r>
    </w:p>
    <w:p w:rsidR="0032026D" w:rsidRPr="0032026D" w:rsidRDefault="0032026D" w:rsidP="0032026D">
      <w:p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bCs/>
          <w:lang w:eastAsia="zh-CN"/>
        </w:rPr>
        <w:lastRenderedPageBreak/>
        <w:t xml:space="preserve">Zespół uwarunkowany jest mutacjami w genie </w:t>
      </w:r>
      <w:r w:rsidRPr="0032026D">
        <w:rPr>
          <w:rFonts w:ascii="Times New Roman" w:eastAsia="SimSun" w:hAnsi="Times New Roman" w:cs="Times New Roman"/>
          <w:bCs/>
          <w:i/>
          <w:lang w:eastAsia="zh-CN"/>
        </w:rPr>
        <w:t xml:space="preserve">STK11 </w:t>
      </w:r>
      <w:r w:rsidRPr="0032026D">
        <w:rPr>
          <w:rFonts w:ascii="Times New Roman" w:eastAsia="SimSun" w:hAnsi="Times New Roman" w:cs="Times New Roman"/>
          <w:bCs/>
          <w:lang w:eastAsia="zh-CN"/>
        </w:rPr>
        <w:t>(OMIM</w:t>
      </w:r>
      <w:r w:rsidRPr="0032026D">
        <w:rPr>
          <w:rFonts w:ascii="Times New Roman" w:eastAsia="SimSun" w:hAnsi="Times New Roman" w:cs="Times New Roman"/>
          <w:lang w:eastAsia="zh-CN"/>
        </w:rPr>
        <w:t xml:space="preserve"> 602216 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Serine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>/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Threonine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 Protein 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Kinase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 11</w:t>
      </w:r>
      <w:r w:rsidRPr="0032026D">
        <w:rPr>
          <w:rFonts w:ascii="Times New Roman" w:eastAsia="SimSun" w:hAnsi="Times New Roman" w:cs="Times New Roman"/>
          <w:bCs/>
          <w:lang w:eastAsia="zh-CN"/>
        </w:rPr>
        <w:t>)</w:t>
      </w:r>
      <w:r w:rsidRPr="0032026D">
        <w:rPr>
          <w:rFonts w:ascii="Times New Roman" w:eastAsia="SimSun" w:hAnsi="Times New Roman" w:cs="Times New Roman"/>
          <w:lang w:eastAsia="zh-CN"/>
        </w:rPr>
        <w:t xml:space="preserve"> </w:t>
      </w:r>
      <w:r w:rsidRPr="0032026D">
        <w:rPr>
          <w:rFonts w:ascii="Times New Roman" w:eastAsia="SimSun" w:hAnsi="Times New Roman" w:cs="Times New Roman"/>
          <w:bCs/>
          <w:lang w:eastAsia="zh-CN"/>
        </w:rPr>
        <w:t xml:space="preserve">położonym w regionie 19.13.3. Zespół </w:t>
      </w:r>
      <w:proofErr w:type="spellStart"/>
      <w:r w:rsidRPr="0032026D">
        <w:rPr>
          <w:rFonts w:ascii="Times New Roman" w:eastAsia="SimSun" w:hAnsi="Times New Roman" w:cs="Times New Roman"/>
          <w:bCs/>
          <w:lang w:eastAsia="zh-CN"/>
        </w:rPr>
        <w:t>Peutza</w:t>
      </w:r>
      <w:proofErr w:type="spellEnd"/>
      <w:r w:rsidRPr="0032026D">
        <w:rPr>
          <w:rFonts w:ascii="Times New Roman" w:eastAsia="SimSun" w:hAnsi="Times New Roman" w:cs="Times New Roman"/>
          <w:bCs/>
          <w:lang w:eastAsia="zh-CN"/>
        </w:rPr>
        <w:t xml:space="preserve"> i </w:t>
      </w:r>
      <w:proofErr w:type="spellStart"/>
      <w:r w:rsidRPr="0032026D">
        <w:rPr>
          <w:rFonts w:ascii="Times New Roman" w:eastAsia="SimSun" w:hAnsi="Times New Roman" w:cs="Times New Roman"/>
          <w:bCs/>
          <w:lang w:eastAsia="zh-CN"/>
        </w:rPr>
        <w:t>Jeghersa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 (PJS OMIM 175200) </w:t>
      </w:r>
      <w:r w:rsidRPr="0032026D">
        <w:rPr>
          <w:rFonts w:ascii="Times New Roman" w:eastAsia="SimSun" w:hAnsi="Times New Roman" w:cs="Times New Roman"/>
          <w:bCs/>
          <w:lang w:eastAsia="zh-CN"/>
        </w:rPr>
        <w:t xml:space="preserve">jest dziedziczony autosomalnie dominująco. Częstość występowania choroby waha się od </w:t>
      </w:r>
      <w:r w:rsidRPr="0032026D">
        <w:rPr>
          <w:rFonts w:ascii="Times New Roman" w:eastAsia="SimSun" w:hAnsi="Times New Roman" w:cs="Times New Roman"/>
          <w:lang w:eastAsia="zh-CN"/>
        </w:rPr>
        <w:t xml:space="preserve">1/29 000 do 1/120 000 nowych urodzeń. Zmiany barwnikowe pojawiają się bardzo wcześnie a charakterystyczne polipy jelita pojawiają się podczas drugiej i trzeciej dekady życia u 80-100% pacjentów. Pacjenci z PJS są obciążenie podwyższonym ryzykiem wystąpienia przede wszystkim nowotworu trzustki, sutka i jelita grubego. </w:t>
      </w:r>
    </w:p>
    <w:p w:rsidR="0032026D" w:rsidRPr="0032026D" w:rsidRDefault="0032026D" w:rsidP="0032026D">
      <w:p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 xml:space="preserve">Kryteria rozpoznania: </w:t>
      </w:r>
    </w:p>
    <w:p w:rsidR="0032026D" w:rsidRPr="0032026D" w:rsidRDefault="0032026D" w:rsidP="0032026D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>występowanie trzech lub więcej charakterystycznych dla PJS polipów potwierdzonych pod względem histologicznym,</w:t>
      </w:r>
    </w:p>
    <w:p w:rsidR="0032026D" w:rsidRPr="0032026D" w:rsidRDefault="0032026D" w:rsidP="0032026D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>występowanie jakiejkolwiek liczby polipów charakterystycznych dla PJS u pacjentów z obciążonym wywiadem rodzinnym,</w:t>
      </w:r>
    </w:p>
    <w:p w:rsidR="0032026D" w:rsidRPr="0032026D" w:rsidRDefault="0032026D" w:rsidP="0032026D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>występowanie charakterystycznych zmiany barwnikowo skórno-śluzówkowych u pacjentów z obciążonym wywiadem rodzinnym,</w:t>
      </w:r>
    </w:p>
    <w:p w:rsidR="0032026D" w:rsidRPr="0032026D" w:rsidRDefault="0032026D" w:rsidP="0032026D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>występowanie jakiejkolwiek liczby polipów charakterystycznych dla PJS u pacjentów z typowymi zmianami barwnikowymi skórno-śluzówkowymi.</w:t>
      </w:r>
    </w:p>
    <w:p w:rsidR="0032026D" w:rsidRPr="0032026D" w:rsidRDefault="0032026D" w:rsidP="0032026D">
      <w:p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>Zalecenia diagnostyczne:</w:t>
      </w:r>
    </w:p>
    <w:p w:rsidR="0032026D" w:rsidRPr="0032026D" w:rsidRDefault="0032026D" w:rsidP="0032026D">
      <w:pPr>
        <w:numPr>
          <w:ilvl w:val="0"/>
          <w:numId w:val="12"/>
        </w:numPr>
        <w:spacing w:after="0" w:line="360" w:lineRule="auto"/>
        <w:ind w:left="567" w:hanging="425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>dla obu płci zalecane jest:</w:t>
      </w:r>
    </w:p>
    <w:p w:rsidR="0032026D" w:rsidRPr="0032026D" w:rsidRDefault="0032026D" w:rsidP="0032026D">
      <w:pPr>
        <w:numPr>
          <w:ilvl w:val="1"/>
          <w:numId w:val="11"/>
        </w:numPr>
        <w:spacing w:after="0" w:line="360" w:lineRule="auto"/>
        <w:ind w:left="709" w:hanging="425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>badanie jelita cienkiego (pasaż jelita cienkiego) od 8 roku życia raz na 2 - 3 lata,</w:t>
      </w:r>
    </w:p>
    <w:p w:rsidR="0032026D" w:rsidRPr="0032026D" w:rsidRDefault="0032026D" w:rsidP="0032026D">
      <w:pPr>
        <w:numPr>
          <w:ilvl w:val="1"/>
          <w:numId w:val="11"/>
        </w:numPr>
        <w:spacing w:after="0" w:line="360" w:lineRule="auto"/>
        <w:ind w:left="709" w:hanging="425"/>
        <w:jc w:val="both"/>
        <w:rPr>
          <w:rFonts w:ascii="Times New Roman" w:eastAsia="SimSun" w:hAnsi="Times New Roman" w:cs="Times New Roman"/>
          <w:lang w:eastAsia="zh-CN"/>
        </w:rPr>
      </w:pPr>
      <w:proofErr w:type="spellStart"/>
      <w:r w:rsidRPr="0032026D">
        <w:rPr>
          <w:rFonts w:ascii="Times New Roman" w:eastAsia="SimSun" w:hAnsi="Times New Roman" w:cs="Times New Roman"/>
          <w:lang w:eastAsia="zh-CN"/>
        </w:rPr>
        <w:t>kolonoskopia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 co 2-3 lata od 18 roku życia (w ramach opieki gastroenterologa, pod opieką którego powinien być taki chory),</w:t>
      </w:r>
    </w:p>
    <w:p w:rsidR="0032026D" w:rsidRPr="0032026D" w:rsidRDefault="0032026D" w:rsidP="0032026D">
      <w:pPr>
        <w:numPr>
          <w:ilvl w:val="1"/>
          <w:numId w:val="11"/>
        </w:numPr>
        <w:spacing w:after="0" w:line="360" w:lineRule="auto"/>
        <w:ind w:left="709" w:hanging="425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>badanie USG trzustki raz na 1-2 lata od 24 roku życia;</w:t>
      </w:r>
    </w:p>
    <w:p w:rsidR="0032026D" w:rsidRPr="0032026D" w:rsidRDefault="0032026D" w:rsidP="0032026D">
      <w:pPr>
        <w:numPr>
          <w:ilvl w:val="0"/>
          <w:numId w:val="12"/>
        </w:numPr>
        <w:spacing w:after="0" w:line="360" w:lineRule="auto"/>
        <w:ind w:left="567" w:hanging="425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>dla chorych płci żeńskiej:</w:t>
      </w:r>
    </w:p>
    <w:p w:rsidR="0032026D" w:rsidRPr="0032026D" w:rsidRDefault="0032026D" w:rsidP="0032026D">
      <w:pPr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>badanie piersi od 18 roku życia, samokontrola raz w miesiącu. Od 24 roku życia coroczne kontrolne badania obrazowe USG, w razie wykrycia nieprawidłowości z poszerzeniem badań o MRI lub mammografię,</w:t>
      </w:r>
    </w:p>
    <w:p w:rsidR="0032026D" w:rsidRPr="0032026D" w:rsidRDefault="0032026D" w:rsidP="0032026D">
      <w:pPr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 xml:space="preserve">USG jajników zaleca się przeprowadzać raz na rok począwszy od urodzenia do 12 roku życia, a następnie od 21 r.ż., </w:t>
      </w:r>
    </w:p>
    <w:p w:rsidR="0032026D" w:rsidRPr="0032026D" w:rsidRDefault="0032026D" w:rsidP="0032026D">
      <w:pPr>
        <w:numPr>
          <w:ilvl w:val="0"/>
          <w:numId w:val="12"/>
        </w:numPr>
        <w:spacing w:after="0" w:line="360" w:lineRule="auto"/>
        <w:ind w:left="567" w:hanging="425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>dla chorych płci męskiej:</w:t>
      </w:r>
    </w:p>
    <w:p w:rsidR="0032026D" w:rsidRPr="0032026D" w:rsidRDefault="0032026D" w:rsidP="0032026D">
      <w:pPr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>badanie jąder od urodzenia do 12 roku życia</w:t>
      </w:r>
      <w:r w:rsidRPr="0032026D">
        <w:rPr>
          <w:rFonts w:ascii="Times New Roman" w:eastAsia="SimSun" w:hAnsi="Times New Roman" w:cs="Times New Roman"/>
          <w:color w:val="FF0000"/>
          <w:lang w:eastAsia="zh-CN"/>
        </w:rPr>
        <w:t xml:space="preserve"> - </w:t>
      </w:r>
      <w:r w:rsidRPr="0032026D">
        <w:rPr>
          <w:rFonts w:ascii="Times New Roman" w:eastAsia="SimSun" w:hAnsi="Times New Roman" w:cs="Times New Roman"/>
          <w:lang w:eastAsia="zh-CN"/>
        </w:rPr>
        <w:t xml:space="preserve">badanie 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palpacyjne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 jest możliwe do wykonania na każdym etapie, w przypadku wykrycia niepokojących objawów - skierowanie do dalszej diagnostyki i leczenia specjalistycznego.</w:t>
      </w:r>
    </w:p>
    <w:p w:rsidR="0032026D" w:rsidRPr="0032026D" w:rsidRDefault="0032026D" w:rsidP="0032026D">
      <w:p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>W ramach programu planowane jest:</w:t>
      </w:r>
    </w:p>
    <w:p w:rsidR="0032026D" w:rsidRPr="0032026D" w:rsidRDefault="0032026D" w:rsidP="0032026D">
      <w:pPr>
        <w:numPr>
          <w:ilvl w:val="0"/>
          <w:numId w:val="10"/>
        </w:numPr>
        <w:spacing w:after="0" w:line="360" w:lineRule="auto"/>
        <w:ind w:left="567" w:hanging="425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>Zidentyfikowanie nowych pacjentów z zespołem PJS poprzez badanie genu STK11.</w:t>
      </w:r>
    </w:p>
    <w:p w:rsidR="0032026D" w:rsidRPr="0032026D" w:rsidRDefault="0032026D" w:rsidP="0032026D">
      <w:pPr>
        <w:numPr>
          <w:ilvl w:val="0"/>
          <w:numId w:val="10"/>
        </w:numPr>
        <w:spacing w:after="0" w:line="360" w:lineRule="auto"/>
        <w:ind w:left="567" w:hanging="425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 xml:space="preserve">Wykonywanie badania nosicielstwa mutacji genu </w:t>
      </w:r>
      <w:r w:rsidRPr="0032026D">
        <w:rPr>
          <w:rFonts w:ascii="Times New Roman" w:eastAsia="SimSun" w:hAnsi="Times New Roman" w:cs="Times New Roman"/>
          <w:i/>
          <w:lang w:eastAsia="zh-CN"/>
        </w:rPr>
        <w:t xml:space="preserve">STK11 </w:t>
      </w:r>
      <w:r w:rsidRPr="0032026D">
        <w:rPr>
          <w:rFonts w:ascii="Times New Roman" w:eastAsia="SimSun" w:hAnsi="Times New Roman" w:cs="Times New Roman"/>
          <w:lang w:eastAsia="zh-CN"/>
        </w:rPr>
        <w:t>w rodzinach z rozpoznaną mutacją markerową tego genu.</w:t>
      </w:r>
    </w:p>
    <w:p w:rsidR="0032026D" w:rsidRPr="0032026D" w:rsidRDefault="0032026D" w:rsidP="0032026D">
      <w:pPr>
        <w:spacing w:after="0" w:line="360" w:lineRule="auto"/>
        <w:jc w:val="both"/>
        <w:rPr>
          <w:rFonts w:ascii="Times New Roman" w:eastAsia="SimSun" w:hAnsi="Times New Roman" w:cs="Times New Roman"/>
          <w:u w:val="single"/>
          <w:lang w:eastAsia="zh-CN"/>
        </w:rPr>
      </w:pPr>
      <w:r w:rsidRPr="0032026D">
        <w:rPr>
          <w:rFonts w:ascii="Times New Roman" w:eastAsia="SimSun" w:hAnsi="Times New Roman" w:cs="Times New Roman"/>
          <w:b/>
          <w:u w:val="single"/>
          <w:lang w:eastAsia="zh-CN"/>
        </w:rPr>
        <w:t xml:space="preserve">Polipowatość młodzieńcza (JPS ang. </w:t>
      </w:r>
      <w:proofErr w:type="spellStart"/>
      <w:r w:rsidRPr="0032026D">
        <w:rPr>
          <w:rFonts w:ascii="Times New Roman" w:eastAsia="SimSun" w:hAnsi="Times New Roman" w:cs="Times New Roman"/>
          <w:b/>
          <w:i/>
          <w:u w:val="single"/>
          <w:lang w:eastAsia="zh-CN"/>
        </w:rPr>
        <w:t>juvenile</w:t>
      </w:r>
      <w:proofErr w:type="spellEnd"/>
      <w:r w:rsidRPr="0032026D">
        <w:rPr>
          <w:rFonts w:ascii="Times New Roman" w:eastAsia="SimSun" w:hAnsi="Times New Roman" w:cs="Times New Roman"/>
          <w:b/>
          <w:i/>
          <w:u w:val="single"/>
          <w:lang w:eastAsia="zh-CN"/>
        </w:rPr>
        <w:t xml:space="preserve"> </w:t>
      </w:r>
      <w:proofErr w:type="spellStart"/>
      <w:r w:rsidRPr="0032026D">
        <w:rPr>
          <w:rFonts w:ascii="Times New Roman" w:eastAsia="SimSun" w:hAnsi="Times New Roman" w:cs="Times New Roman"/>
          <w:b/>
          <w:i/>
          <w:u w:val="single"/>
          <w:lang w:eastAsia="zh-CN"/>
        </w:rPr>
        <w:t>polyposis</w:t>
      </w:r>
      <w:proofErr w:type="spellEnd"/>
      <w:r w:rsidRPr="0032026D">
        <w:rPr>
          <w:rFonts w:ascii="Times New Roman" w:eastAsia="SimSun" w:hAnsi="Times New Roman" w:cs="Times New Roman"/>
          <w:b/>
          <w:i/>
          <w:u w:val="single"/>
          <w:lang w:eastAsia="zh-CN"/>
        </w:rPr>
        <w:t xml:space="preserve"> </w:t>
      </w:r>
      <w:proofErr w:type="spellStart"/>
      <w:r w:rsidRPr="0032026D">
        <w:rPr>
          <w:rFonts w:ascii="Times New Roman" w:eastAsia="SimSun" w:hAnsi="Times New Roman" w:cs="Times New Roman"/>
          <w:b/>
          <w:i/>
          <w:u w:val="single"/>
          <w:lang w:eastAsia="zh-CN"/>
        </w:rPr>
        <w:t>syndrome</w:t>
      </w:r>
      <w:proofErr w:type="spellEnd"/>
      <w:r w:rsidRPr="0032026D">
        <w:rPr>
          <w:rFonts w:ascii="Times New Roman" w:eastAsia="SimSun" w:hAnsi="Times New Roman" w:cs="Times New Roman"/>
          <w:b/>
          <w:u w:val="single"/>
          <w:lang w:eastAsia="zh-CN"/>
        </w:rPr>
        <w:t>)</w:t>
      </w:r>
      <w:r w:rsidRPr="0032026D">
        <w:rPr>
          <w:rFonts w:ascii="Times New Roman" w:eastAsia="SimSun" w:hAnsi="Times New Roman" w:cs="Times New Roman"/>
          <w:u w:val="single"/>
          <w:lang w:eastAsia="zh-CN"/>
        </w:rPr>
        <w:t xml:space="preserve"> </w:t>
      </w:r>
    </w:p>
    <w:p w:rsidR="0032026D" w:rsidRPr="0032026D" w:rsidRDefault="0032026D" w:rsidP="0032026D">
      <w:p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lastRenderedPageBreak/>
        <w:t>JPS (OMIM 174900) jest rzadką chorobą dziedziczoną w sposób autosomalny dominujący i występuje 1 na 100000 nowych urodzeń.</w:t>
      </w:r>
    </w:p>
    <w:p w:rsidR="0032026D" w:rsidRPr="0032026D" w:rsidRDefault="0032026D" w:rsidP="0032026D">
      <w:p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>Za wystąpienie polipowatości młodzieńczej odpowiedzialne są mutacje w genach</w:t>
      </w:r>
      <w:r w:rsidRPr="0032026D">
        <w:rPr>
          <w:rFonts w:ascii="Times New Roman" w:eastAsia="SimSun" w:hAnsi="Times New Roman" w:cs="Times New Roman"/>
          <w:i/>
          <w:lang w:eastAsia="zh-CN"/>
        </w:rPr>
        <w:t xml:space="preserve"> SMAD4 </w:t>
      </w:r>
      <w:r w:rsidRPr="0032026D">
        <w:rPr>
          <w:rFonts w:ascii="Times New Roman" w:eastAsia="SimSun" w:hAnsi="Times New Roman" w:cs="Times New Roman"/>
          <w:lang w:eastAsia="zh-CN"/>
        </w:rPr>
        <w:t>i </w:t>
      </w:r>
      <w:r w:rsidRPr="0032026D">
        <w:rPr>
          <w:rFonts w:ascii="Times New Roman" w:eastAsia="SimSun" w:hAnsi="Times New Roman" w:cs="Times New Roman"/>
          <w:i/>
          <w:lang w:eastAsia="zh-CN"/>
        </w:rPr>
        <w:t>BMPR1A</w:t>
      </w:r>
      <w:r w:rsidRPr="0032026D">
        <w:rPr>
          <w:rFonts w:ascii="Times New Roman" w:eastAsia="SimSun" w:hAnsi="Times New Roman" w:cs="Times New Roman"/>
          <w:lang w:eastAsia="zh-CN"/>
        </w:rPr>
        <w:t xml:space="preserve">. Gen </w:t>
      </w:r>
      <w:r w:rsidRPr="0032026D">
        <w:rPr>
          <w:rFonts w:ascii="Times New Roman" w:eastAsia="SimSun" w:hAnsi="Times New Roman" w:cs="Times New Roman"/>
          <w:i/>
          <w:lang w:eastAsia="zh-CN"/>
        </w:rPr>
        <w:t>BMPR1A</w:t>
      </w:r>
      <w:r w:rsidRPr="0032026D">
        <w:rPr>
          <w:rFonts w:ascii="Times New Roman" w:eastAsia="SimSun" w:hAnsi="Times New Roman" w:cs="Times New Roman"/>
          <w:lang w:eastAsia="zh-CN"/>
        </w:rPr>
        <w:t xml:space="preserve"> (OMIM 601299; ang. </w:t>
      </w:r>
      <w:proofErr w:type="spellStart"/>
      <w:r w:rsidRPr="0032026D">
        <w:rPr>
          <w:rFonts w:ascii="Times New Roman" w:eastAsia="SimSun" w:hAnsi="Times New Roman" w:cs="Times New Roman"/>
          <w:bCs/>
          <w:i/>
          <w:lang w:eastAsia="zh-CN"/>
        </w:rPr>
        <w:t>Bone</w:t>
      </w:r>
      <w:proofErr w:type="spellEnd"/>
      <w:r w:rsidRPr="0032026D">
        <w:rPr>
          <w:rFonts w:ascii="Times New Roman" w:eastAsia="SimSun" w:hAnsi="Times New Roman" w:cs="Times New Roman"/>
          <w:bCs/>
          <w:i/>
          <w:lang w:eastAsia="zh-CN"/>
        </w:rPr>
        <w:t xml:space="preserve"> </w:t>
      </w:r>
      <w:proofErr w:type="spellStart"/>
      <w:r w:rsidRPr="0032026D">
        <w:rPr>
          <w:rFonts w:ascii="Times New Roman" w:eastAsia="SimSun" w:hAnsi="Times New Roman" w:cs="Times New Roman"/>
          <w:bCs/>
          <w:i/>
          <w:lang w:eastAsia="zh-CN"/>
        </w:rPr>
        <w:t>Morphogenetic</w:t>
      </w:r>
      <w:proofErr w:type="spellEnd"/>
      <w:r w:rsidRPr="0032026D">
        <w:rPr>
          <w:rFonts w:ascii="Times New Roman" w:eastAsia="SimSun" w:hAnsi="Times New Roman" w:cs="Times New Roman"/>
          <w:bCs/>
          <w:i/>
          <w:lang w:eastAsia="zh-CN"/>
        </w:rPr>
        <w:t xml:space="preserve"> Protein Receptor, </w:t>
      </w:r>
      <w:proofErr w:type="spellStart"/>
      <w:r w:rsidRPr="0032026D">
        <w:rPr>
          <w:rFonts w:ascii="Times New Roman" w:eastAsia="SimSun" w:hAnsi="Times New Roman" w:cs="Times New Roman"/>
          <w:bCs/>
          <w:i/>
          <w:lang w:eastAsia="zh-CN"/>
        </w:rPr>
        <w:t>Type</w:t>
      </w:r>
      <w:proofErr w:type="spellEnd"/>
      <w:r w:rsidRPr="0032026D">
        <w:rPr>
          <w:rFonts w:ascii="Times New Roman" w:eastAsia="SimSun" w:hAnsi="Times New Roman" w:cs="Times New Roman"/>
          <w:bCs/>
          <w:i/>
          <w:lang w:eastAsia="zh-CN"/>
        </w:rPr>
        <w:t xml:space="preserve"> IA</w:t>
      </w:r>
      <w:r w:rsidRPr="0032026D">
        <w:rPr>
          <w:rFonts w:ascii="Times New Roman" w:eastAsia="SimSun" w:hAnsi="Times New Roman" w:cs="Times New Roman"/>
          <w:lang w:eastAsia="zh-CN"/>
        </w:rPr>
        <w:t xml:space="preserve">) znajduje się w chromosomie 10q22-23. Gen </w:t>
      </w:r>
      <w:r w:rsidRPr="0032026D">
        <w:rPr>
          <w:rFonts w:ascii="Times New Roman" w:eastAsia="SimSun" w:hAnsi="Times New Roman" w:cs="Times New Roman"/>
          <w:i/>
          <w:lang w:eastAsia="zh-CN"/>
        </w:rPr>
        <w:t>SMAD4</w:t>
      </w:r>
      <w:r w:rsidRPr="0032026D">
        <w:rPr>
          <w:rFonts w:ascii="Times New Roman" w:eastAsia="SimSun" w:hAnsi="Times New Roman" w:cs="Times New Roman"/>
          <w:lang w:eastAsia="zh-CN"/>
        </w:rPr>
        <w:t xml:space="preserve"> (OMIM 600993; ang. </w:t>
      </w:r>
      <w:proofErr w:type="spellStart"/>
      <w:r w:rsidRPr="0032026D">
        <w:rPr>
          <w:rFonts w:ascii="Times New Roman" w:eastAsia="SimSun" w:hAnsi="Times New Roman" w:cs="Times New Roman"/>
          <w:i/>
          <w:iCs/>
          <w:lang w:eastAsia="zh-CN"/>
        </w:rPr>
        <w:t>mothers</w:t>
      </w:r>
      <w:proofErr w:type="spellEnd"/>
      <w:r w:rsidRPr="0032026D">
        <w:rPr>
          <w:rFonts w:ascii="Times New Roman" w:eastAsia="SimSun" w:hAnsi="Times New Roman" w:cs="Times New Roman"/>
          <w:i/>
          <w:iCs/>
          <w:lang w:eastAsia="zh-CN"/>
        </w:rPr>
        <w:t xml:space="preserve"> </w:t>
      </w:r>
      <w:proofErr w:type="spellStart"/>
      <w:r w:rsidRPr="0032026D">
        <w:rPr>
          <w:rFonts w:ascii="Times New Roman" w:eastAsia="SimSun" w:hAnsi="Times New Roman" w:cs="Times New Roman"/>
          <w:i/>
          <w:iCs/>
          <w:lang w:eastAsia="zh-CN"/>
        </w:rPr>
        <w:t>against</w:t>
      </w:r>
      <w:proofErr w:type="spellEnd"/>
      <w:r w:rsidRPr="0032026D">
        <w:rPr>
          <w:rFonts w:ascii="Times New Roman" w:eastAsia="SimSun" w:hAnsi="Times New Roman" w:cs="Times New Roman"/>
          <w:i/>
          <w:iCs/>
          <w:lang w:eastAsia="zh-CN"/>
        </w:rPr>
        <w:t xml:space="preserve"> </w:t>
      </w:r>
      <w:proofErr w:type="spellStart"/>
      <w:r w:rsidRPr="0032026D">
        <w:rPr>
          <w:rFonts w:ascii="Times New Roman" w:eastAsia="SimSun" w:hAnsi="Times New Roman" w:cs="Times New Roman"/>
          <w:i/>
          <w:iCs/>
          <w:lang w:eastAsia="zh-CN"/>
        </w:rPr>
        <w:t>decapentaplegic</w:t>
      </w:r>
      <w:proofErr w:type="spellEnd"/>
      <w:r w:rsidRPr="0032026D">
        <w:rPr>
          <w:rFonts w:ascii="Times New Roman" w:eastAsia="SimSun" w:hAnsi="Times New Roman" w:cs="Times New Roman"/>
          <w:i/>
          <w:iCs/>
          <w:lang w:eastAsia="zh-CN"/>
        </w:rPr>
        <w:t xml:space="preserve">, </w:t>
      </w:r>
      <w:proofErr w:type="spellStart"/>
      <w:r w:rsidRPr="0032026D">
        <w:rPr>
          <w:rFonts w:ascii="Times New Roman" w:eastAsia="SimSun" w:hAnsi="Times New Roman" w:cs="Times New Roman"/>
          <w:i/>
          <w:iCs/>
          <w:lang w:eastAsia="zh-CN"/>
        </w:rPr>
        <w:t>drosophila</w:t>
      </w:r>
      <w:proofErr w:type="spellEnd"/>
      <w:r w:rsidRPr="0032026D">
        <w:rPr>
          <w:rFonts w:ascii="Times New Roman" w:eastAsia="SimSun" w:hAnsi="Times New Roman" w:cs="Times New Roman"/>
          <w:i/>
          <w:iCs/>
          <w:lang w:eastAsia="zh-CN"/>
        </w:rPr>
        <w:t>, homolog of, 4</w:t>
      </w:r>
      <w:r w:rsidRPr="0032026D">
        <w:rPr>
          <w:rFonts w:ascii="Times New Roman" w:eastAsia="SimSun" w:hAnsi="Times New Roman" w:cs="Times New Roman"/>
          <w:bCs/>
          <w:lang w:eastAsia="zh-CN"/>
        </w:rPr>
        <w:t xml:space="preserve">) </w:t>
      </w:r>
      <w:r w:rsidRPr="0032026D">
        <w:rPr>
          <w:rFonts w:ascii="Times New Roman" w:eastAsia="SimSun" w:hAnsi="Times New Roman" w:cs="Times New Roman"/>
          <w:lang w:eastAsia="zh-CN"/>
        </w:rPr>
        <w:t xml:space="preserve">zlokalizowany jest na chromosomie 18q21.1. Diagnoza choroby opiera się na stwierdzeniu występowania polipów, które pod względem histopatologicznym są określane jako młodzieńcze. Polipy te nie maja wysokiego potencjału do rozwoju w kierunku nowotworu złośliwego, jednak ryzyko wystąpienia nowotworu jelita u nosicieli mutacji genów </w:t>
      </w:r>
      <w:r w:rsidRPr="0032026D">
        <w:rPr>
          <w:rFonts w:ascii="Times New Roman" w:eastAsia="SimSun" w:hAnsi="Times New Roman" w:cs="Times New Roman"/>
          <w:i/>
          <w:lang w:eastAsia="zh-CN"/>
        </w:rPr>
        <w:t xml:space="preserve">SMAD4, BMPR1A </w:t>
      </w:r>
      <w:r w:rsidRPr="0032026D">
        <w:rPr>
          <w:rFonts w:ascii="Times New Roman" w:eastAsia="SimSun" w:hAnsi="Times New Roman" w:cs="Times New Roman"/>
          <w:lang w:eastAsia="zh-CN"/>
        </w:rPr>
        <w:t>w ciągu życia sięga 80% a żołądka 21%.</w:t>
      </w:r>
    </w:p>
    <w:p w:rsidR="0032026D" w:rsidRPr="0032026D" w:rsidRDefault="0032026D" w:rsidP="0032026D">
      <w:p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>Kryteria rozpoznania:</w:t>
      </w:r>
    </w:p>
    <w:p w:rsidR="0032026D" w:rsidRPr="0032026D" w:rsidRDefault="0032026D" w:rsidP="0032026D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proofErr w:type="spellStart"/>
      <w:r w:rsidRPr="0032026D">
        <w:rPr>
          <w:rFonts w:ascii="Times New Roman" w:eastAsia="SimSun" w:hAnsi="Times New Roman" w:cs="Times New Roman"/>
          <w:lang w:eastAsia="zh-CN"/>
        </w:rPr>
        <w:t>gastroduodenoskopia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  od 15 roku życia; jeśli w badaniu endoskopowym zaobserwowano polipy, należy je usunąć i w takiej sytuacji badanie oraz usuwanie powtarzać corocznie; gdy polipów nie obserwuje się, badanie może być wykonywane raz na 3 lata;</w:t>
      </w:r>
    </w:p>
    <w:p w:rsidR="0032026D" w:rsidRPr="0032026D" w:rsidRDefault="0032026D" w:rsidP="0032026D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proofErr w:type="spellStart"/>
      <w:r w:rsidRPr="0032026D">
        <w:rPr>
          <w:rFonts w:ascii="Times New Roman" w:eastAsia="SimSun" w:hAnsi="Times New Roman" w:cs="Times New Roman"/>
          <w:lang w:eastAsia="zh-CN"/>
        </w:rPr>
        <w:t>kolonoskopia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 od 15 roku życia; jeśli w badaniu endoskopowym zaobserwowano polipy, należy je usunąć i w takiej sytuacji badanie oraz usuwanie powtarzać corocznie; gdy polipów nie obserwuje się, badanie może być wykonywane raz na 3 lata.</w:t>
      </w:r>
    </w:p>
    <w:p w:rsidR="0032026D" w:rsidRPr="0032026D" w:rsidRDefault="0032026D" w:rsidP="0032026D">
      <w:p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>Zalecenia diagnostyczne:</w:t>
      </w:r>
    </w:p>
    <w:p w:rsidR="0032026D" w:rsidRPr="0032026D" w:rsidRDefault="0032026D" w:rsidP="0032026D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 xml:space="preserve">coroczna konsultacja medyczna </w:t>
      </w:r>
    </w:p>
    <w:p w:rsidR="0032026D" w:rsidRPr="0032026D" w:rsidRDefault="0032026D" w:rsidP="0032026D">
      <w:pPr>
        <w:spacing w:after="0" w:line="360" w:lineRule="auto"/>
        <w:ind w:left="720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 xml:space="preserve">W polipowatości młodzieńczej opieka nad chorymi skupia się na kontrolowaniu układu pokarmowego. Jednak w kilku rodzinach obserwowano współwystępowanie naczyniakowatości krwotocznej w przypadku mutacji w genie </w:t>
      </w:r>
      <w:r w:rsidRPr="0032026D">
        <w:rPr>
          <w:rFonts w:ascii="Times New Roman" w:eastAsia="SimSun" w:hAnsi="Times New Roman" w:cs="Times New Roman"/>
          <w:i/>
          <w:lang w:eastAsia="zh-CN"/>
        </w:rPr>
        <w:t>SMAD4</w:t>
      </w:r>
      <w:r w:rsidRPr="0032026D">
        <w:rPr>
          <w:rFonts w:ascii="Times New Roman" w:eastAsia="SimSun" w:hAnsi="Times New Roman" w:cs="Times New Roman"/>
          <w:lang w:eastAsia="zh-CN"/>
        </w:rPr>
        <w:t xml:space="preserve">, więc zaburzenia rozwoju naczyń również są możliwe. Należy zwracać uwagę na występowanie u chorych krwawień, anemii, bólów brzucha, biegunek lub zmian w kształcie lub kolorze stolca. Występowanie takich objawów jest wskazaniem do dalszych badań obejmujących również 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kolonoskopię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. </w:t>
      </w:r>
    </w:p>
    <w:p w:rsidR="0032026D" w:rsidRPr="0032026D" w:rsidRDefault="0032026D" w:rsidP="0032026D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>u chorych bez dolegliwości - badania endoskopowe</w:t>
      </w:r>
    </w:p>
    <w:p w:rsidR="0032026D" w:rsidRPr="0032026D" w:rsidRDefault="0032026D" w:rsidP="0032026D">
      <w:pPr>
        <w:spacing w:after="0" w:line="360" w:lineRule="auto"/>
        <w:ind w:left="720"/>
        <w:jc w:val="both"/>
        <w:rPr>
          <w:rFonts w:ascii="Times New Roman" w:eastAsia="SimSun" w:hAnsi="Times New Roman" w:cs="Times New Roman"/>
          <w:lang w:eastAsia="zh-CN"/>
        </w:rPr>
      </w:pPr>
      <w:proofErr w:type="spellStart"/>
      <w:r w:rsidRPr="0032026D">
        <w:rPr>
          <w:rFonts w:ascii="Times New Roman" w:eastAsia="SimSun" w:hAnsi="Times New Roman" w:cs="Times New Roman"/>
          <w:lang w:eastAsia="zh-CN"/>
        </w:rPr>
        <w:t>Gastroduodenoskopię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 i 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kolonoskopię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 rozpoczynać się powinno od 15 roku życia. Jeśli w badaniu endoskopowym zaobserwowano polipy, należy je usunąć i w takiej sytuacji badanie oraz usuwanie powtarzać corocznie. Gdy polipów nie obserwuje się, badanie może być wykonywane raz na 3 lata.</w:t>
      </w:r>
    </w:p>
    <w:p w:rsidR="0032026D" w:rsidRPr="0032026D" w:rsidRDefault="0032026D" w:rsidP="0032026D">
      <w:p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>W ramach programu planowane jest:</w:t>
      </w:r>
    </w:p>
    <w:p w:rsidR="0032026D" w:rsidRPr="0032026D" w:rsidRDefault="0032026D" w:rsidP="0032026D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 xml:space="preserve">zidentyfikowanie nowych pacjentów z zespołem polipowatości młodzieńczej poprzez badanie genów </w:t>
      </w:r>
      <w:r w:rsidRPr="0032026D">
        <w:rPr>
          <w:rFonts w:ascii="Times New Roman" w:eastAsia="SimSun" w:hAnsi="Times New Roman" w:cs="Times New Roman"/>
          <w:i/>
          <w:lang w:eastAsia="zh-CN"/>
        </w:rPr>
        <w:t>SMAD4 i BMPR1A</w:t>
      </w:r>
      <w:r w:rsidRPr="0032026D">
        <w:rPr>
          <w:rFonts w:ascii="Times New Roman" w:eastAsia="SimSun" w:hAnsi="Times New Roman" w:cs="Times New Roman"/>
          <w:lang w:eastAsia="zh-CN"/>
        </w:rPr>
        <w:t xml:space="preserve"> u osób z wysokim ryzykiem wystąpienia choroby, czyli spełniających kryteria rozpoznania JPS,</w:t>
      </w:r>
    </w:p>
    <w:p w:rsidR="0032026D" w:rsidRPr="0032026D" w:rsidRDefault="0032026D" w:rsidP="0032026D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 xml:space="preserve">badanie nosicielstwa mutacji genów </w:t>
      </w:r>
      <w:r w:rsidRPr="0032026D">
        <w:rPr>
          <w:rFonts w:ascii="Times New Roman" w:eastAsia="SimSun" w:hAnsi="Times New Roman" w:cs="Times New Roman"/>
          <w:i/>
          <w:lang w:eastAsia="zh-CN"/>
        </w:rPr>
        <w:t>SMAD4 i BMPR1A</w:t>
      </w:r>
      <w:r w:rsidRPr="0032026D">
        <w:rPr>
          <w:rFonts w:ascii="Times New Roman" w:eastAsia="SimSun" w:hAnsi="Times New Roman" w:cs="Times New Roman"/>
          <w:lang w:eastAsia="zh-CN"/>
        </w:rPr>
        <w:t xml:space="preserve"> w rodzinach z rozpoznanymi mutacjami markerowymi tych genów,</w:t>
      </w:r>
    </w:p>
    <w:p w:rsidR="0032026D" w:rsidRPr="0032026D" w:rsidRDefault="0032026D" w:rsidP="0032026D">
      <w:p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lastRenderedPageBreak/>
        <w:t xml:space="preserve">Pacjenci, u których nie stwierdzono mutacji genów </w:t>
      </w:r>
      <w:r w:rsidRPr="0032026D">
        <w:rPr>
          <w:rFonts w:ascii="Times New Roman" w:eastAsia="SimSun" w:hAnsi="Times New Roman" w:cs="Times New Roman"/>
          <w:i/>
          <w:lang w:eastAsia="zh-CN"/>
        </w:rPr>
        <w:t>SMAD4 i BMPR1A</w:t>
      </w:r>
      <w:r w:rsidRPr="0032026D">
        <w:rPr>
          <w:rFonts w:ascii="Times New Roman" w:eastAsia="SimSun" w:hAnsi="Times New Roman" w:cs="Times New Roman"/>
          <w:lang w:eastAsia="zh-CN"/>
        </w:rPr>
        <w:t xml:space="preserve"> musza zostać skierowani do lekarza genetyka klinicznego w poradni genetycznej, celem wykonania badania genu </w:t>
      </w:r>
      <w:r w:rsidRPr="0032026D">
        <w:rPr>
          <w:rFonts w:ascii="Times New Roman" w:eastAsia="SimSun" w:hAnsi="Times New Roman" w:cs="Times New Roman"/>
          <w:i/>
          <w:lang w:eastAsia="zh-CN"/>
        </w:rPr>
        <w:t>PTEN</w:t>
      </w:r>
      <w:r w:rsidRPr="0032026D">
        <w:rPr>
          <w:rFonts w:ascii="Times New Roman" w:eastAsia="SimSun" w:hAnsi="Times New Roman" w:cs="Times New Roman"/>
          <w:lang w:eastAsia="zh-CN"/>
        </w:rPr>
        <w:t xml:space="preserve"> oraz ustalenia schematu optymalnej opieki nad pacjentem i rodziną. </w:t>
      </w:r>
    </w:p>
    <w:p w:rsidR="0032026D" w:rsidRPr="0032026D" w:rsidRDefault="0032026D" w:rsidP="0032026D">
      <w:pPr>
        <w:spacing w:before="240" w:after="0" w:line="360" w:lineRule="auto"/>
        <w:jc w:val="both"/>
        <w:rPr>
          <w:rFonts w:ascii="Times New Roman" w:eastAsia="SimSun" w:hAnsi="Times New Roman" w:cs="Times New Roman"/>
          <w:b/>
          <w:bCs/>
          <w:u w:val="single"/>
          <w:lang w:eastAsia="zh-CN"/>
        </w:rPr>
      </w:pPr>
      <w:r w:rsidRPr="0032026D">
        <w:rPr>
          <w:rFonts w:ascii="Times New Roman" w:eastAsia="SimSun" w:hAnsi="Times New Roman" w:cs="Times New Roman"/>
          <w:b/>
          <w:u w:val="single"/>
          <w:lang w:eastAsia="zh-CN"/>
        </w:rPr>
        <w:t xml:space="preserve">Zespół </w:t>
      </w:r>
      <w:r w:rsidRPr="0032026D">
        <w:rPr>
          <w:rFonts w:ascii="Times New Roman" w:eastAsia="SimSun" w:hAnsi="Times New Roman" w:cs="Times New Roman"/>
          <w:b/>
          <w:bCs/>
          <w:u w:val="single"/>
          <w:lang w:eastAsia="zh-CN"/>
        </w:rPr>
        <w:t>Polipowatości Recesywnej, MAP (</w:t>
      </w:r>
      <w:r w:rsidRPr="0032026D">
        <w:rPr>
          <w:rFonts w:ascii="Times New Roman" w:eastAsia="Calibri" w:hAnsi="Times New Roman" w:cs="Times New Roman"/>
          <w:b/>
          <w:u w:val="single"/>
          <w:shd w:val="clear" w:color="auto" w:fill="FFFFFF"/>
        </w:rPr>
        <w:t>MUTYH–</w:t>
      </w:r>
      <w:proofErr w:type="spellStart"/>
      <w:r w:rsidRPr="0032026D">
        <w:rPr>
          <w:rFonts w:ascii="Times New Roman" w:eastAsia="Calibri" w:hAnsi="Times New Roman" w:cs="Times New Roman"/>
          <w:b/>
          <w:u w:val="single"/>
          <w:shd w:val="clear" w:color="auto" w:fill="FFFFFF"/>
        </w:rPr>
        <w:t>associated</w:t>
      </w:r>
      <w:proofErr w:type="spellEnd"/>
      <w:r w:rsidRPr="0032026D">
        <w:rPr>
          <w:rFonts w:ascii="Times New Roman" w:eastAsia="Calibri" w:hAnsi="Times New Roman" w:cs="Times New Roman"/>
          <w:b/>
          <w:u w:val="single"/>
          <w:shd w:val="clear" w:color="auto" w:fill="FFFFFF"/>
        </w:rPr>
        <w:t xml:space="preserve"> </w:t>
      </w:r>
      <w:proofErr w:type="spellStart"/>
      <w:r w:rsidRPr="0032026D">
        <w:rPr>
          <w:rFonts w:ascii="Times New Roman" w:eastAsia="Calibri" w:hAnsi="Times New Roman" w:cs="Times New Roman"/>
          <w:b/>
          <w:u w:val="single"/>
          <w:shd w:val="clear" w:color="auto" w:fill="FFFFFF"/>
        </w:rPr>
        <w:t>polyposis</w:t>
      </w:r>
      <w:proofErr w:type="spellEnd"/>
      <w:r w:rsidRPr="0032026D">
        <w:rPr>
          <w:rFonts w:ascii="Times New Roman" w:eastAsia="Calibri" w:hAnsi="Times New Roman" w:cs="Times New Roman"/>
          <w:b/>
          <w:u w:val="single"/>
          <w:shd w:val="clear" w:color="auto" w:fill="FFFFFF"/>
        </w:rPr>
        <w:t>)</w:t>
      </w:r>
    </w:p>
    <w:p w:rsidR="0032026D" w:rsidRPr="0032026D" w:rsidRDefault="0032026D" w:rsidP="0032026D">
      <w:pPr>
        <w:spacing w:before="240" w:after="0" w:line="360" w:lineRule="auto"/>
        <w:jc w:val="both"/>
        <w:rPr>
          <w:rFonts w:ascii="Times New Roman" w:eastAsia="SimSun" w:hAnsi="Times New Roman" w:cs="Times New Roman"/>
          <w:bCs/>
          <w:lang w:eastAsia="zh-CN"/>
        </w:rPr>
      </w:pPr>
      <w:r w:rsidRPr="0032026D">
        <w:rPr>
          <w:rFonts w:ascii="Times New Roman" w:eastAsia="SimSun" w:hAnsi="Times New Roman" w:cs="Times New Roman"/>
          <w:bCs/>
          <w:lang w:eastAsia="zh-CN"/>
        </w:rPr>
        <w:t xml:space="preserve">Zespół Polipowatości Recesywnej </w:t>
      </w:r>
      <w:r w:rsidRPr="0032026D">
        <w:rPr>
          <w:rFonts w:ascii="Times New Roman" w:eastAsia="SimSun" w:hAnsi="Times New Roman" w:cs="Times New Roman"/>
          <w:lang w:eastAsia="zh-CN"/>
        </w:rPr>
        <w:t xml:space="preserve">(OMIM 608456) </w:t>
      </w:r>
      <w:r w:rsidRPr="0032026D">
        <w:rPr>
          <w:rFonts w:ascii="Times New Roman" w:eastAsia="SimSun" w:hAnsi="Times New Roman" w:cs="Times New Roman"/>
          <w:bCs/>
          <w:lang w:eastAsia="zh-CN"/>
        </w:rPr>
        <w:t xml:space="preserve">warunkowany jest mutacjami w genie </w:t>
      </w:r>
      <w:r w:rsidRPr="0032026D">
        <w:rPr>
          <w:rFonts w:ascii="Times New Roman" w:eastAsia="SimSun" w:hAnsi="Times New Roman" w:cs="Times New Roman"/>
          <w:bCs/>
          <w:i/>
          <w:lang w:eastAsia="zh-CN"/>
        </w:rPr>
        <w:t xml:space="preserve">MUTYH </w:t>
      </w:r>
      <w:r w:rsidRPr="0032026D">
        <w:rPr>
          <w:rFonts w:ascii="Times New Roman" w:eastAsia="SimSun" w:hAnsi="Times New Roman" w:cs="Times New Roman"/>
          <w:bCs/>
          <w:lang w:eastAsia="zh-CN"/>
        </w:rPr>
        <w:t xml:space="preserve">(OMIM </w:t>
      </w:r>
      <w:r w:rsidRPr="0032026D">
        <w:rPr>
          <w:rFonts w:ascii="Times New Roman" w:eastAsia="SimSun" w:hAnsi="Times New Roman" w:cs="Times New Roman"/>
          <w:lang w:eastAsia="zh-CN"/>
        </w:rPr>
        <w:t>604933</w:t>
      </w:r>
      <w:r w:rsidRPr="0032026D">
        <w:rPr>
          <w:rFonts w:ascii="Times New Roman" w:eastAsia="SimSun" w:hAnsi="Times New Roman" w:cs="Times New Roman"/>
          <w:bCs/>
          <w:lang w:eastAsia="zh-CN"/>
        </w:rPr>
        <w:t xml:space="preserve">) zlokalizowanym na chromosomie 1p34.3-32.1 i dziedziczony w sposób autosomalny recesywny. U nosicieli mutacji na obu allelach genu </w:t>
      </w:r>
      <w:r w:rsidRPr="0032026D">
        <w:rPr>
          <w:rFonts w:ascii="Times New Roman" w:eastAsia="SimSun" w:hAnsi="Times New Roman" w:cs="Times New Roman"/>
          <w:bCs/>
          <w:i/>
          <w:lang w:eastAsia="zh-CN"/>
        </w:rPr>
        <w:t>MUTYH,</w:t>
      </w:r>
      <w:r w:rsidRPr="0032026D">
        <w:rPr>
          <w:rFonts w:ascii="Times New Roman" w:eastAsia="SimSun" w:hAnsi="Times New Roman" w:cs="Times New Roman"/>
          <w:bCs/>
          <w:lang w:eastAsia="zh-CN"/>
        </w:rPr>
        <w:t xml:space="preserve"> obserwuje się zwiększone ryzyko rozwoju raka jelita grubego i raka endometrium. </w:t>
      </w:r>
    </w:p>
    <w:p w:rsidR="0032026D" w:rsidRPr="0032026D" w:rsidRDefault="0032026D" w:rsidP="0032026D">
      <w:p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 xml:space="preserve">Kryteria rozpoznania: </w:t>
      </w:r>
    </w:p>
    <w:p w:rsidR="0032026D" w:rsidRPr="0032026D" w:rsidRDefault="0032026D" w:rsidP="0032026D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 xml:space="preserve">Występowanie polipów </w:t>
      </w:r>
      <w:proofErr w:type="spellStart"/>
      <w:r w:rsidRPr="0032026D">
        <w:rPr>
          <w:rFonts w:ascii="Times New Roman" w:eastAsia="SimSun" w:hAnsi="Times New Roman" w:cs="Times New Roman"/>
          <w:lang w:eastAsia="zh-CN"/>
        </w:rPr>
        <w:t>gruczolakowatych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 jelita grubego, mniej licznych niż w przypadku FAP, w liczbie nieprzekraczającej 100. Obserwuje się zróżnicowanie pod względem występowania objawów. Przy niewielkiej liczbie polipów i nowotworze endometrium, fenotyp MAP podobny jest do zespołu Lyncha.</w:t>
      </w:r>
    </w:p>
    <w:p w:rsidR="0032026D" w:rsidRPr="0032026D" w:rsidRDefault="0032026D" w:rsidP="0032026D">
      <w:pPr>
        <w:spacing w:after="0" w:line="360" w:lineRule="auto"/>
        <w:jc w:val="both"/>
        <w:rPr>
          <w:rFonts w:ascii="Times New Roman" w:eastAsia="SimSun" w:hAnsi="Times New Roman" w:cs="Times New Roman"/>
          <w:bCs/>
          <w:lang w:eastAsia="zh-CN"/>
        </w:rPr>
      </w:pPr>
      <w:r w:rsidRPr="0032026D">
        <w:rPr>
          <w:rFonts w:ascii="Times New Roman" w:eastAsia="SimSun" w:hAnsi="Times New Roman" w:cs="Times New Roman"/>
          <w:bCs/>
          <w:lang w:eastAsia="zh-CN"/>
        </w:rPr>
        <w:t>W ramach programu planowane jest:</w:t>
      </w:r>
    </w:p>
    <w:p w:rsidR="0032026D" w:rsidRPr="0032026D" w:rsidRDefault="0032026D" w:rsidP="0032026D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>zidentyfikowanie nowych pacjentów z zespołem polipowatości recesywnej poprzez badanie genu</w:t>
      </w:r>
      <w:r w:rsidRPr="0032026D">
        <w:rPr>
          <w:rFonts w:ascii="Times New Roman" w:eastAsia="SimSun" w:hAnsi="Times New Roman" w:cs="Times New Roman"/>
          <w:i/>
          <w:lang w:eastAsia="zh-CN"/>
        </w:rPr>
        <w:t xml:space="preserve"> MUTYH</w:t>
      </w:r>
      <w:r w:rsidRPr="0032026D">
        <w:rPr>
          <w:rFonts w:ascii="Times New Roman" w:eastAsia="SimSun" w:hAnsi="Times New Roman" w:cs="Times New Roman"/>
          <w:lang w:eastAsia="zh-CN"/>
        </w:rPr>
        <w:t xml:space="preserve"> u osób z wysokim ryzykiem wystąpienia choroby, czyli spełniających  kryteria rozpoznania,</w:t>
      </w:r>
    </w:p>
    <w:p w:rsidR="0032026D" w:rsidRPr="0032026D" w:rsidRDefault="0032026D" w:rsidP="0032026D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 xml:space="preserve">badanie nosicielstwa mutacji genu </w:t>
      </w:r>
      <w:r w:rsidRPr="0032026D">
        <w:rPr>
          <w:rFonts w:ascii="Times New Roman" w:eastAsia="SimSun" w:hAnsi="Times New Roman" w:cs="Times New Roman"/>
          <w:i/>
          <w:lang w:eastAsia="zh-CN"/>
        </w:rPr>
        <w:t xml:space="preserve">MUTYH </w:t>
      </w:r>
      <w:r w:rsidRPr="0032026D">
        <w:rPr>
          <w:rFonts w:ascii="Times New Roman" w:eastAsia="SimSun" w:hAnsi="Times New Roman" w:cs="Times New Roman"/>
          <w:lang w:eastAsia="zh-CN"/>
        </w:rPr>
        <w:t>w rodzinach z rozpoznaną mutacją markerową tego genu,</w:t>
      </w:r>
    </w:p>
    <w:p w:rsidR="0032026D" w:rsidRPr="0032026D" w:rsidRDefault="0032026D" w:rsidP="0032026D">
      <w:p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2026D">
        <w:rPr>
          <w:rFonts w:ascii="Times New Roman" w:eastAsia="SimSun" w:hAnsi="Times New Roman" w:cs="Times New Roman"/>
          <w:lang w:eastAsia="zh-CN"/>
        </w:rPr>
        <w:t xml:space="preserve">Zalecenia diagnostyczne: </w:t>
      </w:r>
    </w:p>
    <w:p w:rsidR="0032026D" w:rsidRPr="0032026D" w:rsidRDefault="0032026D" w:rsidP="0032026D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proofErr w:type="spellStart"/>
      <w:r w:rsidRPr="0032026D">
        <w:rPr>
          <w:rFonts w:ascii="Times New Roman" w:eastAsia="SimSun" w:hAnsi="Times New Roman" w:cs="Times New Roman"/>
          <w:lang w:eastAsia="zh-CN"/>
        </w:rPr>
        <w:t>kolonoskopia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 co 1-2 lata od 18 roku życia (w ramach opieki gastroenterologa pod opieką którego powinien być taki chory),</w:t>
      </w:r>
    </w:p>
    <w:p w:rsidR="0032026D" w:rsidRDefault="0032026D" w:rsidP="0032026D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proofErr w:type="spellStart"/>
      <w:r w:rsidRPr="0032026D">
        <w:rPr>
          <w:rFonts w:ascii="Times New Roman" w:eastAsia="SimSun" w:hAnsi="Times New Roman" w:cs="Times New Roman"/>
          <w:lang w:eastAsia="zh-CN"/>
        </w:rPr>
        <w:t>gastroduodenoskopia</w:t>
      </w:r>
      <w:proofErr w:type="spellEnd"/>
      <w:r w:rsidRPr="0032026D">
        <w:rPr>
          <w:rFonts w:ascii="Times New Roman" w:eastAsia="SimSun" w:hAnsi="Times New Roman" w:cs="Times New Roman"/>
          <w:lang w:eastAsia="zh-CN"/>
        </w:rPr>
        <w:t xml:space="preserve">  co 1-2 lata od 25 roku życia.</w:t>
      </w:r>
    </w:p>
    <w:p w:rsidR="0032026D" w:rsidRPr="00521728" w:rsidRDefault="0032026D" w:rsidP="0032026D">
      <w:p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1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Placówki realizujące program zobowiązane są do przestrzegania następujących zasad: </w:t>
      </w:r>
    </w:p>
    <w:p w:rsidR="0032026D" w:rsidRPr="0032026D" w:rsidRDefault="0032026D" w:rsidP="0032026D">
      <w:pPr>
        <w:numPr>
          <w:ilvl w:val="0"/>
          <w:numId w:val="1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6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informowania osób biorących udział w projekcie o celach programu,</w:t>
      </w:r>
    </w:p>
    <w:p w:rsidR="0032026D" w:rsidRPr="004F5859" w:rsidRDefault="0032026D" w:rsidP="0032026D">
      <w:pPr>
        <w:numPr>
          <w:ilvl w:val="0"/>
          <w:numId w:val="1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uzyskania świadomej zgody od osoby biorącej udział w programie (druk świadomej zgody </w:t>
      </w:r>
      <w:r w:rsidR="00521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klauzuli informacyjnej </w:t>
      </w:r>
      <w:r w:rsidRPr="00320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</w:t>
      </w:r>
      <w:r w:rsidR="00521728" w:rsidRPr="004F5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6A2A1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bookmarkStart w:id="0" w:name="_GoBack"/>
      <w:bookmarkEnd w:id="0"/>
      <w:r w:rsidR="00521728" w:rsidRPr="004F5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ogłoszenia</w:t>
      </w:r>
      <w:r w:rsidRPr="004F5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32026D" w:rsidRDefault="0032026D" w:rsidP="0032026D">
      <w:pPr>
        <w:numPr>
          <w:ilvl w:val="0"/>
          <w:numId w:val="1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6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załączenie zgody do karty pacjenta, w której znajduje się rodowód,</w:t>
      </w:r>
    </w:p>
    <w:p w:rsidR="00521728" w:rsidRPr="00407D8B" w:rsidRDefault="00521728" w:rsidP="00521728">
      <w:pPr>
        <w:numPr>
          <w:ilvl w:val="0"/>
          <w:numId w:val="1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D8B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genetyczne, finansowane w ramach niniejszego programu muszą być realizowane w laboratoriach posiadających uprawnienia do realizacji takich badań i zarejestrowanych w Krajowej Izbie Diagnostów Laboratoryjnych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2026D" w:rsidRPr="0032026D" w:rsidRDefault="0032026D" w:rsidP="0032026D">
      <w:pPr>
        <w:numPr>
          <w:ilvl w:val="0"/>
          <w:numId w:val="1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pisemnej i ustnej porady genetycznej przez lekarza genetyka klinicznego udzielenia pisemnej i ustnej porady genetycznej przez lekarza specjalistę genetyka klinicznego (lub przez lekarza, który ukończył pierwszy rok specjalizacji z zakresu genetyki klinicznej oraz uzyskał potwierdzenie przez kierownika specjalizacji wiedzy i umiejętności umożliwiających samodzielną pracę w poradni specjalistycznej), każdej </w:t>
      </w:r>
      <w:r w:rsidRPr="003202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osobie biorącej udział w programie</w:t>
      </w:r>
      <w:r w:rsidRPr="0032026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; porada musi zawierać, poza danymi rodowodowymi i onkologicznymi pacjenta/osoby chorej na raka w rodzinie, opis rodowodu, interpretację wyniku badania genetycznego, poradę dla rodziny oraz wskazana powinna być współpracująca placówka onkologiczna, gdzie biorący udział w programie wykona badania profilaktyczne. Porada genetyczna dla nosicieli mutacji musi zostać opracowana przez specjalistę z zakresu genetyki klinicznej. </w:t>
      </w:r>
    </w:p>
    <w:p w:rsidR="0032026D" w:rsidRPr="0032026D" w:rsidRDefault="0032026D" w:rsidP="0032026D">
      <w:pPr>
        <w:numPr>
          <w:ilvl w:val="0"/>
          <w:numId w:val="1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przez lekarza specjalistę genetyka klinicznego lub lekarza specjalistę z zakresu onkologii (lub przez lekarza, który ukończył pierwszy rok specjalizacji </w:t>
      </w:r>
      <w:r w:rsidR="00521728">
        <w:rPr>
          <w:rFonts w:ascii="Times New Roman" w:eastAsia="Times New Roman" w:hAnsi="Times New Roman" w:cs="Times New Roman"/>
          <w:sz w:val="24"/>
          <w:szCs w:val="24"/>
          <w:lang w:eastAsia="pl-PL"/>
        </w:rPr>
        <w:t>w tej dziedzinie</w:t>
      </w:r>
      <w:r w:rsidRPr="00320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uzyskał potwierdzenie przez kierownika specjalizacji wiedzy i umiejętności umożliwiających samodzielną pracę w poradni specjalistycznej), karty osoby biorącej udział w programie z wyznaczonymi terminami kontrolnych badań, odnotowywaniem wyników badań.</w:t>
      </w:r>
    </w:p>
    <w:p w:rsidR="0032026D" w:rsidRPr="0032026D" w:rsidRDefault="0032026D" w:rsidP="0032026D">
      <w:pPr>
        <w:spacing w:after="0" w:line="360" w:lineRule="atLeast"/>
        <w:ind w:left="720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026D" w:rsidRPr="0032026D" w:rsidRDefault="0032026D" w:rsidP="0032026D">
      <w:p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202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Warunki realizacji programu:</w:t>
      </w:r>
    </w:p>
    <w:p w:rsidR="0032026D" w:rsidRPr="0032026D" w:rsidRDefault="0032026D" w:rsidP="0032026D">
      <w:pPr>
        <w:numPr>
          <w:ilvl w:val="0"/>
          <w:numId w:val="8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6D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diagnostyka dziedzicznych predyspozycji:</w:t>
      </w:r>
    </w:p>
    <w:p w:rsidR="0032026D" w:rsidRPr="0032026D" w:rsidRDefault="0032026D" w:rsidP="0032026D">
      <w:pPr>
        <w:numPr>
          <w:ilvl w:val="1"/>
          <w:numId w:val="8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6D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dostępność do lekarza, specjalisty z zakresu genetyki klinicznej dla osób ze stwierdzona mutacją - w granicach województwa, właściwego dla danej siedziby Realizatora,</w:t>
      </w:r>
    </w:p>
    <w:p w:rsidR="0032026D" w:rsidRPr="0032026D" w:rsidRDefault="0032026D" w:rsidP="0032026D">
      <w:pPr>
        <w:numPr>
          <w:ilvl w:val="1"/>
          <w:numId w:val="8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6D">
        <w:rPr>
          <w:rFonts w:ascii="Times New Roman" w:eastAsia="Times New Roman" w:hAnsi="Times New Roman" w:cs="Times New Roman"/>
          <w:sz w:val="24"/>
          <w:szCs w:val="24"/>
          <w:lang w:eastAsia="pl-PL"/>
        </w:rPr>
        <w:t>czas oczekiwania na konsultację u specjalisty z zakresu genetyki klinicznej i do lekarza, który ukończył pierwszy rok specjalizacji z zakresu genetyki klinicznej oraz uzyskał potwierdzenie przez kierownika specjalizacji wiedzy i umiejętności umożliwiających samodzielną pracę w poradni specjalistycznej, nie dłuższy niż 3 miesiące,</w:t>
      </w:r>
    </w:p>
    <w:p w:rsidR="0032026D" w:rsidRPr="0032026D" w:rsidRDefault="0032026D" w:rsidP="0032026D">
      <w:pPr>
        <w:numPr>
          <w:ilvl w:val="1"/>
          <w:numId w:val="8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6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dostępu osobom biorącym udział w programie do wszystkich badań genetycznych przewidzianych w programie;</w:t>
      </w:r>
    </w:p>
    <w:p w:rsidR="0032026D" w:rsidRPr="0032026D" w:rsidRDefault="0032026D" w:rsidP="0032026D">
      <w:pPr>
        <w:numPr>
          <w:ilvl w:val="0"/>
          <w:numId w:val="8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6D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kontrolne:</w:t>
      </w:r>
    </w:p>
    <w:p w:rsidR="0032026D" w:rsidRPr="0032026D" w:rsidRDefault="0032026D" w:rsidP="0032026D">
      <w:pPr>
        <w:numPr>
          <w:ilvl w:val="1"/>
          <w:numId w:val="8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6D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dostępność do lekarza specjalisty z zakresu genetyki klinicznej i/lub onkologii (lub do lekarza, który ukończył pierwszy rok specjalizacji oraz uzyskał potwierdzenie przez kierownika specjalizacji wiedzy i umiejętności umożliwiających samodzielną pracę w poradni specjalistycznej) w granicach województwa,</w:t>
      </w:r>
      <w:r w:rsidRPr="0032026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2026D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właściwego dla danej siedziby Realizatora,</w:t>
      </w:r>
    </w:p>
    <w:p w:rsidR="0032026D" w:rsidRPr="0032026D" w:rsidRDefault="0032026D" w:rsidP="0032026D">
      <w:pPr>
        <w:numPr>
          <w:ilvl w:val="1"/>
          <w:numId w:val="8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6D">
        <w:rPr>
          <w:rFonts w:ascii="Times New Roman" w:eastAsia="Times New Roman" w:hAnsi="Times New Roman" w:cs="Times New Roman"/>
          <w:sz w:val="24"/>
          <w:szCs w:val="24"/>
          <w:lang w:eastAsia="pl-PL"/>
        </w:rPr>
        <w:t>czas oczekiwania na pierwszą konsultację i badania u lekarza specjalisty z zakresu genetyki klinicznej i/lub onkologii (lub lekarza, który ukończył pierwszy rok specjalizacji oraz uzyskał potwierdzenie przez kierownika specjalizacji wiedzy i umiejętności umożliwiających samodzielną pracę w poradni specjalistycznej), nie dłuższy niż 3 miesiące,</w:t>
      </w:r>
    </w:p>
    <w:p w:rsidR="0032026D" w:rsidRPr="0032026D" w:rsidRDefault="0032026D" w:rsidP="0032026D">
      <w:pPr>
        <w:numPr>
          <w:ilvl w:val="1"/>
          <w:numId w:val="8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zapewnienie stałej profilaktycznej opieki genetyczno-onkologicznej dla osób o podwyższonym ryzyku zachorowania na nowotwory, w tym prowadzenie dokumentacji w zakresie objętym programem,</w:t>
      </w:r>
    </w:p>
    <w:p w:rsidR="0032026D" w:rsidRPr="0032026D" w:rsidRDefault="0032026D" w:rsidP="00BA16F3">
      <w:pPr>
        <w:numPr>
          <w:ilvl w:val="1"/>
          <w:numId w:val="8"/>
        </w:numPr>
        <w:spacing w:after="120" w:line="360" w:lineRule="atLeast"/>
        <w:ind w:left="1434" w:right="-10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26D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dostępność do kolejnych konsultacji i profilaktycznych badań genetyczno-onkologicznych zgodnie z harmonogramem programu (terminy kolejnych badań muszą być określone w karcie osoby biorącej udział w programie).</w:t>
      </w:r>
    </w:p>
    <w:p w:rsidR="006B04BD" w:rsidRDefault="0032026D" w:rsidP="0032026D">
      <w:pPr>
        <w:suppressAutoHyphens/>
        <w:spacing w:after="0" w:line="360" w:lineRule="auto"/>
        <w:jc w:val="both"/>
      </w:pPr>
      <w:r w:rsidRPr="0032026D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Placówka onkologiczna realizująca program musi być wyposażona w sprzęt do badań przewidzianych w ramach realizacji programu lub musi zapewnić dostępność do takich badań w granicach województwa, właściwego dla danej siedziby Realizatora (nie dotyczy badań genetycznych w przypadku gdy materiał do testu przesyłany jest do podwykonawcy, bez potrzeby kierowania osoby badanej poza teren województwa, właściwego dla danej siedziby Realizatora).</w:t>
      </w:r>
    </w:p>
    <w:sectPr w:rsidR="006B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05E"/>
    <w:multiLevelType w:val="hybridMultilevel"/>
    <w:tmpl w:val="AB94C4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D07B4"/>
    <w:multiLevelType w:val="hybridMultilevel"/>
    <w:tmpl w:val="CDC20772"/>
    <w:lvl w:ilvl="0" w:tplc="0415000D">
      <w:start w:val="1"/>
      <w:numFmt w:val="bullet"/>
      <w:lvlText w:val="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C1B3F"/>
    <w:multiLevelType w:val="hybridMultilevel"/>
    <w:tmpl w:val="94BA50A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6422F"/>
    <w:multiLevelType w:val="hybridMultilevel"/>
    <w:tmpl w:val="71E248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F0FC2"/>
    <w:multiLevelType w:val="hybridMultilevel"/>
    <w:tmpl w:val="42BEC3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6F3717"/>
    <w:multiLevelType w:val="hybridMultilevel"/>
    <w:tmpl w:val="4154A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41F63"/>
    <w:multiLevelType w:val="hybridMultilevel"/>
    <w:tmpl w:val="BB9CF5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15467A1"/>
    <w:multiLevelType w:val="hybridMultilevel"/>
    <w:tmpl w:val="2D08E05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2D10A6"/>
    <w:multiLevelType w:val="hybridMultilevel"/>
    <w:tmpl w:val="2AA6A624"/>
    <w:lvl w:ilvl="0" w:tplc="8C72898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47020"/>
    <w:multiLevelType w:val="hybridMultilevel"/>
    <w:tmpl w:val="7CF8A2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D04F2"/>
    <w:multiLevelType w:val="hybridMultilevel"/>
    <w:tmpl w:val="D8FCF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6DD"/>
    <w:multiLevelType w:val="hybridMultilevel"/>
    <w:tmpl w:val="D736B9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F2DE5"/>
    <w:multiLevelType w:val="hybridMultilevel"/>
    <w:tmpl w:val="AAF2BBF4"/>
    <w:lvl w:ilvl="0" w:tplc="5BBAA8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03195"/>
    <w:multiLevelType w:val="hybridMultilevel"/>
    <w:tmpl w:val="A2F404CC"/>
    <w:lvl w:ilvl="0" w:tplc="81482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422FB"/>
    <w:multiLevelType w:val="hybridMultilevel"/>
    <w:tmpl w:val="42BEC3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432633"/>
    <w:multiLevelType w:val="hybridMultilevel"/>
    <w:tmpl w:val="36F84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325244"/>
    <w:multiLevelType w:val="hybridMultilevel"/>
    <w:tmpl w:val="985EF8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A7630"/>
    <w:multiLevelType w:val="hybridMultilevel"/>
    <w:tmpl w:val="D4AC68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C4494"/>
    <w:multiLevelType w:val="hybridMultilevel"/>
    <w:tmpl w:val="601A4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C02FA2"/>
    <w:multiLevelType w:val="hybridMultilevel"/>
    <w:tmpl w:val="5184C4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B5A3A"/>
    <w:multiLevelType w:val="hybridMultilevel"/>
    <w:tmpl w:val="4686EF10"/>
    <w:lvl w:ilvl="0" w:tplc="0780079E">
      <w:start w:val="1"/>
      <w:numFmt w:val="decimal"/>
      <w:lvlText w:val="%1."/>
      <w:lvlJc w:val="left"/>
      <w:pPr>
        <w:tabs>
          <w:tab w:val="num" w:pos="22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21" w15:restartNumberingAfterBreak="0">
    <w:nsid w:val="4CAC2EBA"/>
    <w:multiLevelType w:val="hybridMultilevel"/>
    <w:tmpl w:val="BB9CF5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B202621"/>
    <w:multiLevelType w:val="hybridMultilevel"/>
    <w:tmpl w:val="0DBEA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F3D50"/>
    <w:multiLevelType w:val="hybridMultilevel"/>
    <w:tmpl w:val="CE4E3B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34D47"/>
    <w:multiLevelType w:val="hybridMultilevel"/>
    <w:tmpl w:val="A880A1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0"/>
  </w:num>
  <w:num w:numId="4">
    <w:abstractNumId w:val="0"/>
  </w:num>
  <w:num w:numId="5">
    <w:abstractNumId w:val="16"/>
  </w:num>
  <w:num w:numId="6">
    <w:abstractNumId w:val="5"/>
  </w:num>
  <w:num w:numId="7">
    <w:abstractNumId w:val="23"/>
  </w:num>
  <w:num w:numId="8">
    <w:abstractNumId w:val="2"/>
  </w:num>
  <w:num w:numId="9">
    <w:abstractNumId w:val="24"/>
  </w:num>
  <w:num w:numId="10">
    <w:abstractNumId w:val="3"/>
  </w:num>
  <w:num w:numId="11">
    <w:abstractNumId w:val="10"/>
  </w:num>
  <w:num w:numId="12">
    <w:abstractNumId w:val="22"/>
  </w:num>
  <w:num w:numId="13">
    <w:abstractNumId w:val="21"/>
  </w:num>
  <w:num w:numId="14">
    <w:abstractNumId w:val="6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4"/>
  </w:num>
  <w:num w:numId="22">
    <w:abstractNumId w:val="4"/>
  </w:num>
  <w:num w:numId="23">
    <w:abstractNumId w:val="13"/>
  </w:num>
  <w:num w:numId="24">
    <w:abstractNumId w:val="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6D"/>
    <w:rsid w:val="000608D5"/>
    <w:rsid w:val="0032026D"/>
    <w:rsid w:val="003A56E1"/>
    <w:rsid w:val="004A6925"/>
    <w:rsid w:val="004F5859"/>
    <w:rsid w:val="00521728"/>
    <w:rsid w:val="006A2A11"/>
    <w:rsid w:val="006B04BD"/>
    <w:rsid w:val="00BA16F3"/>
    <w:rsid w:val="00F0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6921B-312E-413D-A396-DB13CFB7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5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0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4072</Words>
  <Characters>24432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28448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Klimek Magdalena</cp:lastModifiedBy>
  <cp:revision>8</cp:revision>
  <dcterms:created xsi:type="dcterms:W3CDTF">2018-04-12T15:06:00Z</dcterms:created>
  <dcterms:modified xsi:type="dcterms:W3CDTF">2018-12-20T15:43:00Z</dcterms:modified>
</cp:coreProperties>
</file>