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B09C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6B0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wydanie zezwolenia na wycięcie drzew lub krzewów w ramach wykonani czyszczenia późnego w strefie ochrony okresowej </w:t>
            </w:r>
            <w:r w:rsidR="006B09CE">
              <w:rPr>
                <w:rFonts w:ascii="Arial" w:hAnsi="Arial" w:cs="Arial"/>
                <w:sz w:val="20"/>
                <w:szCs w:val="20"/>
              </w:rPr>
              <w:t>orlika krzykliwego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Pańska Łaska.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AB7AA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</w:t>
            </w:r>
            <w:r w:rsidR="00AB7AA0">
              <w:rPr>
                <w:rFonts w:ascii="Arial" w:hAnsi="Arial" w:cs="Arial"/>
                <w:sz w:val="20"/>
                <w:szCs w:val="18"/>
              </w:rPr>
              <w:t>trzebież późna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6B09CE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ZG.7211.2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226B2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B09CE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C1927"/>
    <w:rsid w:val="009F07EA"/>
    <w:rsid w:val="00A478E7"/>
    <w:rsid w:val="00A86A3C"/>
    <w:rsid w:val="00AB7AA0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765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2018-07-23T09:15:00Z</dcterms:created>
  <dcterms:modified xsi:type="dcterms:W3CDTF">2018-07-23T09:17:00Z</dcterms:modified>
</cp:coreProperties>
</file>