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66DC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26415" cy="5410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0"/>
        </w:rPr>
      </w:pPr>
      <w:r w:rsidRPr="00266DCB">
        <w:rPr>
          <w:rFonts w:ascii="Calibri" w:eastAsia="Calibri" w:hAnsi="Calibri" w:cs="Calibri"/>
          <w:b/>
          <w:bCs/>
          <w:sz w:val="24"/>
          <w:szCs w:val="20"/>
        </w:rPr>
        <w:t>WOJEWODA MAZOWIECKI</w:t>
      </w:r>
    </w:p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266DCB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66DCB" w:rsidRPr="00266DCB" w:rsidRDefault="00266DCB" w:rsidP="00266DCB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266DCB" w:rsidRPr="00266DCB" w:rsidRDefault="00266DCB" w:rsidP="00266DCB">
      <w:pPr>
        <w:spacing w:after="0" w:line="276" w:lineRule="auto"/>
        <w:ind w:right="-5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Pr="00266DCB">
        <w:rPr>
          <w:rFonts w:ascii="Calibri" w:eastAsia="Calibri" w:hAnsi="Calibri" w:cs="Calibri"/>
          <w:sz w:val="24"/>
          <w:szCs w:val="24"/>
        </w:rPr>
        <w:t xml:space="preserve">Warszawa, </w:t>
      </w:r>
      <w:bookmarkStart w:id="0" w:name="ezdDataPodpisu"/>
      <w:bookmarkEnd w:id="0"/>
      <w:r w:rsidRPr="00266DCB">
        <w:rPr>
          <w:rFonts w:ascii="Calibri" w:eastAsia="Calibri" w:hAnsi="Calibri" w:cs="Calibri"/>
          <w:sz w:val="24"/>
          <w:szCs w:val="24"/>
        </w:rPr>
        <w:t xml:space="preserve"> </w:t>
      </w:r>
      <w:r w:rsidR="001021DB">
        <w:rPr>
          <w:rFonts w:ascii="Calibri" w:eastAsia="Calibri" w:hAnsi="Calibri" w:cs="Calibri"/>
          <w:sz w:val="24"/>
          <w:szCs w:val="24"/>
        </w:rPr>
        <w:t>2</w:t>
      </w:r>
      <w:r w:rsidRPr="00266DC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stycznia</w:t>
      </w:r>
      <w:r w:rsidRPr="00266DCB">
        <w:rPr>
          <w:rFonts w:ascii="Calibri" w:eastAsia="Calibri" w:hAnsi="Calibri" w:cs="Calibri"/>
          <w:sz w:val="24"/>
          <w:szCs w:val="24"/>
        </w:rPr>
        <w:t xml:space="preserve"> 20</w:t>
      </w:r>
      <w:r>
        <w:rPr>
          <w:rFonts w:ascii="Calibri" w:eastAsia="Calibri" w:hAnsi="Calibri" w:cs="Calibri"/>
          <w:sz w:val="24"/>
          <w:szCs w:val="24"/>
        </w:rPr>
        <w:t>20</w:t>
      </w:r>
      <w:r w:rsidRPr="00266DCB">
        <w:rPr>
          <w:rFonts w:ascii="Calibri" w:eastAsia="Calibri" w:hAnsi="Calibri" w:cs="Calibri"/>
          <w:sz w:val="24"/>
          <w:szCs w:val="24"/>
        </w:rPr>
        <w:t xml:space="preserve"> r.</w:t>
      </w:r>
    </w:p>
    <w:p w:rsidR="00266DCB" w:rsidRPr="00266DCB" w:rsidRDefault="00266DCB" w:rsidP="00266DCB">
      <w:pPr>
        <w:spacing w:after="0" w:line="276" w:lineRule="auto"/>
        <w:ind w:right="-567"/>
        <w:rPr>
          <w:rFonts w:ascii="Calibri" w:eastAsia="Calibri" w:hAnsi="Calibri" w:cs="Calibri"/>
          <w:color w:val="FF0000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:rsidR="00266DCB" w:rsidRPr="00266DCB" w:rsidRDefault="00266DCB" w:rsidP="00266DCB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66DCB" w:rsidRPr="00266DCB" w:rsidRDefault="00266DCB" w:rsidP="00266DC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266DCB" w:rsidRPr="00266DCB" w:rsidRDefault="00266DCB" w:rsidP="00266DCB">
      <w:pPr>
        <w:tabs>
          <w:tab w:val="left" w:pos="426"/>
          <w:tab w:val="left" w:pos="1276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1" w:name="ezdSprawaZnak"/>
      <w:bookmarkEnd w:id="1"/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bookmarkStart w:id="2" w:name="_GoBack"/>
      <w:r w:rsidRPr="00266DCB">
        <w:rPr>
          <w:rFonts w:ascii="Calibri" w:eastAsia="Calibri" w:hAnsi="Calibri" w:cs="Calibri"/>
          <w:sz w:val="24"/>
          <w:szCs w:val="24"/>
        </w:rPr>
        <w:t>WNP-I.4131.</w:t>
      </w:r>
      <w:r>
        <w:rPr>
          <w:rFonts w:ascii="Calibri" w:eastAsia="Calibri" w:hAnsi="Calibri" w:cs="Calibri"/>
          <w:sz w:val="24"/>
          <w:szCs w:val="24"/>
        </w:rPr>
        <w:t>239</w:t>
      </w:r>
      <w:r w:rsidRPr="00266DCB">
        <w:rPr>
          <w:rFonts w:ascii="Calibri" w:eastAsia="Calibri" w:hAnsi="Calibri" w:cs="Calibri"/>
          <w:sz w:val="24"/>
          <w:szCs w:val="24"/>
        </w:rPr>
        <w:t>.2019</w:t>
      </w:r>
      <w:r>
        <w:rPr>
          <w:rFonts w:ascii="Calibri" w:eastAsia="Calibri" w:hAnsi="Calibri" w:cs="Calibri"/>
          <w:sz w:val="24"/>
          <w:szCs w:val="24"/>
        </w:rPr>
        <w:t>.AJS</w:t>
      </w:r>
      <w:bookmarkEnd w:id="2"/>
    </w:p>
    <w:p w:rsidR="00266DCB" w:rsidRDefault="00266DCB" w:rsidP="00266DCB">
      <w:pPr>
        <w:spacing w:after="0" w:line="240" w:lineRule="auto"/>
        <w:ind w:firstLine="4820"/>
        <w:rPr>
          <w:rFonts w:cstheme="minorHAnsi"/>
          <w:b/>
          <w:sz w:val="28"/>
          <w:szCs w:val="28"/>
        </w:rPr>
      </w:pPr>
    </w:p>
    <w:p w:rsidR="00266DCB" w:rsidRPr="009A45C8" w:rsidRDefault="00266DCB" w:rsidP="009A45C8">
      <w:pPr>
        <w:spacing w:after="0" w:line="300" w:lineRule="exact"/>
        <w:ind w:firstLine="4820"/>
        <w:rPr>
          <w:rFonts w:ascii="Calibri" w:hAnsi="Calibri" w:cs="Calibri"/>
          <w:b/>
          <w:sz w:val="24"/>
          <w:szCs w:val="24"/>
        </w:rPr>
      </w:pPr>
      <w:r w:rsidRPr="009A45C8">
        <w:rPr>
          <w:rFonts w:ascii="Calibri" w:hAnsi="Calibri" w:cs="Calibri"/>
          <w:b/>
          <w:sz w:val="24"/>
          <w:szCs w:val="24"/>
        </w:rPr>
        <w:t>Rada Miejska w Pułtusku</w:t>
      </w:r>
    </w:p>
    <w:p w:rsidR="00266DCB" w:rsidRPr="009A45C8" w:rsidRDefault="00266DCB" w:rsidP="009A45C8">
      <w:pPr>
        <w:spacing w:after="0" w:line="300" w:lineRule="exact"/>
        <w:ind w:firstLine="4820"/>
        <w:rPr>
          <w:rFonts w:ascii="Calibri" w:hAnsi="Calibri" w:cs="Calibri"/>
          <w:b/>
          <w:sz w:val="24"/>
          <w:szCs w:val="24"/>
        </w:rPr>
      </w:pPr>
      <w:r w:rsidRPr="009A45C8">
        <w:rPr>
          <w:rStyle w:val="Pogrubienie"/>
          <w:rFonts w:ascii="Calibri" w:hAnsi="Calibri" w:cs="Calibri"/>
          <w:sz w:val="24"/>
          <w:szCs w:val="24"/>
        </w:rPr>
        <w:t xml:space="preserve">ul. </w:t>
      </w:r>
      <w:r w:rsidRPr="009A45C8">
        <w:rPr>
          <w:rFonts w:ascii="Calibri" w:hAnsi="Calibri" w:cs="Calibri"/>
          <w:b/>
          <w:sz w:val="24"/>
          <w:szCs w:val="24"/>
        </w:rPr>
        <w:t>Rynek - Ratusz 41</w:t>
      </w:r>
    </w:p>
    <w:p w:rsidR="00266DCB" w:rsidRPr="009A45C8" w:rsidRDefault="00266DCB" w:rsidP="009A45C8">
      <w:pPr>
        <w:spacing w:after="0" w:line="300" w:lineRule="exact"/>
        <w:ind w:firstLine="4820"/>
        <w:rPr>
          <w:rFonts w:ascii="Calibri" w:hAnsi="Calibri" w:cs="Calibri"/>
          <w:b/>
          <w:sz w:val="24"/>
          <w:szCs w:val="24"/>
        </w:rPr>
      </w:pPr>
      <w:r w:rsidRPr="009A45C8">
        <w:rPr>
          <w:rFonts w:ascii="Calibri" w:hAnsi="Calibri" w:cs="Calibri"/>
          <w:b/>
          <w:sz w:val="24"/>
          <w:szCs w:val="24"/>
        </w:rPr>
        <w:t>06-100 Pułtusk</w:t>
      </w:r>
    </w:p>
    <w:p w:rsidR="00266DCB" w:rsidRPr="009A45C8" w:rsidRDefault="00266DCB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sz w:val="24"/>
          <w:szCs w:val="24"/>
        </w:rPr>
      </w:pPr>
    </w:p>
    <w:p w:rsidR="009A45C8" w:rsidRPr="009A45C8" w:rsidRDefault="009A45C8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sz w:val="24"/>
          <w:szCs w:val="24"/>
        </w:rPr>
      </w:pPr>
    </w:p>
    <w:p w:rsidR="00266DCB" w:rsidRPr="00266DCB" w:rsidRDefault="00266DCB" w:rsidP="009A45C8">
      <w:pPr>
        <w:spacing w:after="0" w:line="300" w:lineRule="exac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66DCB">
        <w:rPr>
          <w:rFonts w:ascii="Calibri" w:eastAsia="Calibri" w:hAnsi="Calibri" w:cs="Calibri"/>
          <w:b/>
          <w:sz w:val="24"/>
          <w:szCs w:val="24"/>
        </w:rPr>
        <w:t>Rozstrzygnięcie nadzorcze</w:t>
      </w:r>
    </w:p>
    <w:p w:rsidR="00266DCB" w:rsidRPr="00266DCB" w:rsidRDefault="00266DCB" w:rsidP="009A45C8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266DCB" w:rsidRPr="00266DCB" w:rsidRDefault="00266DCB" w:rsidP="009A45C8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>Na podstawie art. 91 ust. 1 ustawy z dnia 8 marca 1990 r. o samorządzie gminnym (Dz.</w:t>
      </w:r>
      <w:r w:rsidR="00953E74">
        <w:rPr>
          <w:rFonts w:ascii="Calibri" w:eastAsia="Calibri" w:hAnsi="Calibri" w:cs="Calibri"/>
          <w:sz w:val="24"/>
          <w:szCs w:val="24"/>
        </w:rPr>
        <w:t xml:space="preserve"> </w:t>
      </w:r>
      <w:r w:rsidRPr="00266DCB">
        <w:rPr>
          <w:rFonts w:ascii="Calibri" w:eastAsia="Calibri" w:hAnsi="Calibri" w:cs="Calibri"/>
          <w:sz w:val="24"/>
          <w:szCs w:val="24"/>
        </w:rPr>
        <w:t xml:space="preserve">U. z 2019 r. poz. 506, z </w:t>
      </w:r>
      <w:proofErr w:type="spellStart"/>
      <w:r w:rsidRPr="00266DCB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266DCB">
        <w:rPr>
          <w:rFonts w:ascii="Calibri" w:eastAsia="Calibri" w:hAnsi="Calibri" w:cs="Calibri"/>
          <w:sz w:val="24"/>
          <w:szCs w:val="24"/>
        </w:rPr>
        <w:t>. zm.)</w:t>
      </w:r>
    </w:p>
    <w:p w:rsidR="00266DCB" w:rsidRPr="00266DCB" w:rsidRDefault="00266DCB" w:rsidP="009A45C8">
      <w:pPr>
        <w:spacing w:after="0" w:line="300" w:lineRule="exact"/>
        <w:jc w:val="center"/>
        <w:rPr>
          <w:rFonts w:ascii="Calibri" w:eastAsia="Calibri" w:hAnsi="Calibri" w:cs="Calibri"/>
          <w:b/>
          <w:sz w:val="24"/>
          <w:szCs w:val="24"/>
        </w:rPr>
      </w:pPr>
      <w:r w:rsidRPr="009A45C8">
        <w:rPr>
          <w:rFonts w:ascii="Calibri" w:eastAsia="Calibri" w:hAnsi="Calibri" w:cs="Calibri"/>
          <w:b/>
          <w:sz w:val="24"/>
          <w:szCs w:val="24"/>
        </w:rPr>
        <w:t>stwierdzam nieważność</w:t>
      </w:r>
    </w:p>
    <w:p w:rsidR="00266DCB" w:rsidRPr="009A45C8" w:rsidRDefault="00266DCB" w:rsidP="009A45C8">
      <w:pPr>
        <w:spacing w:after="0" w:line="300" w:lineRule="exact"/>
        <w:jc w:val="both"/>
        <w:rPr>
          <w:rFonts w:ascii="Calibri" w:hAnsi="Calibri" w:cs="Calibri"/>
          <w:sz w:val="24"/>
          <w:szCs w:val="24"/>
        </w:rPr>
      </w:pPr>
      <w:r w:rsidRPr="009A45C8">
        <w:rPr>
          <w:rFonts w:ascii="Calibri" w:hAnsi="Calibri" w:cs="Calibri"/>
          <w:sz w:val="24"/>
          <w:szCs w:val="24"/>
        </w:rPr>
        <w:t xml:space="preserve">§ 3 ust. 2 pkt 4 – 7 oraz § 5 uchwały Rady Miejskiej w Pułtusku Nr XX/187/2019 z dnia 28 listopada 2019 r. </w:t>
      </w:r>
      <w:r w:rsidRPr="009A45C8">
        <w:rPr>
          <w:rFonts w:ascii="Calibri" w:hAnsi="Calibri" w:cs="Calibri"/>
          <w:i/>
          <w:sz w:val="24"/>
          <w:szCs w:val="24"/>
        </w:rPr>
        <w:t xml:space="preserve">w sprawie ustalenia zasad sprzedaży lokali mieszkalnych oraz ustalenia bonifikaty przy ich sprzedaży.  </w:t>
      </w:r>
    </w:p>
    <w:p w:rsidR="00266DCB" w:rsidRPr="00266DCB" w:rsidRDefault="00266DCB" w:rsidP="009A45C8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266DCB" w:rsidRDefault="00266DCB" w:rsidP="009A45C8">
      <w:pPr>
        <w:spacing w:after="0" w:line="300" w:lineRule="exac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66DCB">
        <w:rPr>
          <w:rFonts w:ascii="Calibri" w:eastAsia="Calibri" w:hAnsi="Calibri" w:cs="Calibri"/>
          <w:b/>
          <w:sz w:val="24"/>
          <w:szCs w:val="24"/>
        </w:rPr>
        <w:t>Uzasadnienie</w:t>
      </w:r>
    </w:p>
    <w:p w:rsidR="00897F39" w:rsidRPr="00266DCB" w:rsidRDefault="00897F39" w:rsidP="009A45C8">
      <w:pPr>
        <w:spacing w:after="0" w:line="300" w:lineRule="exact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266DCB" w:rsidRPr="009A45C8" w:rsidRDefault="00266DCB" w:rsidP="009A45C8">
      <w:pPr>
        <w:spacing w:after="0" w:line="300" w:lineRule="exact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Na sesji w dniu </w:t>
      </w:r>
      <w:r w:rsidRPr="009A45C8">
        <w:rPr>
          <w:rFonts w:ascii="Calibri" w:hAnsi="Calibri" w:cs="Calibri"/>
          <w:sz w:val="24"/>
          <w:szCs w:val="24"/>
        </w:rPr>
        <w:t xml:space="preserve">28 listopada 2019 r. </w:t>
      </w:r>
      <w:r w:rsidRPr="00266DCB">
        <w:rPr>
          <w:rFonts w:ascii="Calibri" w:eastAsia="Calibri" w:hAnsi="Calibri" w:cs="Calibri"/>
          <w:sz w:val="24"/>
          <w:szCs w:val="24"/>
        </w:rPr>
        <w:t xml:space="preserve">Rada </w:t>
      </w:r>
      <w:r w:rsidRPr="009A45C8">
        <w:rPr>
          <w:rFonts w:ascii="Calibri" w:hAnsi="Calibri" w:cs="Calibri"/>
          <w:sz w:val="24"/>
          <w:szCs w:val="24"/>
        </w:rPr>
        <w:t xml:space="preserve">Miejska w Pułtusku </w:t>
      </w:r>
      <w:r w:rsidRPr="00266DCB">
        <w:rPr>
          <w:rFonts w:ascii="Calibri" w:eastAsia="Calibri" w:hAnsi="Calibri" w:cs="Calibri"/>
          <w:sz w:val="24"/>
          <w:szCs w:val="24"/>
        </w:rPr>
        <w:t>podjęła uchwał</w:t>
      </w:r>
      <w:r w:rsidRPr="009A45C8">
        <w:rPr>
          <w:rFonts w:ascii="Calibri" w:eastAsia="Calibri" w:hAnsi="Calibri" w:cs="Calibri"/>
          <w:sz w:val="24"/>
          <w:szCs w:val="24"/>
        </w:rPr>
        <w:t>ę</w:t>
      </w:r>
      <w:r w:rsidR="0051729D" w:rsidRPr="009A45C8">
        <w:rPr>
          <w:rFonts w:ascii="Calibri" w:hAnsi="Calibri" w:cs="Calibri"/>
          <w:sz w:val="24"/>
          <w:szCs w:val="24"/>
        </w:rPr>
        <w:t xml:space="preserve"> Nr XX/187/2019</w:t>
      </w:r>
      <w:r w:rsidRPr="009A45C8">
        <w:rPr>
          <w:rFonts w:ascii="Calibri" w:hAnsi="Calibri" w:cs="Calibri"/>
          <w:i/>
          <w:sz w:val="24"/>
          <w:szCs w:val="24"/>
        </w:rPr>
        <w:t xml:space="preserve"> w sprawie ustalenia zasad sprzedaży lokali mieszkalnych oraz ustalenia bonifikaty przy ich sprzedaży.</w:t>
      </w:r>
    </w:p>
    <w:p w:rsidR="00266DCB" w:rsidRPr="00266DCB" w:rsidRDefault="00266DCB" w:rsidP="009A45C8">
      <w:pPr>
        <w:spacing w:after="0" w:line="300" w:lineRule="exact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>Uchwał</w:t>
      </w:r>
      <w:r w:rsidRPr="009A45C8">
        <w:rPr>
          <w:rFonts w:ascii="Calibri" w:eastAsia="Calibri" w:hAnsi="Calibri" w:cs="Calibri"/>
          <w:sz w:val="24"/>
          <w:szCs w:val="24"/>
        </w:rPr>
        <w:t>a</w:t>
      </w:r>
      <w:r w:rsidRPr="00266DCB">
        <w:rPr>
          <w:rFonts w:ascii="Calibri" w:eastAsia="Calibri" w:hAnsi="Calibri" w:cs="Calibri"/>
          <w:sz w:val="24"/>
          <w:szCs w:val="24"/>
        </w:rPr>
        <w:t xml:space="preserve"> został</w:t>
      </w:r>
      <w:r w:rsidRPr="009A45C8">
        <w:rPr>
          <w:rFonts w:ascii="Calibri" w:eastAsia="Calibri" w:hAnsi="Calibri" w:cs="Calibri"/>
          <w:sz w:val="24"/>
          <w:szCs w:val="24"/>
        </w:rPr>
        <w:t>a</w:t>
      </w:r>
      <w:r w:rsidRPr="00266DCB">
        <w:rPr>
          <w:rFonts w:ascii="Calibri" w:eastAsia="Calibri" w:hAnsi="Calibri" w:cs="Calibri"/>
          <w:sz w:val="24"/>
          <w:szCs w:val="24"/>
        </w:rPr>
        <w:t xml:space="preserve"> doręczon</w:t>
      </w:r>
      <w:r w:rsidRPr="009A45C8">
        <w:rPr>
          <w:rFonts w:ascii="Calibri" w:eastAsia="Calibri" w:hAnsi="Calibri" w:cs="Calibri"/>
          <w:sz w:val="24"/>
          <w:szCs w:val="24"/>
        </w:rPr>
        <w:t>a</w:t>
      </w:r>
      <w:r w:rsidRPr="00266DCB">
        <w:rPr>
          <w:rFonts w:ascii="Calibri" w:eastAsia="Calibri" w:hAnsi="Calibri" w:cs="Calibri"/>
          <w:sz w:val="24"/>
          <w:szCs w:val="24"/>
        </w:rPr>
        <w:t xml:space="preserve"> Wojewodzie Mazowieckiemu w dniu </w:t>
      </w:r>
      <w:r w:rsidRPr="009A45C8">
        <w:rPr>
          <w:rFonts w:ascii="Calibri" w:eastAsia="Calibri" w:hAnsi="Calibri" w:cs="Calibri"/>
          <w:sz w:val="24"/>
          <w:szCs w:val="24"/>
        </w:rPr>
        <w:t>6 grudni</w:t>
      </w:r>
      <w:r w:rsidRPr="00266DCB">
        <w:rPr>
          <w:rFonts w:ascii="Calibri" w:eastAsia="Calibri" w:hAnsi="Calibri" w:cs="Calibri"/>
          <w:sz w:val="24"/>
          <w:szCs w:val="24"/>
        </w:rPr>
        <w:t xml:space="preserve">a 2019 r. </w:t>
      </w:r>
    </w:p>
    <w:p w:rsidR="004620B4" w:rsidRPr="009A45C8" w:rsidRDefault="00266DCB" w:rsidP="009A45C8">
      <w:pPr>
        <w:spacing w:after="0" w:line="300" w:lineRule="exact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W podstawie prawnej </w:t>
      </w:r>
      <w:r w:rsidRPr="009A45C8">
        <w:rPr>
          <w:rFonts w:ascii="Calibri" w:eastAsia="Calibri" w:hAnsi="Calibri" w:cs="Calibri"/>
          <w:sz w:val="24"/>
          <w:szCs w:val="24"/>
        </w:rPr>
        <w:t>u</w:t>
      </w:r>
      <w:r w:rsidRPr="00266DCB">
        <w:rPr>
          <w:rFonts w:ascii="Calibri" w:eastAsia="Calibri" w:hAnsi="Calibri" w:cs="Calibri"/>
          <w:sz w:val="24"/>
          <w:szCs w:val="24"/>
        </w:rPr>
        <w:t xml:space="preserve">chwały powołano art. 18 ust. 2 pkt 9 lit. a oraz </w:t>
      </w:r>
      <w:r w:rsidRPr="009A45C8">
        <w:rPr>
          <w:rFonts w:ascii="Calibri" w:eastAsia="Calibri" w:hAnsi="Calibri" w:cs="Calibri"/>
          <w:sz w:val="24"/>
          <w:szCs w:val="24"/>
        </w:rPr>
        <w:t>pkt 15</w:t>
      </w:r>
      <w:r w:rsidRPr="00266DCB">
        <w:rPr>
          <w:rFonts w:ascii="Calibri" w:eastAsia="Calibri" w:hAnsi="Calibri" w:cs="Calibri"/>
          <w:sz w:val="24"/>
          <w:szCs w:val="24"/>
        </w:rPr>
        <w:t xml:space="preserve"> ustawy </w:t>
      </w:r>
      <w:r w:rsidRPr="009A45C8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>o samorządzie gminnym</w:t>
      </w:r>
      <w:r w:rsidRPr="009A45C8">
        <w:rPr>
          <w:rFonts w:ascii="Calibri" w:eastAsia="Calibri" w:hAnsi="Calibri" w:cs="Calibri"/>
          <w:sz w:val="24"/>
          <w:szCs w:val="24"/>
        </w:rPr>
        <w:t xml:space="preserve">, a także art. 5, art. 34 ust. 1 pkt 3, art. 67 ust. 1 i 3, art. 68 ust. 1 pkt 7, </w:t>
      </w:r>
      <w:r w:rsidRPr="009A45C8">
        <w:rPr>
          <w:rFonts w:ascii="Calibri" w:eastAsia="Calibri" w:hAnsi="Calibri" w:cs="Calibri"/>
          <w:sz w:val="24"/>
          <w:szCs w:val="24"/>
        </w:rPr>
        <w:br/>
        <w:t xml:space="preserve">ust. 1b i ust. 2, art. 70 </w:t>
      </w:r>
      <w:r w:rsidRPr="00266DCB">
        <w:rPr>
          <w:rFonts w:ascii="Calibri" w:eastAsia="Calibri" w:hAnsi="Calibri" w:cs="Calibri"/>
          <w:sz w:val="24"/>
          <w:szCs w:val="24"/>
        </w:rPr>
        <w:t xml:space="preserve">ustawy z dnia 21 sierpnia 1997 r. o gospodarce nieruchomościami </w:t>
      </w:r>
      <w:r w:rsidRPr="009A45C8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>(Dz.</w:t>
      </w:r>
      <w:r w:rsidRPr="009A45C8">
        <w:rPr>
          <w:rFonts w:ascii="Calibri" w:eastAsia="Calibri" w:hAnsi="Calibri" w:cs="Calibri"/>
          <w:sz w:val="24"/>
          <w:szCs w:val="24"/>
        </w:rPr>
        <w:t xml:space="preserve"> </w:t>
      </w:r>
      <w:r w:rsidRPr="00266DCB">
        <w:rPr>
          <w:rFonts w:ascii="Calibri" w:eastAsia="Calibri" w:hAnsi="Calibri" w:cs="Calibri"/>
          <w:sz w:val="24"/>
          <w:szCs w:val="24"/>
        </w:rPr>
        <w:t>U. z 2018 r. poz. 2204</w:t>
      </w:r>
      <w:r w:rsidR="004620B4" w:rsidRPr="009A45C8">
        <w:rPr>
          <w:rFonts w:ascii="Calibri" w:eastAsia="Calibri" w:hAnsi="Calibri" w:cs="Calibri"/>
          <w:sz w:val="24"/>
          <w:szCs w:val="24"/>
        </w:rPr>
        <w:t>,</w:t>
      </w:r>
      <w:r w:rsidRPr="00266DCB">
        <w:rPr>
          <w:rFonts w:ascii="Calibri" w:eastAsia="Calibri" w:hAnsi="Calibri" w:cs="Calibri"/>
          <w:sz w:val="24"/>
          <w:szCs w:val="24"/>
        </w:rPr>
        <w:t xml:space="preserve"> z późn.zm.)</w:t>
      </w:r>
      <w:r w:rsidR="004620B4" w:rsidRPr="009A45C8">
        <w:rPr>
          <w:rFonts w:ascii="Calibri" w:eastAsia="Calibri" w:hAnsi="Calibri" w:cs="Calibri"/>
          <w:sz w:val="24"/>
          <w:szCs w:val="24"/>
        </w:rPr>
        <w:t>.</w:t>
      </w:r>
    </w:p>
    <w:p w:rsidR="0051729D" w:rsidRPr="009A45C8" w:rsidRDefault="00266DCB" w:rsidP="009A45C8">
      <w:pPr>
        <w:spacing w:after="0" w:line="300" w:lineRule="exact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W § </w:t>
      </w:r>
      <w:r w:rsidR="004620B4" w:rsidRPr="009A45C8">
        <w:rPr>
          <w:rFonts w:ascii="Calibri" w:eastAsia="Calibri" w:hAnsi="Calibri" w:cs="Calibri"/>
          <w:sz w:val="24"/>
          <w:szCs w:val="24"/>
        </w:rPr>
        <w:t>3</w:t>
      </w:r>
      <w:r w:rsidRPr="00266DCB">
        <w:rPr>
          <w:rFonts w:ascii="Calibri" w:eastAsia="Calibri" w:hAnsi="Calibri" w:cs="Calibri"/>
          <w:sz w:val="24"/>
          <w:szCs w:val="24"/>
        </w:rPr>
        <w:t xml:space="preserve"> ust. </w:t>
      </w:r>
      <w:r w:rsidR="004620B4" w:rsidRPr="009A45C8">
        <w:rPr>
          <w:rFonts w:ascii="Calibri" w:eastAsia="Calibri" w:hAnsi="Calibri" w:cs="Calibri"/>
          <w:sz w:val="24"/>
          <w:szCs w:val="24"/>
        </w:rPr>
        <w:t>2 pkt 4</w:t>
      </w:r>
      <w:r w:rsidR="003D1FF5">
        <w:rPr>
          <w:rFonts w:ascii="Calibri" w:eastAsia="Calibri" w:hAnsi="Calibri" w:cs="Calibri"/>
          <w:sz w:val="24"/>
          <w:szCs w:val="24"/>
        </w:rPr>
        <w:t> </w:t>
      </w:r>
      <w:r w:rsidR="004620B4" w:rsidRPr="009A45C8">
        <w:rPr>
          <w:rFonts w:ascii="Calibri" w:eastAsia="Calibri" w:hAnsi="Calibri" w:cs="Calibri"/>
          <w:sz w:val="24"/>
          <w:szCs w:val="24"/>
        </w:rPr>
        <w:t>-</w:t>
      </w:r>
      <w:r w:rsidR="003D1FF5">
        <w:rPr>
          <w:rFonts w:ascii="Calibri" w:eastAsia="Calibri" w:hAnsi="Calibri" w:cs="Calibri"/>
          <w:sz w:val="24"/>
          <w:szCs w:val="24"/>
        </w:rPr>
        <w:t> 7</w:t>
      </w:r>
      <w:r w:rsidR="004620B4" w:rsidRPr="009A45C8">
        <w:rPr>
          <w:rFonts w:ascii="Calibri" w:eastAsia="Calibri" w:hAnsi="Calibri" w:cs="Calibri"/>
          <w:sz w:val="24"/>
          <w:szCs w:val="24"/>
        </w:rPr>
        <w:t xml:space="preserve"> uchwały </w:t>
      </w:r>
      <w:r w:rsidRPr="00266DCB">
        <w:rPr>
          <w:rFonts w:ascii="Calibri" w:eastAsia="Calibri" w:hAnsi="Calibri" w:cs="Calibri"/>
          <w:sz w:val="24"/>
          <w:szCs w:val="24"/>
        </w:rPr>
        <w:t>wskazano, że</w:t>
      </w:r>
      <w:r w:rsidR="0051729D" w:rsidRPr="009A45C8">
        <w:rPr>
          <w:rFonts w:ascii="Calibri" w:eastAsia="Calibri" w:hAnsi="Calibri" w:cs="Calibri"/>
          <w:sz w:val="24"/>
          <w:szCs w:val="24"/>
        </w:rPr>
        <w:t>:</w:t>
      </w:r>
    </w:p>
    <w:p w:rsidR="0051729D" w:rsidRPr="009A45C8" w:rsidRDefault="0051729D" w:rsidP="009A45C8">
      <w:pPr>
        <w:spacing w:after="0" w:line="300" w:lineRule="exact"/>
        <w:jc w:val="both"/>
        <w:rPr>
          <w:rFonts w:ascii="Calibri" w:eastAsia="Calibri" w:hAnsi="Calibri" w:cs="Calibri"/>
          <w:i/>
          <w:sz w:val="24"/>
          <w:szCs w:val="24"/>
        </w:rPr>
      </w:pPr>
      <w:r w:rsidRPr="009A45C8">
        <w:rPr>
          <w:rFonts w:ascii="Calibri" w:eastAsia="Calibri" w:hAnsi="Calibri" w:cs="Calibri"/>
          <w:i/>
          <w:sz w:val="24"/>
          <w:szCs w:val="24"/>
        </w:rPr>
        <w:t>„</w:t>
      </w:r>
      <w:r w:rsidRPr="009A45C8">
        <w:rPr>
          <w:rFonts w:ascii="Calibri" w:hAnsi="Calibri" w:cs="Calibri"/>
          <w:i/>
          <w:sz w:val="24"/>
          <w:szCs w:val="24"/>
        </w:rPr>
        <w:t>Sprzedaż lokalu na raty uzależniona jest od spełnienia następujących warunków: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4) wpłata rat winna być dokonywana do 31 marca każdego roku wraz z oprocentowaniem,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5) w przypadku zwłoki przy wpłacie rat nalicza się odsetki ustawowe za opóźnienie,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6) wierzytelności Gminy z tytułu niespłaconych rat podlegają zabezpieczeniu poprzez ustanowienie hipoteki,</w:t>
      </w:r>
      <w:r w:rsidR="006F5B21" w:rsidRPr="009A45C8">
        <w:rPr>
          <w:rFonts w:ascii="Calibri" w:hAnsi="Calibri" w:cs="Calibri"/>
          <w:i/>
          <w:sz w:val="24"/>
          <w:szCs w:val="24"/>
        </w:rPr>
        <w:t xml:space="preserve"> </w:t>
      </w:r>
      <w:r w:rsidRPr="009A45C8">
        <w:rPr>
          <w:rFonts w:ascii="Calibri" w:hAnsi="Calibri" w:cs="Calibri"/>
          <w:i/>
          <w:sz w:val="24"/>
          <w:szCs w:val="24"/>
        </w:rPr>
        <w:t>zgoda na wykreślenie hipoteki może być wydana po spłacie wszystkich rat,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7) w przypadku nieterminowych spłat rat, Nabywca zobowiązany jest do zapłaty całej pozostałej kwoty w terminie do końca roku, w którym nastąpiło uchybienie terminowej zapłaty.”.</w:t>
      </w:r>
    </w:p>
    <w:p w:rsidR="0051729D" w:rsidRPr="009A45C8" w:rsidRDefault="0051729D" w:rsidP="009A45C8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A45C8">
        <w:rPr>
          <w:rFonts w:ascii="Calibri" w:eastAsia="Calibri" w:hAnsi="Calibri" w:cs="Calibri"/>
          <w:sz w:val="24"/>
          <w:szCs w:val="24"/>
        </w:rPr>
        <w:t xml:space="preserve">Natomiast w § 5 uchwały przejęto: 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bCs/>
          <w:i/>
          <w:sz w:val="24"/>
          <w:szCs w:val="24"/>
        </w:rPr>
        <w:t>„§ 5.</w:t>
      </w:r>
      <w:r w:rsidRPr="009A45C8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9A45C8">
        <w:rPr>
          <w:rFonts w:ascii="Calibri" w:hAnsi="Calibri" w:cs="Calibri"/>
          <w:i/>
          <w:sz w:val="24"/>
          <w:szCs w:val="24"/>
        </w:rPr>
        <w:t>1. Najemca ponosi koszty: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1) sporządzenia rzutu lokalu wraz z pomieszczeniem przynależnym na odpowiednich kondygnacjach budynku, a w razie położenia pomieszczeń przynależnych poza budynkiem mieszkalnym wyrysu z operatu ewidencyjnego,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2) ustalenia wartości lokalu i gruntu przez rzeczoznawcę majątkowego,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3) wypisu z ewidencji gruntów i budynków.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lastRenderedPageBreak/>
        <w:t>2. Najemca występujący z wnioskiem o kupno lokalu uiszcza w Gminie przedpłatę na wykonanie wyceny lokalu i gruntu oraz rzutów, o których mowa w ust. 1. Przedpłata rozliczana jest przed zawarciem aktu notarialnego.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hAnsi="Calibri" w:cs="Calibri"/>
          <w:i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3. W przypadku rezygnacji z kupna przez wnioskodawcę, kwota przedpłaty nie podlega zwrotowi.</w:t>
      </w:r>
    </w:p>
    <w:p w:rsidR="0051729D" w:rsidRPr="009A45C8" w:rsidRDefault="0051729D" w:rsidP="009A45C8">
      <w:pPr>
        <w:autoSpaceDE w:val="0"/>
        <w:autoSpaceDN w:val="0"/>
        <w:adjustRightInd w:val="0"/>
        <w:spacing w:after="0" w:line="300" w:lineRule="exact"/>
        <w:rPr>
          <w:rFonts w:ascii="Calibri" w:eastAsia="Calibri" w:hAnsi="Calibri" w:cs="Calibri"/>
          <w:sz w:val="24"/>
          <w:szCs w:val="24"/>
        </w:rPr>
      </w:pPr>
      <w:r w:rsidRPr="009A45C8">
        <w:rPr>
          <w:rFonts w:ascii="Calibri" w:hAnsi="Calibri" w:cs="Calibri"/>
          <w:i/>
          <w:sz w:val="24"/>
          <w:szCs w:val="24"/>
        </w:rPr>
        <w:t>4. Koszty sporządzenia umowy przeniesienia własności lokalu i inne koszty związane z nabyciem lokalu na własność, ponosi w całości Nabywca.”</w:t>
      </w:r>
      <w:r w:rsidRPr="009A45C8">
        <w:rPr>
          <w:rFonts w:ascii="Calibri" w:hAnsi="Calibri" w:cs="Calibri"/>
          <w:sz w:val="24"/>
          <w:szCs w:val="24"/>
        </w:rPr>
        <w:t xml:space="preserve">. </w:t>
      </w:r>
    </w:p>
    <w:p w:rsidR="0051729D" w:rsidRPr="009A45C8" w:rsidRDefault="00266DCB" w:rsidP="009A45C8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W opinii organu nadzoru </w:t>
      </w:r>
      <w:r w:rsidR="0051729D" w:rsidRPr="009A45C8">
        <w:rPr>
          <w:rFonts w:ascii="Calibri" w:eastAsia="Calibri" w:hAnsi="Calibri" w:cs="Calibri"/>
          <w:sz w:val="24"/>
          <w:szCs w:val="24"/>
        </w:rPr>
        <w:t>przywołane ustalenia kwestionowanej u</w:t>
      </w:r>
      <w:r w:rsidRPr="00266DCB">
        <w:rPr>
          <w:rFonts w:ascii="Calibri" w:eastAsia="Calibri" w:hAnsi="Calibri" w:cs="Calibri"/>
          <w:sz w:val="24"/>
          <w:szCs w:val="24"/>
        </w:rPr>
        <w:t>chwał</w:t>
      </w:r>
      <w:r w:rsidR="0051729D" w:rsidRPr="009A45C8">
        <w:rPr>
          <w:rFonts w:ascii="Calibri" w:eastAsia="Calibri" w:hAnsi="Calibri" w:cs="Calibri"/>
          <w:sz w:val="24"/>
          <w:szCs w:val="24"/>
        </w:rPr>
        <w:t>y</w:t>
      </w:r>
      <w:r w:rsidRPr="00266DCB">
        <w:rPr>
          <w:rFonts w:ascii="Calibri" w:eastAsia="Calibri" w:hAnsi="Calibri" w:cs="Calibri"/>
          <w:sz w:val="24"/>
          <w:szCs w:val="24"/>
        </w:rPr>
        <w:t xml:space="preserve"> nie ma</w:t>
      </w:r>
      <w:r w:rsidR="0051729D" w:rsidRPr="009A45C8">
        <w:rPr>
          <w:rFonts w:ascii="Calibri" w:eastAsia="Calibri" w:hAnsi="Calibri" w:cs="Calibri"/>
          <w:sz w:val="24"/>
          <w:szCs w:val="24"/>
        </w:rPr>
        <w:t>ją</w:t>
      </w:r>
      <w:r w:rsidRPr="00266DCB">
        <w:rPr>
          <w:rFonts w:ascii="Calibri" w:eastAsia="Calibri" w:hAnsi="Calibri" w:cs="Calibri"/>
          <w:sz w:val="24"/>
          <w:szCs w:val="24"/>
        </w:rPr>
        <w:t xml:space="preserve"> oparcia</w:t>
      </w:r>
      <w:r w:rsidRPr="00266DCB">
        <w:rPr>
          <w:rFonts w:ascii="Calibri" w:eastAsia="Calibri" w:hAnsi="Calibri" w:cs="Calibri"/>
          <w:sz w:val="24"/>
          <w:szCs w:val="24"/>
        </w:rPr>
        <w:br/>
        <w:t xml:space="preserve">w przepisach wskazanych w jej podstawie prawnej. </w:t>
      </w:r>
    </w:p>
    <w:p w:rsidR="0051729D" w:rsidRPr="009A45C8" w:rsidRDefault="00266DCB" w:rsidP="009A45C8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>Wyrażona w art. 7 Konstytucji</w:t>
      </w:r>
      <w:r w:rsidR="00C16E0B">
        <w:rPr>
          <w:rFonts w:ascii="Calibri" w:eastAsia="Calibri" w:hAnsi="Calibri" w:cs="Calibri"/>
          <w:sz w:val="24"/>
          <w:szCs w:val="24"/>
        </w:rPr>
        <w:t xml:space="preserve"> RP</w:t>
      </w:r>
      <w:r w:rsidRPr="00266DCB">
        <w:rPr>
          <w:rFonts w:ascii="Calibri" w:eastAsia="Calibri" w:hAnsi="Calibri" w:cs="Calibri"/>
          <w:sz w:val="24"/>
          <w:szCs w:val="24"/>
        </w:rPr>
        <w:t xml:space="preserve"> zasada legalizmu i praworządności wiąże wszystkie organy władzy publicznej, w tym organy jednostek samorządu terytorialnego. Wedle niej – organy działają na podstawie i w granicach prawa, co oznacza, że mogą czynić tylko to, na co prawo wyraźnie </w:t>
      </w:r>
      <w:r w:rsidR="0051729D" w:rsidRPr="009A45C8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 xml:space="preserve">im zezwala lub co wyraźnie nakazuje. Zakaz wykraczania poza zakres swoich kompetencji odnosi się przy tym do wszelkich form działalności, bez względu na to czy mają one charakter władczy </w:t>
      </w:r>
      <w:r w:rsidRPr="00266DCB">
        <w:rPr>
          <w:rFonts w:ascii="Calibri" w:eastAsia="Calibri" w:hAnsi="Calibri" w:cs="Calibri"/>
          <w:sz w:val="24"/>
          <w:szCs w:val="24"/>
        </w:rPr>
        <w:br/>
        <w:t xml:space="preserve">czy </w:t>
      </w:r>
      <w:proofErr w:type="spellStart"/>
      <w:r w:rsidRPr="00266DCB">
        <w:rPr>
          <w:rFonts w:ascii="Calibri" w:eastAsia="Calibri" w:hAnsi="Calibri" w:cs="Calibri"/>
          <w:sz w:val="24"/>
          <w:szCs w:val="24"/>
        </w:rPr>
        <w:t>niewładczy</w:t>
      </w:r>
      <w:proofErr w:type="spellEnd"/>
      <w:r w:rsidRPr="00266DCB">
        <w:rPr>
          <w:rFonts w:ascii="Calibri" w:eastAsia="Calibri" w:hAnsi="Calibri" w:cs="Calibri"/>
          <w:sz w:val="24"/>
          <w:szCs w:val="24"/>
        </w:rPr>
        <w:t>, intencyjny czy konkretny.</w:t>
      </w:r>
    </w:p>
    <w:p w:rsidR="0073041E" w:rsidRPr="009A45C8" w:rsidRDefault="00266DCB" w:rsidP="009A45C8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Art. 18 ust. 2 pkt 9 lit. a </w:t>
      </w:r>
      <w:r w:rsidR="006F5B21" w:rsidRPr="009A45C8">
        <w:rPr>
          <w:rFonts w:ascii="Calibri" w:eastAsia="Calibri" w:hAnsi="Calibri" w:cs="Calibri"/>
          <w:sz w:val="24"/>
          <w:szCs w:val="24"/>
        </w:rPr>
        <w:t>ustawy o samorządzie gminnym</w:t>
      </w:r>
      <w:r w:rsidRPr="00266DCB">
        <w:rPr>
          <w:rFonts w:ascii="Calibri" w:eastAsia="Calibri" w:hAnsi="Calibri" w:cs="Calibri"/>
          <w:sz w:val="24"/>
          <w:szCs w:val="24"/>
        </w:rPr>
        <w:t xml:space="preserve"> wskazuje, że do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nieoznaczony, o ile ustawy szczególne nie stanowią inaczej. Uchwała rady gminy jest wymagana również </w:t>
      </w:r>
      <w:r w:rsidR="00897F39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 xml:space="preserve">w przypadku, gdy po umowie zawartej na czas oznaczony do 3 lat strony zawierają kolejne umowy, których przedmiotem jest ta sama nieruchomość. Do czasu określenia zasad wójt może dokonywać tych czynności wyłącznie za zgodą rady gminy. </w:t>
      </w:r>
      <w:r w:rsidR="0051729D" w:rsidRPr="009A45C8">
        <w:rPr>
          <w:rFonts w:ascii="Calibri" w:eastAsia="Calibri" w:hAnsi="Calibri" w:cs="Calibri"/>
          <w:sz w:val="24"/>
          <w:szCs w:val="24"/>
        </w:rPr>
        <w:t xml:space="preserve">Kwestionowane przepisy uchwały </w:t>
      </w:r>
      <w:r w:rsidRPr="00266DCB">
        <w:rPr>
          <w:rFonts w:ascii="Calibri" w:eastAsia="Calibri" w:hAnsi="Calibri" w:cs="Calibri"/>
          <w:sz w:val="24"/>
          <w:szCs w:val="24"/>
        </w:rPr>
        <w:t>nie mie</w:t>
      </w:r>
      <w:r w:rsidR="0051729D" w:rsidRPr="009A45C8">
        <w:rPr>
          <w:rFonts w:ascii="Calibri" w:eastAsia="Calibri" w:hAnsi="Calibri" w:cs="Calibri"/>
          <w:sz w:val="24"/>
          <w:szCs w:val="24"/>
        </w:rPr>
        <w:t>szczą</w:t>
      </w:r>
      <w:r w:rsidRPr="00266DCB">
        <w:rPr>
          <w:rFonts w:ascii="Calibri" w:eastAsia="Calibri" w:hAnsi="Calibri" w:cs="Calibri"/>
          <w:sz w:val="24"/>
          <w:szCs w:val="24"/>
        </w:rPr>
        <w:t xml:space="preserve"> się jednak w tak oznaczonym zakresie. Zaznaczyć bowiem należy, że </w:t>
      </w:r>
      <w:r w:rsidR="0073041E" w:rsidRPr="009A45C8">
        <w:rPr>
          <w:rFonts w:ascii="Calibri" w:eastAsia="Calibri" w:hAnsi="Calibri" w:cs="Calibri"/>
          <w:sz w:val="24"/>
          <w:szCs w:val="24"/>
        </w:rPr>
        <w:t xml:space="preserve">cytowana regulacja uchwały </w:t>
      </w:r>
      <w:r w:rsidRPr="00266DCB">
        <w:rPr>
          <w:rFonts w:ascii="Calibri" w:eastAsia="Calibri" w:hAnsi="Calibri" w:cs="Calibri"/>
          <w:sz w:val="24"/>
          <w:szCs w:val="24"/>
        </w:rPr>
        <w:t>nie określ</w:t>
      </w:r>
      <w:r w:rsidR="0073041E" w:rsidRPr="009A45C8">
        <w:rPr>
          <w:rFonts w:ascii="Calibri" w:eastAsia="Calibri" w:hAnsi="Calibri" w:cs="Calibri"/>
          <w:sz w:val="24"/>
          <w:szCs w:val="24"/>
        </w:rPr>
        <w:t>a</w:t>
      </w:r>
      <w:r w:rsidRPr="00266DCB">
        <w:rPr>
          <w:rFonts w:ascii="Calibri" w:eastAsia="Calibri" w:hAnsi="Calibri" w:cs="Calibri"/>
          <w:sz w:val="24"/>
          <w:szCs w:val="24"/>
        </w:rPr>
        <w:t xml:space="preserve"> zasad, o których mowa w powołanym przepisie</w:t>
      </w:r>
      <w:r w:rsidR="0073041E" w:rsidRPr="009A45C8">
        <w:rPr>
          <w:rFonts w:ascii="Calibri" w:eastAsia="Calibri" w:hAnsi="Calibri" w:cs="Calibri"/>
          <w:sz w:val="24"/>
          <w:szCs w:val="24"/>
        </w:rPr>
        <w:t>.</w:t>
      </w:r>
      <w:r w:rsidR="006F5B21" w:rsidRPr="009A45C8">
        <w:rPr>
          <w:rFonts w:ascii="Calibri" w:eastAsia="Calibri" w:hAnsi="Calibri" w:cs="Calibri"/>
          <w:sz w:val="24"/>
          <w:szCs w:val="24"/>
        </w:rPr>
        <w:t xml:space="preserve"> W </w:t>
      </w:r>
      <w:r w:rsidR="006F5B21" w:rsidRPr="00266DCB">
        <w:rPr>
          <w:rFonts w:ascii="Calibri" w:eastAsia="Calibri" w:hAnsi="Calibri" w:cs="Calibri"/>
          <w:sz w:val="24"/>
          <w:szCs w:val="24"/>
        </w:rPr>
        <w:t xml:space="preserve">§ </w:t>
      </w:r>
      <w:r w:rsidR="006F5B21" w:rsidRPr="009A45C8">
        <w:rPr>
          <w:rFonts w:ascii="Calibri" w:eastAsia="Calibri" w:hAnsi="Calibri" w:cs="Calibri"/>
          <w:sz w:val="24"/>
          <w:szCs w:val="24"/>
        </w:rPr>
        <w:t>3</w:t>
      </w:r>
      <w:r w:rsidR="006F5B21" w:rsidRPr="00266DCB">
        <w:rPr>
          <w:rFonts w:ascii="Calibri" w:eastAsia="Calibri" w:hAnsi="Calibri" w:cs="Calibri"/>
          <w:sz w:val="24"/>
          <w:szCs w:val="24"/>
        </w:rPr>
        <w:t xml:space="preserve"> ust. </w:t>
      </w:r>
      <w:r w:rsidR="006F5B21" w:rsidRPr="009A45C8">
        <w:rPr>
          <w:rFonts w:ascii="Calibri" w:eastAsia="Calibri" w:hAnsi="Calibri" w:cs="Calibri"/>
          <w:sz w:val="24"/>
          <w:szCs w:val="24"/>
        </w:rPr>
        <w:t>2 pkt 4</w:t>
      </w:r>
      <w:r w:rsidR="003D1FF5">
        <w:rPr>
          <w:rFonts w:ascii="Calibri" w:eastAsia="Calibri" w:hAnsi="Calibri" w:cs="Calibri"/>
          <w:sz w:val="24"/>
          <w:szCs w:val="24"/>
        </w:rPr>
        <w:t> </w:t>
      </w:r>
      <w:r w:rsidR="006F5B21" w:rsidRPr="009A45C8">
        <w:rPr>
          <w:rFonts w:ascii="Calibri" w:eastAsia="Calibri" w:hAnsi="Calibri" w:cs="Calibri"/>
          <w:sz w:val="24"/>
          <w:szCs w:val="24"/>
        </w:rPr>
        <w:t>-</w:t>
      </w:r>
      <w:r w:rsidR="003D1FF5">
        <w:rPr>
          <w:rFonts w:ascii="Calibri" w:eastAsia="Calibri" w:hAnsi="Calibri" w:cs="Calibri"/>
          <w:sz w:val="24"/>
          <w:szCs w:val="24"/>
        </w:rPr>
        <w:t> 7</w:t>
      </w:r>
      <w:r w:rsidR="006F5B21" w:rsidRPr="009A45C8">
        <w:rPr>
          <w:rFonts w:ascii="Calibri" w:eastAsia="Calibri" w:hAnsi="Calibri" w:cs="Calibri"/>
          <w:sz w:val="24"/>
          <w:szCs w:val="24"/>
        </w:rPr>
        <w:t xml:space="preserve"> uchwały określono bowiem z jednej strony niezbędne elementy umowy zbycia lokalu i sposób wykonania samej umowy w odniesieniu do płatności i zabezpieczeń, wiążąc tym samym zarówno organ wykonawczy, jak </w:t>
      </w:r>
      <w:r w:rsidR="00897F39">
        <w:rPr>
          <w:rFonts w:ascii="Calibri" w:eastAsia="Calibri" w:hAnsi="Calibri" w:cs="Calibri"/>
          <w:sz w:val="24"/>
          <w:szCs w:val="24"/>
        </w:rPr>
        <w:br/>
      </w:r>
      <w:r w:rsidR="006F5B21" w:rsidRPr="009A45C8">
        <w:rPr>
          <w:rFonts w:ascii="Calibri" w:eastAsia="Calibri" w:hAnsi="Calibri" w:cs="Calibri"/>
          <w:sz w:val="24"/>
          <w:szCs w:val="24"/>
        </w:rPr>
        <w:t>i przyszłego nabywcę nieruchomości. Natomiast w § 5 uregulowano obowiązki nabywcy nieruchomości w zakresie ponoszonych kosztów oraz przedpłaty, które odnoszą się do umowy zbycia lokalu i sposobu wykonania samej umowy, wiążąc ustaleniami także organ wykonawczy.</w:t>
      </w:r>
    </w:p>
    <w:p w:rsidR="009506EA" w:rsidRPr="009A45C8" w:rsidRDefault="006F5B21" w:rsidP="009A45C8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9A45C8">
        <w:rPr>
          <w:rFonts w:ascii="Calibri" w:eastAsia="Calibri" w:hAnsi="Calibri" w:cs="Calibri"/>
          <w:sz w:val="24"/>
          <w:szCs w:val="24"/>
        </w:rPr>
        <w:t xml:space="preserve">Ponadto przywołany w podstawie prawnej art. 5 ustawy o gospodarce nieruchomościami </w:t>
      </w:r>
      <w:r w:rsidR="000E722C" w:rsidRPr="009A45C8">
        <w:rPr>
          <w:rFonts w:ascii="Calibri" w:hAnsi="Calibri" w:cs="Calibri"/>
          <w:sz w:val="24"/>
          <w:szCs w:val="24"/>
        </w:rPr>
        <w:t xml:space="preserve">reguluje waloryzację kwot należnych z tytułów określonych w ustawie przy zastosowaniu wskaźników zmian cen nieruchomości dla nieruchomości sklasyfikowanych w rejestrze cen </w:t>
      </w:r>
      <w:r w:rsidR="00897F39">
        <w:rPr>
          <w:rFonts w:ascii="Calibri" w:hAnsi="Calibri" w:cs="Calibri"/>
          <w:sz w:val="24"/>
          <w:szCs w:val="24"/>
        </w:rPr>
        <w:br/>
      </w:r>
      <w:r w:rsidR="000E722C" w:rsidRPr="009A45C8">
        <w:rPr>
          <w:rFonts w:ascii="Calibri" w:hAnsi="Calibri" w:cs="Calibri"/>
          <w:sz w:val="24"/>
          <w:szCs w:val="24"/>
        </w:rPr>
        <w:t>i wartości nieruchomości, z uwzględnieniem danych wynikających z ewidencji gruntów i budynków. Przepis ten nie stanowi delegacji dla Rady Miejskiej do podejmowania uchwały</w:t>
      </w:r>
      <w:r w:rsidR="009506EA" w:rsidRPr="009A45C8">
        <w:rPr>
          <w:rFonts w:ascii="Calibri" w:hAnsi="Calibri" w:cs="Calibri"/>
          <w:sz w:val="24"/>
          <w:szCs w:val="24"/>
        </w:rPr>
        <w:t>, lecz</w:t>
      </w:r>
      <w:r w:rsidR="000E722C" w:rsidRPr="009A45C8">
        <w:rPr>
          <w:rFonts w:ascii="Calibri" w:hAnsi="Calibri" w:cs="Calibri"/>
          <w:sz w:val="24"/>
          <w:szCs w:val="24"/>
        </w:rPr>
        <w:t xml:space="preserve"> ma zastosowanie do wykonania uchwały w odniesieniu </w:t>
      </w:r>
      <w:r w:rsidR="009506EA" w:rsidRPr="009A45C8">
        <w:rPr>
          <w:rFonts w:ascii="Calibri" w:hAnsi="Calibri" w:cs="Calibri"/>
          <w:sz w:val="24"/>
          <w:szCs w:val="24"/>
        </w:rPr>
        <w:t xml:space="preserve">tylko </w:t>
      </w:r>
      <w:r w:rsidR="000E722C" w:rsidRPr="009A45C8">
        <w:rPr>
          <w:rFonts w:ascii="Calibri" w:hAnsi="Calibri" w:cs="Calibri"/>
          <w:sz w:val="24"/>
          <w:szCs w:val="24"/>
        </w:rPr>
        <w:t>do kwot należnych z tytułów określonych w ustawie o gospodarce nieruchomościami</w:t>
      </w:r>
      <w:r w:rsidR="009506EA" w:rsidRPr="009A45C8">
        <w:rPr>
          <w:rFonts w:ascii="Calibri" w:hAnsi="Calibri" w:cs="Calibri"/>
          <w:sz w:val="24"/>
          <w:szCs w:val="24"/>
        </w:rPr>
        <w:t>.</w:t>
      </w:r>
    </w:p>
    <w:p w:rsidR="00453C56" w:rsidRPr="009A45C8" w:rsidRDefault="002E2230" w:rsidP="009A45C8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9A45C8">
        <w:rPr>
          <w:rFonts w:ascii="Calibri" w:hAnsi="Calibri" w:cs="Calibri"/>
          <w:sz w:val="24"/>
          <w:szCs w:val="24"/>
        </w:rPr>
        <w:t xml:space="preserve">Przepis art. 34 ust. 1 pkt 3 </w:t>
      </w:r>
      <w:r w:rsidR="00453C56" w:rsidRPr="009A45C8">
        <w:rPr>
          <w:rFonts w:ascii="Calibri" w:hAnsi="Calibri" w:cs="Calibri"/>
          <w:sz w:val="24"/>
          <w:szCs w:val="24"/>
        </w:rPr>
        <w:t>ustawy o gospodarce nieruchomościami reguluje w szczególności prawo pierwszeństwa w nabyciu nieruchomości poprzez wskazanie, jako kategorii osób, najemców lokali mieszkalnych w sytuacji, gdy najem został nawiązany na czas nieoznaczony. Przepis ten nie stanowi delegacji dla Rady Miejskiej do podejmowania uchwały. Art. 34 ust. 6 ustawy o gospodarce nieruchomościami, którego brak jest w podstawie prawnej uchwały, przyznaje radzie gminy możliwość rozszerzenia pierwszeństwa w nabyciu nieruchomości także na innych najemców niż wymienieni w art. 34 ust. 1 pkt 3 ustawy. W treści uchwały brak jest jednak regulacji odnoszącej się do tej kwestii.</w:t>
      </w:r>
      <w:r w:rsidR="002C659F" w:rsidRPr="009A45C8">
        <w:rPr>
          <w:rFonts w:ascii="Calibri" w:hAnsi="Calibri" w:cs="Calibri"/>
          <w:sz w:val="24"/>
          <w:szCs w:val="24"/>
        </w:rPr>
        <w:t xml:space="preserve"> </w:t>
      </w:r>
    </w:p>
    <w:p w:rsidR="00FD2D1D" w:rsidRPr="009A45C8" w:rsidRDefault="00FD2D1D" w:rsidP="009A45C8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9A45C8">
        <w:rPr>
          <w:rFonts w:ascii="Calibri" w:hAnsi="Calibri" w:cs="Calibri"/>
          <w:sz w:val="24"/>
          <w:szCs w:val="24"/>
        </w:rPr>
        <w:lastRenderedPageBreak/>
        <w:t>Przepisy art. 67 ust. 1 i 3 ustawy o gospodarce nieruchomościami regulują sposób ustalenia ceny nieruchomości w odniesieniu do jej wartości. Przepisy te również nie przyznają Radzie Miejskiej uprawnień do podejmowania uchwały, lecz są skierowane do organu wykonawczego, który będzie dokonywał zbycia nieruchomości.</w:t>
      </w:r>
    </w:p>
    <w:p w:rsidR="00C67E2F" w:rsidRPr="00C67E2F" w:rsidRDefault="00C67E2F" w:rsidP="009A45C8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45C8">
        <w:rPr>
          <w:rFonts w:ascii="Calibri" w:hAnsi="Calibri" w:cs="Calibri"/>
          <w:sz w:val="24"/>
          <w:szCs w:val="24"/>
        </w:rPr>
        <w:t>Przepis art. 68 ust. 1 pkt 7, ust. 1b i ust. 2 ustawy o gospodarce nieruchomościami reguluje możliwość udzielenia na podstawie uchwały Rady Miejskiej bonifikaty od ceny ustalonej na podstawie art. 67 ust. 3 ustawy</w:t>
      </w:r>
      <w:r w:rsidRPr="00C67E2F">
        <w:rPr>
          <w:rFonts w:ascii="Calibri" w:eastAsia="Times New Roman" w:hAnsi="Calibri" w:cs="Calibri"/>
          <w:sz w:val="24"/>
          <w:szCs w:val="24"/>
          <w:lang w:eastAsia="pl-PL"/>
        </w:rPr>
        <w:t>, jeżel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i nieruchomość jest sprzedawana </w:t>
      </w:r>
      <w:r w:rsidRPr="00C67E2F">
        <w:rPr>
          <w:rFonts w:ascii="Calibri" w:eastAsia="Times New Roman" w:hAnsi="Calibri" w:cs="Calibri"/>
          <w:sz w:val="24"/>
          <w:szCs w:val="24"/>
          <w:lang w:eastAsia="pl-PL"/>
        </w:rPr>
        <w:t>jako lokal mieszkalny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897F3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67E2F">
        <w:rPr>
          <w:rFonts w:ascii="Calibri" w:eastAsia="Times New Roman" w:hAnsi="Calibri" w:cs="Calibri"/>
          <w:sz w:val="24"/>
          <w:szCs w:val="24"/>
          <w:lang w:eastAsia="pl-PL"/>
        </w:rPr>
        <w:t>W uchwale rady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, stanowiącej akt prawa miejscowego,</w:t>
      </w:r>
      <w:r w:rsidRPr="00C67E2F">
        <w:rPr>
          <w:rFonts w:ascii="Calibri" w:eastAsia="Times New Roman" w:hAnsi="Calibri" w:cs="Calibri"/>
          <w:sz w:val="24"/>
          <w:szCs w:val="24"/>
          <w:lang w:eastAsia="pl-PL"/>
        </w:rPr>
        <w:t xml:space="preserve"> określa się w szczególności warunki udzielania bonifikat i wysokość stawek procentowych. Jeżeli nabywca nieruchomości zbył nieruchomość lub wykorzystał ją na inne cele niż cele uzasadniające udzielenie bonifikaty, przed upływem 10 lat, a w przypadku nieruchomości stanowiącej lokal mieszkalny przed upływem 5 lat, licząc od dnia nabycia, jest zobowiązany do zwrotu kwoty równej udzielonej bonifikacie po jej waloryzacji. Zwrot następuje na żądanie właściwego organu.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Na tej podstawie prawnej Rada </w:t>
      </w:r>
      <w:r w:rsidR="00AD3150" w:rsidRPr="009A45C8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iejska określiła </w:t>
      </w:r>
      <w:r w:rsidR="00AD3150"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bonifikatę w § 3 ust. 1 uchwały z zastrzeżeniem § 4 uchwały. </w:t>
      </w:r>
    </w:p>
    <w:p w:rsidR="00674299" w:rsidRPr="009A45C8" w:rsidRDefault="00DE0675" w:rsidP="009A45C8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45C8">
        <w:rPr>
          <w:rFonts w:ascii="Calibri" w:hAnsi="Calibri" w:cs="Calibri"/>
          <w:sz w:val="24"/>
          <w:szCs w:val="24"/>
        </w:rPr>
        <w:t>Przepis art. 70 ustawy o gospodarce nieruchomościami reguluje kwestie terminu zapłaty</w:t>
      </w:r>
      <w:r w:rsidR="00674299" w:rsidRPr="009A45C8">
        <w:rPr>
          <w:rFonts w:ascii="Calibri" w:hAnsi="Calibri" w:cs="Calibri"/>
          <w:sz w:val="24"/>
          <w:szCs w:val="24"/>
        </w:rPr>
        <w:t xml:space="preserve"> </w:t>
      </w:r>
      <w:r w:rsidR="003D1FF5">
        <w:rPr>
          <w:rFonts w:ascii="Calibri" w:hAnsi="Calibri" w:cs="Calibri"/>
          <w:sz w:val="24"/>
          <w:szCs w:val="24"/>
        </w:rPr>
        <w:br/>
      </w:r>
      <w:r w:rsidR="00674299" w:rsidRPr="009A45C8">
        <w:rPr>
          <w:rFonts w:ascii="Calibri" w:hAnsi="Calibri" w:cs="Calibri"/>
          <w:sz w:val="24"/>
          <w:szCs w:val="24"/>
        </w:rPr>
        <w:t>za nieruchomość</w:t>
      </w:r>
      <w:r w:rsidRPr="009A45C8">
        <w:rPr>
          <w:rFonts w:ascii="Calibri" w:hAnsi="Calibri" w:cs="Calibri"/>
          <w:sz w:val="24"/>
          <w:szCs w:val="24"/>
        </w:rPr>
        <w:t xml:space="preserve"> oraz rozłożenia ceny na raty, a także oprocentowania niespłaconej części ceny, </w:t>
      </w:r>
      <w:r w:rsidR="00897F39">
        <w:rPr>
          <w:rFonts w:ascii="Calibri" w:hAnsi="Calibri" w:cs="Calibri"/>
          <w:sz w:val="24"/>
          <w:szCs w:val="24"/>
        </w:rPr>
        <w:br/>
      </w:r>
      <w:r w:rsidRPr="009A45C8">
        <w:rPr>
          <w:rFonts w:ascii="Calibri" w:hAnsi="Calibri" w:cs="Calibri"/>
          <w:sz w:val="24"/>
          <w:szCs w:val="24"/>
        </w:rPr>
        <w:t xml:space="preserve">z możliwością </w:t>
      </w:r>
      <w:r w:rsidR="00674299" w:rsidRPr="009A45C8">
        <w:rPr>
          <w:rFonts w:ascii="Calibri" w:hAnsi="Calibri" w:cs="Calibri"/>
          <w:sz w:val="24"/>
          <w:szCs w:val="24"/>
        </w:rPr>
        <w:t xml:space="preserve">wyrażenia przez </w:t>
      </w:r>
      <w:r w:rsidR="00897F39">
        <w:rPr>
          <w:rFonts w:ascii="Calibri" w:hAnsi="Calibri" w:cs="Calibri"/>
          <w:sz w:val="24"/>
          <w:szCs w:val="24"/>
        </w:rPr>
        <w:t>r</w:t>
      </w:r>
      <w:r w:rsidR="00674299" w:rsidRPr="009A45C8">
        <w:rPr>
          <w:rFonts w:ascii="Calibri" w:hAnsi="Calibri" w:cs="Calibri"/>
          <w:sz w:val="24"/>
          <w:szCs w:val="24"/>
        </w:rPr>
        <w:t>adę</w:t>
      </w:r>
      <w:r w:rsidRPr="009A45C8">
        <w:rPr>
          <w:rFonts w:ascii="Calibri" w:hAnsi="Calibri" w:cs="Calibri"/>
          <w:sz w:val="24"/>
          <w:szCs w:val="24"/>
        </w:rPr>
        <w:t xml:space="preserve"> </w:t>
      </w:r>
      <w:r w:rsidR="00897F39">
        <w:rPr>
          <w:rFonts w:ascii="Calibri" w:hAnsi="Calibri" w:cs="Calibri"/>
          <w:sz w:val="24"/>
          <w:szCs w:val="24"/>
        </w:rPr>
        <w:t>gminy</w:t>
      </w:r>
      <w:r w:rsidRPr="009A45C8">
        <w:rPr>
          <w:rFonts w:ascii="Calibri" w:hAnsi="Calibri" w:cs="Calibri"/>
          <w:sz w:val="24"/>
          <w:szCs w:val="24"/>
        </w:rPr>
        <w:t xml:space="preserve"> zgody na zastosowanie innej stopy procentowej niż </w:t>
      </w:r>
      <w:r w:rsidRPr="00DE0675">
        <w:rPr>
          <w:rFonts w:ascii="Calibri" w:eastAsia="Times New Roman" w:hAnsi="Calibri" w:cs="Calibri"/>
          <w:sz w:val="24"/>
          <w:szCs w:val="24"/>
          <w:lang w:eastAsia="pl-PL"/>
        </w:rPr>
        <w:t>stop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DE0675">
        <w:rPr>
          <w:rFonts w:ascii="Calibri" w:eastAsia="Times New Roman" w:hAnsi="Calibri" w:cs="Calibri"/>
          <w:sz w:val="24"/>
          <w:szCs w:val="24"/>
          <w:lang w:eastAsia="pl-PL"/>
        </w:rPr>
        <w:t xml:space="preserve"> redyskonta weksli stosowan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a przez Narodowy Bank Polski. Rada </w:t>
      </w:r>
      <w:r w:rsidR="00674299" w:rsidRPr="009A45C8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iejska dała wyraz tej delegacji ustawowej w § 3 </w:t>
      </w:r>
      <w:r w:rsidR="00674299" w:rsidRPr="009A45C8">
        <w:rPr>
          <w:rFonts w:ascii="Calibri" w:eastAsia="Times New Roman" w:hAnsi="Calibri" w:cs="Calibri"/>
          <w:sz w:val="24"/>
          <w:szCs w:val="24"/>
          <w:lang w:eastAsia="pl-PL"/>
        </w:rPr>
        <w:t>ust. 2 pkt 1-3 z jednej strony powtarzając przepisy ustawowe i z drugiej określając oprocentowanie niespłaconej części ceny.</w:t>
      </w:r>
    </w:p>
    <w:p w:rsidR="00674299" w:rsidRPr="009A45C8" w:rsidRDefault="00674299" w:rsidP="009A45C8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W świetle przywołanych przepisów ustawy o gospodarce nieruchomości</w:t>
      </w:r>
      <w:r w:rsidR="003D1FF5">
        <w:rPr>
          <w:rFonts w:ascii="Calibri" w:eastAsia="Times New Roman" w:hAnsi="Calibri" w:cs="Calibri"/>
          <w:sz w:val="24"/>
          <w:szCs w:val="24"/>
          <w:lang w:eastAsia="pl-PL"/>
        </w:rPr>
        <w:t>ami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należy stwierdzić, że Rada Miejska w Pułtusku nie posiada uprawień do regulowania </w:t>
      </w:r>
      <w:r w:rsidRPr="009A45C8">
        <w:rPr>
          <w:rFonts w:ascii="Calibri" w:eastAsia="Calibri" w:hAnsi="Calibri" w:cs="Calibri"/>
          <w:sz w:val="24"/>
          <w:szCs w:val="24"/>
        </w:rPr>
        <w:t xml:space="preserve">niezbędnych elementów umowy zbycia lokalu i sposobu wykonania samej umowy w odniesieniu do płatności </w:t>
      </w:r>
      <w:r w:rsidR="003D1FF5">
        <w:rPr>
          <w:rFonts w:ascii="Calibri" w:eastAsia="Calibri" w:hAnsi="Calibri" w:cs="Calibri"/>
          <w:sz w:val="24"/>
          <w:szCs w:val="24"/>
        </w:rPr>
        <w:br/>
      </w:r>
      <w:r w:rsidRPr="009A45C8">
        <w:rPr>
          <w:rFonts w:ascii="Calibri" w:eastAsia="Calibri" w:hAnsi="Calibri" w:cs="Calibri"/>
          <w:sz w:val="24"/>
          <w:szCs w:val="24"/>
        </w:rPr>
        <w:t xml:space="preserve">i zabezpieczeń, obowiązków nabywcy nieruchomości w zakresie ponoszonych kosztów oraz przedpłaty, w sposób wiążący dla organu wykonawczego, jak i przyszłego nabywcy nieruchomości. </w:t>
      </w:r>
    </w:p>
    <w:p w:rsidR="00674299" w:rsidRPr="009A45C8" w:rsidRDefault="00674299" w:rsidP="009A45C8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A45C8">
        <w:rPr>
          <w:rFonts w:ascii="Calibri" w:eastAsia="Times New Roman" w:hAnsi="Calibri" w:cs="Calibri"/>
          <w:sz w:val="24"/>
          <w:szCs w:val="24"/>
          <w:lang w:eastAsia="ar-SA"/>
        </w:rPr>
        <w:t>Ponadto w ocenie organu nadzoru ustanowione w art. 18 ust. 1 ustawy o samorządzie gminnym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A45C8">
        <w:rPr>
          <w:rFonts w:ascii="Calibri" w:eastAsia="Times New Roman" w:hAnsi="Calibri" w:cs="Calibri"/>
          <w:bCs/>
          <w:sz w:val="24"/>
          <w:szCs w:val="24"/>
          <w:lang w:eastAsia="pl-PL"/>
        </w:rPr>
        <w:t>domniemanie właściwości rady gminy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, przekazuje do jej rozstrzygnięcia wszystkie sprawy pozostające w zakresie działania gminy, jeżeli ustawy nie stanowią inaczej. Oznacza to, że poza gestią rady znajdują się tylko te sprawy lokalne o znaczeniu publicznym, które z mocy ustawy samorządowej lub innych ustaw należą do właściwości innych organów, w tym do właściwości organu wykonawczego gminy. Podział kompetencji opiera się przy tym nie tyle na rodzaju spraw, ile raczej na wadze i formie rozstrzygnięć oraz sferze, w której one zapadają. Rada n</w:t>
      </w:r>
      <w:r w:rsidRPr="009A45C8">
        <w:rPr>
          <w:rFonts w:ascii="Calibri" w:eastAsia="Times New Roman" w:hAnsi="Calibri" w:cs="Calibri"/>
          <w:sz w:val="24"/>
          <w:szCs w:val="24"/>
          <w:lang w:eastAsia="ar-SA"/>
        </w:rPr>
        <w:t>ie może zatem podejmować czynności, które z mocy ustawy należą do sfery wykonawczej, gdyż byłoby to naruszeniem konstytucyjnej zasady podziału organów gminy na stanowiące i wykonawcze (art. 169 ust. 1 Konstytucji RP).</w:t>
      </w:r>
    </w:p>
    <w:p w:rsidR="009A45C8" w:rsidRPr="009A45C8" w:rsidRDefault="00674299" w:rsidP="009A45C8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Należy także podkreślić, że art. 18 ust. 2 pkt 9 ustawy o samorządzie gminnym, uprawniający radę do podejmowania uchwał w sprawach majątkowych gminy przekraczających zakres zwykłego zarządu, ustanawia wyjątki od generalnej zasady wyrażonej w art. 30 ust. 2 pkt 3 ustawy </w:t>
      </w:r>
      <w:r w:rsidR="00897F3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o samorządzie gminnym stanowiącej, iż to organ wykonawczy gminy gospodaruje mieniem komunalnym.</w:t>
      </w:r>
      <w:r w:rsidR="009A45C8"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Zasada ta znajduje odzwierciedlenie w art. 25 ust. 1 ustawy o gospodarce nieruchomościami, który wprost stwierdza, że </w:t>
      </w:r>
      <w:r w:rsidR="009A45C8" w:rsidRPr="009A45C8">
        <w:rPr>
          <w:rFonts w:ascii="Calibri" w:eastAsia="Times New Roman" w:hAnsi="Calibri" w:cs="Calibri"/>
          <w:i/>
          <w:sz w:val="24"/>
          <w:szCs w:val="24"/>
          <w:lang w:eastAsia="pl-PL"/>
        </w:rPr>
        <w:t>gminnym zasobem nieruchomości gospodaruje wójt, burmistrz albo prezydent miasta</w:t>
      </w:r>
      <w:r w:rsidR="009A45C8"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266DCB" w:rsidRPr="00266DCB" w:rsidRDefault="00674299" w:rsidP="009A45C8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Do organu </w:t>
      </w:r>
      <w:r w:rsidR="00A15BED" w:rsidRPr="009A45C8">
        <w:rPr>
          <w:rFonts w:ascii="Calibri" w:eastAsia="Times New Roman" w:hAnsi="Calibri" w:cs="Calibri"/>
          <w:sz w:val="24"/>
          <w:szCs w:val="24"/>
          <w:lang w:eastAsia="pl-PL"/>
        </w:rPr>
        <w:t>wykonawczego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gminy należy więc wykonywanie określonych prawem zadań gminy, których realizacją na mocy art. 30 ust. 2 pkt 3 </w:t>
      </w:r>
      <w:r w:rsidR="00A15BED"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samorządzie gminnym 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obarczono go </w:t>
      </w:r>
      <w:proofErr w:type="spellStart"/>
      <w:r w:rsidRPr="009A45C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nominatim</w:t>
      </w:r>
      <w:proofErr w:type="spellEnd"/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, a mianowicie gospodarowanie mieniem komunalnym, czyli </w:t>
      </w:r>
      <w:r w:rsidRPr="009A45C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podejmowanie czynności </w:t>
      </w:r>
      <w:r w:rsidRPr="009A45C8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faktycznych lub prawnych mających na celu realizację funkcji społeczno-gospodarczego przeznaczenia tego mienia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A15BED" w:rsidRPr="009A45C8">
        <w:rPr>
          <w:rFonts w:ascii="Calibri" w:eastAsia="Calibri" w:hAnsi="Calibri" w:cs="Calibri"/>
          <w:sz w:val="24"/>
          <w:szCs w:val="24"/>
        </w:rPr>
        <w:t xml:space="preserve"> </w:t>
      </w:r>
      <w:r w:rsidR="00A15BED" w:rsidRPr="00266DCB">
        <w:rPr>
          <w:rFonts w:ascii="Calibri" w:eastAsia="Calibri" w:hAnsi="Calibri" w:cs="Calibri"/>
          <w:sz w:val="24"/>
          <w:szCs w:val="24"/>
        </w:rPr>
        <w:t xml:space="preserve">Realizując swoje wyłączne kompetencje organ wykonawczy pozostaje </w:t>
      </w:r>
      <w:r w:rsidR="00897F39">
        <w:rPr>
          <w:rFonts w:ascii="Calibri" w:eastAsia="Calibri" w:hAnsi="Calibri" w:cs="Calibri"/>
          <w:sz w:val="24"/>
          <w:szCs w:val="24"/>
        </w:rPr>
        <w:br/>
      </w:r>
      <w:r w:rsidR="00A15BED" w:rsidRPr="009A45C8">
        <w:rPr>
          <w:rFonts w:ascii="Calibri" w:eastAsia="Calibri" w:hAnsi="Calibri" w:cs="Calibri"/>
          <w:sz w:val="24"/>
          <w:szCs w:val="24"/>
        </w:rPr>
        <w:t>w pełni samodzielny.</w:t>
      </w:r>
      <w:r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 Przekazanie pewnych spraw z zakresu gospodarowania mieniem komunalnym do kompetencji rady jest wyjątkiem, który musi być interpretowany ściśle i nie może prowadzić do swobodnego przejmowania przez radę do rozstrzygania w drodze uchwał wszystkich spraw ważnych z punktu widzenia gospodarki gminy</w:t>
      </w:r>
      <w:r w:rsidR="00A15BED" w:rsidRPr="009A45C8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266DCB" w:rsidRPr="00266DCB">
        <w:rPr>
          <w:rFonts w:ascii="Calibri" w:eastAsia="Calibri" w:hAnsi="Calibri" w:cs="Calibri"/>
          <w:sz w:val="24"/>
          <w:szCs w:val="24"/>
        </w:rPr>
        <w:t>Rada gminy nie może więc nakazać lub zakazać wójtowi (burmistrzowi, prezydentowi miasta), w zakresie jego własnych kompetencji jako organu wykonawczego, określonych działań w indywidualnych sprawach dotyczących gospodarowania mieniem komunalnym.</w:t>
      </w:r>
    </w:p>
    <w:p w:rsidR="00A15BED" w:rsidRPr="009A45C8" w:rsidRDefault="00266DCB" w:rsidP="009A45C8">
      <w:pPr>
        <w:spacing w:after="0" w:line="300" w:lineRule="exact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 xml:space="preserve">Mając na uwadze powyższą analizę uznać należy, że doszło do istotnego naruszenia prawa będącego podstawą do stwierdzenia nieważności </w:t>
      </w:r>
      <w:r w:rsidR="00A15BED" w:rsidRPr="009A45C8">
        <w:rPr>
          <w:rFonts w:ascii="Calibri" w:hAnsi="Calibri" w:cs="Calibri"/>
          <w:sz w:val="24"/>
          <w:szCs w:val="24"/>
        </w:rPr>
        <w:t>§ 3 ust. 2 pkt 4 – 7 oraz § 5 uchwały Rady Miejskiej w Pułtusku</w:t>
      </w:r>
      <w:r w:rsidRPr="00266DCB">
        <w:rPr>
          <w:rFonts w:ascii="Calibri" w:eastAsia="Calibri" w:hAnsi="Calibri" w:cs="Calibri"/>
          <w:sz w:val="24"/>
          <w:szCs w:val="24"/>
        </w:rPr>
        <w:t>. Nie wskazano w ni</w:t>
      </w:r>
      <w:r w:rsidR="00A15BED" w:rsidRPr="009A45C8">
        <w:rPr>
          <w:rFonts w:ascii="Calibri" w:eastAsia="Calibri" w:hAnsi="Calibri" w:cs="Calibri"/>
          <w:sz w:val="24"/>
          <w:szCs w:val="24"/>
        </w:rPr>
        <w:t>ej</w:t>
      </w:r>
      <w:r w:rsidRPr="00266DCB">
        <w:rPr>
          <w:rFonts w:ascii="Calibri" w:eastAsia="Calibri" w:hAnsi="Calibri" w:cs="Calibri"/>
          <w:sz w:val="24"/>
          <w:szCs w:val="24"/>
        </w:rPr>
        <w:t xml:space="preserve"> prawidłowych podstaw prawnych dla przyjętych rozstrzygnięć</w:t>
      </w:r>
      <w:r w:rsidR="00897F39">
        <w:rPr>
          <w:rFonts w:ascii="Calibri" w:eastAsia="Calibri" w:hAnsi="Calibri" w:cs="Calibri"/>
          <w:sz w:val="24"/>
          <w:szCs w:val="24"/>
        </w:rPr>
        <w:t xml:space="preserve"> </w:t>
      </w:r>
      <w:r w:rsidR="00897F39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 xml:space="preserve">i w ocenie organu nadzoru brak jest przepisów, które mogłyby je stanowić. W orzecznictwie wielokrotnie wyrażane było stanowisko, że odnośnie podstaw do stwierdzenia nieważności aktów organu gminy przyjmuje się, że już z samego brzmienia art. 91 ust. 1 w związku z art. 91 ust. 4 ustawy </w:t>
      </w:r>
      <w:r w:rsidR="003D1FF5">
        <w:rPr>
          <w:rFonts w:ascii="Calibri" w:eastAsia="Calibri" w:hAnsi="Calibri" w:cs="Calibri"/>
          <w:sz w:val="24"/>
          <w:szCs w:val="24"/>
        </w:rPr>
        <w:t xml:space="preserve">o samorządzie gminnym </w:t>
      </w:r>
      <w:r w:rsidRPr="00266DCB">
        <w:rPr>
          <w:rFonts w:ascii="Calibri" w:eastAsia="Calibri" w:hAnsi="Calibri" w:cs="Calibri"/>
          <w:sz w:val="24"/>
          <w:szCs w:val="24"/>
        </w:rPr>
        <w:t>wynika, iż tylko istotne naruszenie prawa stanowi podstawę do stwierdzenia nieważności u</w:t>
      </w:r>
      <w:r w:rsidR="003D1FF5">
        <w:rPr>
          <w:rFonts w:ascii="Calibri" w:eastAsia="Calibri" w:hAnsi="Calibri" w:cs="Calibri"/>
          <w:sz w:val="24"/>
          <w:szCs w:val="24"/>
        </w:rPr>
        <w:t>chwały (aktu) organu gminy. Za „</w:t>
      </w:r>
      <w:r w:rsidRPr="00266DCB">
        <w:rPr>
          <w:rFonts w:ascii="Calibri" w:eastAsia="Calibri" w:hAnsi="Calibri" w:cs="Calibri"/>
          <w:sz w:val="24"/>
          <w:szCs w:val="24"/>
        </w:rPr>
        <w:t>istotne</w:t>
      </w:r>
      <w:r w:rsidR="003D1FF5">
        <w:rPr>
          <w:rFonts w:ascii="Calibri" w:eastAsia="Calibri" w:hAnsi="Calibri" w:cs="Calibri"/>
          <w:sz w:val="24"/>
          <w:szCs w:val="24"/>
        </w:rPr>
        <w:t>”</w:t>
      </w:r>
      <w:r w:rsidRPr="00266DCB">
        <w:rPr>
          <w:rFonts w:ascii="Calibri" w:eastAsia="Calibri" w:hAnsi="Calibri" w:cs="Calibri"/>
          <w:sz w:val="24"/>
          <w:szCs w:val="24"/>
        </w:rPr>
        <w:t xml:space="preserve"> naruszenie prawa uznaje się uchybienie, prowadzące do skutków, które nie mogą być akceptowane w demokratycznym państwie prawnym. Zalicza się do nich między innymi naruszenie przepisów wyznaczających kompetencję do podejmowania uchwał, podstawy prawnej podejmowania uchwał, prawa ustrojowego oraz prawa materialnego, a także przepisów regulujących procedury podejmowania uchwał (por. M. </w:t>
      </w:r>
      <w:proofErr w:type="spellStart"/>
      <w:r w:rsidRPr="00266DCB">
        <w:rPr>
          <w:rFonts w:ascii="Calibri" w:eastAsia="Calibri" w:hAnsi="Calibri" w:cs="Calibri"/>
          <w:sz w:val="24"/>
          <w:szCs w:val="24"/>
        </w:rPr>
        <w:t>Stahl</w:t>
      </w:r>
      <w:proofErr w:type="spellEnd"/>
      <w:r w:rsidRPr="00266DCB">
        <w:rPr>
          <w:rFonts w:ascii="Calibri" w:eastAsia="Calibri" w:hAnsi="Calibri" w:cs="Calibri"/>
          <w:sz w:val="24"/>
          <w:szCs w:val="24"/>
        </w:rPr>
        <w:t xml:space="preserve">, </w:t>
      </w:r>
      <w:r w:rsidR="003D1FF5">
        <w:rPr>
          <w:rFonts w:ascii="Calibri" w:eastAsia="Calibri" w:hAnsi="Calibri" w:cs="Calibri"/>
          <w:sz w:val="24"/>
          <w:szCs w:val="24"/>
        </w:rPr>
        <w:br/>
      </w:r>
      <w:r w:rsidRPr="00266DCB">
        <w:rPr>
          <w:rFonts w:ascii="Calibri" w:eastAsia="Calibri" w:hAnsi="Calibri" w:cs="Calibri"/>
          <w:sz w:val="24"/>
          <w:szCs w:val="24"/>
        </w:rPr>
        <w:t>Z. Kmieciak: w Akty nadzoru nad działalnością samorządu terytorialnego w świetle orzecznictwa NSA i poglądów doktryny, Samorząd Terytorialny 2001, z. 1-2, str. 101-102). To stanowisko jest utrwalone w orzecznictwie (wyrok NSA z dnia 11</w:t>
      </w:r>
      <w:r w:rsidR="003D1FF5">
        <w:rPr>
          <w:rFonts w:ascii="Calibri" w:eastAsia="Calibri" w:hAnsi="Calibri" w:cs="Calibri"/>
          <w:sz w:val="24"/>
          <w:szCs w:val="24"/>
        </w:rPr>
        <w:t xml:space="preserve"> lutego</w:t>
      </w:r>
      <w:r w:rsidRPr="00266DCB">
        <w:rPr>
          <w:rFonts w:ascii="Calibri" w:eastAsia="Calibri" w:hAnsi="Calibri" w:cs="Calibri"/>
          <w:sz w:val="24"/>
          <w:szCs w:val="24"/>
        </w:rPr>
        <w:t xml:space="preserve"> 1998 r., sygn. akt II SA/</w:t>
      </w:r>
      <w:proofErr w:type="spellStart"/>
      <w:r w:rsidRPr="00266DCB">
        <w:rPr>
          <w:rFonts w:ascii="Calibri" w:eastAsia="Calibri" w:hAnsi="Calibri" w:cs="Calibri"/>
          <w:sz w:val="24"/>
          <w:szCs w:val="24"/>
        </w:rPr>
        <w:t>Wr</w:t>
      </w:r>
      <w:proofErr w:type="spellEnd"/>
      <w:r w:rsidRPr="00266DCB">
        <w:rPr>
          <w:rFonts w:ascii="Calibri" w:eastAsia="Calibri" w:hAnsi="Calibri" w:cs="Calibri"/>
          <w:sz w:val="24"/>
          <w:szCs w:val="24"/>
        </w:rPr>
        <w:t xml:space="preserve"> 1459/97, OSS 1998/3/79, jak i szereg wyroków późniejszych, m.in. wyrok WSA w Krakowie z dnia 21 listopada 2013 </w:t>
      </w:r>
      <w:proofErr w:type="spellStart"/>
      <w:r w:rsidRPr="00266DCB">
        <w:rPr>
          <w:rFonts w:ascii="Calibri" w:eastAsia="Calibri" w:hAnsi="Calibri" w:cs="Calibri"/>
          <w:sz w:val="24"/>
          <w:szCs w:val="24"/>
        </w:rPr>
        <w:t>r.III</w:t>
      </w:r>
      <w:proofErr w:type="spellEnd"/>
      <w:r w:rsidRPr="00266DCB">
        <w:rPr>
          <w:rFonts w:ascii="Calibri" w:eastAsia="Calibri" w:hAnsi="Calibri" w:cs="Calibri"/>
          <w:sz w:val="24"/>
          <w:szCs w:val="24"/>
        </w:rPr>
        <w:t xml:space="preserve"> SA/Kr 648/13 -LEX nr 139872). Obowiązek organów władzy publicznej działania na podstawie i w granicach prawa wynika z konstytucyjnej zasady praworządności (art. 7 Konstytucji</w:t>
      </w:r>
      <w:r w:rsidR="00897F39">
        <w:rPr>
          <w:rFonts w:ascii="Calibri" w:eastAsia="Calibri" w:hAnsi="Calibri" w:cs="Calibri"/>
          <w:sz w:val="24"/>
          <w:szCs w:val="24"/>
        </w:rPr>
        <w:t xml:space="preserve"> RP</w:t>
      </w:r>
      <w:r w:rsidRPr="00266DCB">
        <w:rPr>
          <w:rFonts w:ascii="Calibri" w:eastAsia="Calibri" w:hAnsi="Calibri" w:cs="Calibri"/>
          <w:sz w:val="24"/>
          <w:szCs w:val="24"/>
        </w:rPr>
        <w:t xml:space="preserve">), która wymaga, aby wszystkie rozstrzygnięcia organów administracji publicznej miały swoją podstawę prawną. </w:t>
      </w:r>
    </w:p>
    <w:p w:rsidR="00266DCB" w:rsidRPr="00266DCB" w:rsidRDefault="00FD5CBD" w:rsidP="009A45C8">
      <w:pPr>
        <w:spacing w:after="0" w:line="300" w:lineRule="exact"/>
        <w:ind w:firstLine="709"/>
        <w:jc w:val="both"/>
        <w:rPr>
          <w:rFonts w:ascii="Calibri" w:eastAsia="Calibri" w:hAnsi="Calibri" w:cs="Calibri"/>
          <w:sz w:val="24"/>
          <w:szCs w:val="24"/>
        </w:rPr>
      </w:pPr>
      <w:hyperlink r:id="rId7" w:history="1"/>
      <w:r w:rsidR="00266DCB" w:rsidRPr="00266DCB">
        <w:rPr>
          <w:rFonts w:ascii="Calibri" w:eastAsia="Calibri" w:hAnsi="Calibri" w:cs="Calibri"/>
          <w:sz w:val="24"/>
          <w:szCs w:val="24"/>
          <w:lang w:eastAsia="pl-PL"/>
        </w:rPr>
        <w:t>N</w:t>
      </w:r>
      <w:r w:rsidR="00266DCB" w:rsidRPr="00266DCB">
        <w:rPr>
          <w:rFonts w:ascii="Calibri" w:eastAsia="Calibri" w:hAnsi="Calibri" w:cs="Calibri"/>
          <w:sz w:val="24"/>
          <w:szCs w:val="24"/>
        </w:rPr>
        <w:t xml:space="preserve">a niniejsze rozstrzygnięcie nadzorcze </w:t>
      </w:r>
      <w:r w:rsidR="00A15BED" w:rsidRPr="009A45C8">
        <w:rPr>
          <w:rFonts w:ascii="Calibri" w:eastAsia="Calibri" w:hAnsi="Calibri" w:cs="Calibri"/>
          <w:sz w:val="24"/>
          <w:szCs w:val="24"/>
        </w:rPr>
        <w:t>Gminie</w:t>
      </w:r>
      <w:r w:rsidR="00266DCB" w:rsidRPr="00266DCB">
        <w:rPr>
          <w:rFonts w:ascii="Calibri" w:eastAsia="Calibri" w:hAnsi="Calibri" w:cs="Calibri"/>
          <w:sz w:val="24"/>
          <w:szCs w:val="24"/>
        </w:rPr>
        <w:t xml:space="preserve"> przysługuje skarga do Wojewódzkiego Sądu Administracyjnego w Warszawie w terminie 30 dni od daty doręczenia, wnoszona</w:t>
      </w:r>
      <w:r w:rsidR="00A15BED" w:rsidRPr="009A45C8">
        <w:rPr>
          <w:rFonts w:ascii="Calibri" w:eastAsia="Calibri" w:hAnsi="Calibri" w:cs="Calibri"/>
          <w:sz w:val="24"/>
          <w:szCs w:val="24"/>
        </w:rPr>
        <w:t xml:space="preserve"> </w:t>
      </w:r>
      <w:r w:rsidR="00266DCB" w:rsidRPr="00266DCB">
        <w:rPr>
          <w:rFonts w:ascii="Calibri" w:eastAsia="Calibri" w:hAnsi="Calibri" w:cs="Calibri"/>
          <w:sz w:val="24"/>
          <w:szCs w:val="24"/>
        </w:rPr>
        <w:t>za pośrednictwem organu, który skarżone orzeczenie wydał.</w:t>
      </w:r>
    </w:p>
    <w:p w:rsidR="00266DCB" w:rsidRPr="00266DCB" w:rsidRDefault="00266DCB" w:rsidP="009A45C8">
      <w:pPr>
        <w:spacing w:after="0" w:line="300" w:lineRule="exact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266DCB">
        <w:rPr>
          <w:rFonts w:ascii="Calibri" w:eastAsia="Calibri" w:hAnsi="Calibri" w:cs="Calibri"/>
          <w:sz w:val="24"/>
          <w:szCs w:val="24"/>
        </w:rPr>
        <w:t>Informuję, że rozstrzygnięcie nadzorcze wstrzymuje wykonanie uchwał</w:t>
      </w:r>
      <w:r w:rsidR="00A15BED" w:rsidRPr="009A45C8">
        <w:rPr>
          <w:rFonts w:ascii="Calibri" w:eastAsia="Calibri" w:hAnsi="Calibri" w:cs="Calibri"/>
          <w:sz w:val="24"/>
          <w:szCs w:val="24"/>
        </w:rPr>
        <w:t>y</w:t>
      </w:r>
      <w:r w:rsidRPr="00266DCB">
        <w:rPr>
          <w:rFonts w:ascii="Calibri" w:eastAsia="Calibri" w:hAnsi="Calibri" w:cs="Calibri"/>
          <w:sz w:val="24"/>
          <w:szCs w:val="24"/>
        </w:rPr>
        <w:t xml:space="preserve"> z mocy prawa, </w:t>
      </w:r>
      <w:r w:rsidR="00A15BED" w:rsidRPr="009A45C8">
        <w:rPr>
          <w:rFonts w:ascii="Calibri" w:eastAsia="Calibri" w:hAnsi="Calibri" w:cs="Calibri"/>
          <w:sz w:val="24"/>
          <w:szCs w:val="24"/>
        </w:rPr>
        <w:br/>
        <w:t xml:space="preserve">w zakresie objętym orzeczeniem, </w:t>
      </w:r>
      <w:r w:rsidRPr="00266DCB">
        <w:rPr>
          <w:rFonts w:ascii="Calibri" w:eastAsia="Calibri" w:hAnsi="Calibri" w:cs="Calibri"/>
          <w:sz w:val="24"/>
          <w:szCs w:val="24"/>
        </w:rPr>
        <w:t>z dniem jego doręczenia.</w:t>
      </w:r>
    </w:p>
    <w:p w:rsidR="00266DCB" w:rsidRPr="00266DCB" w:rsidRDefault="00266DCB" w:rsidP="009A45C8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266DCB" w:rsidRPr="00266DCB" w:rsidRDefault="00266DCB" w:rsidP="009A45C8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</w:rPr>
      </w:pPr>
    </w:p>
    <w:sectPr w:rsidR="00266DCB" w:rsidRPr="00266DCB" w:rsidSect="00F7356A">
      <w:footerReference w:type="default" r:id="rId8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CBD" w:rsidRDefault="00FD5CBD" w:rsidP="00266DCB">
      <w:pPr>
        <w:spacing w:after="0" w:line="240" w:lineRule="auto"/>
      </w:pPr>
      <w:r>
        <w:separator/>
      </w:r>
    </w:p>
  </w:endnote>
  <w:endnote w:type="continuationSeparator" w:id="0">
    <w:p w:rsidR="00FD5CBD" w:rsidRDefault="00FD5CBD" w:rsidP="0026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6BF" w:rsidRDefault="00A846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3E74">
      <w:rPr>
        <w:noProof/>
      </w:rPr>
      <w:t>1</w:t>
    </w:r>
    <w:r>
      <w:fldChar w:fldCharType="end"/>
    </w:r>
  </w:p>
  <w:p w:rsidR="00D756BF" w:rsidRDefault="00FD5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CBD" w:rsidRDefault="00FD5CBD" w:rsidP="00266DCB">
      <w:pPr>
        <w:spacing w:after="0" w:line="240" w:lineRule="auto"/>
      </w:pPr>
      <w:r>
        <w:separator/>
      </w:r>
    </w:p>
  </w:footnote>
  <w:footnote w:type="continuationSeparator" w:id="0">
    <w:p w:rsidR="00FD5CBD" w:rsidRDefault="00FD5CBD" w:rsidP="00266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B"/>
    <w:rsid w:val="000E722C"/>
    <w:rsid w:val="001021DB"/>
    <w:rsid w:val="001807BE"/>
    <w:rsid w:val="0021352A"/>
    <w:rsid w:val="00266DCB"/>
    <w:rsid w:val="002C659F"/>
    <w:rsid w:val="002E2230"/>
    <w:rsid w:val="003D1FF5"/>
    <w:rsid w:val="00453C56"/>
    <w:rsid w:val="00461522"/>
    <w:rsid w:val="004620B4"/>
    <w:rsid w:val="004C3F81"/>
    <w:rsid w:val="0051729D"/>
    <w:rsid w:val="0052348C"/>
    <w:rsid w:val="00674299"/>
    <w:rsid w:val="006F5B21"/>
    <w:rsid w:val="0073041E"/>
    <w:rsid w:val="00832728"/>
    <w:rsid w:val="00897F39"/>
    <w:rsid w:val="00911A2A"/>
    <w:rsid w:val="009506EA"/>
    <w:rsid w:val="00953E74"/>
    <w:rsid w:val="009A45C8"/>
    <w:rsid w:val="00A15BED"/>
    <w:rsid w:val="00A846D6"/>
    <w:rsid w:val="00AD3150"/>
    <w:rsid w:val="00B130AA"/>
    <w:rsid w:val="00C16E0B"/>
    <w:rsid w:val="00C67E2F"/>
    <w:rsid w:val="00DE0675"/>
    <w:rsid w:val="00E3489E"/>
    <w:rsid w:val="00FD2D1D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9E96"/>
  <w15:chartTrackingRefBased/>
  <w15:docId w15:val="{E4DD60A7-74B3-4846-9295-01E0668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D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DC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6DCB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6DCB"/>
    <w:rPr>
      <w:rFonts w:ascii="Times New Roman" w:eastAsia="Calibri" w:hAnsi="Times New Roman" w:cs="Times New Roman"/>
      <w:sz w:val="24"/>
      <w:szCs w:val="20"/>
    </w:rPr>
  </w:style>
  <w:style w:type="character" w:styleId="Odwoanieprzypisudolnego">
    <w:name w:val="footnote reference"/>
    <w:semiHidden/>
    <w:rsid w:val="00266DC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6DCB"/>
    <w:rPr>
      <w:b/>
      <w:bCs/>
    </w:rPr>
  </w:style>
  <w:style w:type="character" w:customStyle="1" w:styleId="articletitle">
    <w:name w:val="articletitle"/>
    <w:basedOn w:val="Domylnaczcionkaakapitu"/>
    <w:rsid w:val="009A45C8"/>
  </w:style>
  <w:style w:type="paragraph" w:styleId="Tekstdymka">
    <w:name w:val="Balloon Text"/>
    <w:basedOn w:val="Normalny"/>
    <w:link w:val="TekstdymkaZnak"/>
    <w:uiPriority w:val="99"/>
    <w:semiHidden/>
    <w:unhideWhenUsed/>
    <w:rsid w:val="003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0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6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2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7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17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1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74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1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261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9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9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95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9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0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39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97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26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2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1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720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75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1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2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1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7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4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7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3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61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87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5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69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3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33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2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33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35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11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1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1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72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9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59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0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4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80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58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2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0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4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8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98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8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03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8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0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4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06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78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1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48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9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7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2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5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20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8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34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7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8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43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865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urlSearch.seam?HitlistCaption=Orzeczenia%20dla:%20Dz.U.%20z%202017%20r.%20poz.%202136%20t.j.%20Art.%2032%20%C2%A7%203&amp;orz4papaggr=40600043&amp;sortField=document-date&amp;facetField=decte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Beata Darnowska</cp:lastModifiedBy>
  <cp:revision>2</cp:revision>
  <cp:lastPrinted>2019-12-30T13:40:00Z</cp:lastPrinted>
  <dcterms:created xsi:type="dcterms:W3CDTF">2020-01-02T14:46:00Z</dcterms:created>
  <dcterms:modified xsi:type="dcterms:W3CDTF">2020-01-02T14:46:00Z</dcterms:modified>
</cp:coreProperties>
</file>