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05464C" w14:textId="77777777" w:rsidR="007A0A3D" w:rsidRDefault="00A1534B" w:rsidP="008927DE">
      <w:pPr>
        <w:jc w:val="center"/>
        <w:outlineLvl w:val="0"/>
      </w:pPr>
      <w:r>
        <w:t xml:space="preserve">Raport </w:t>
      </w:r>
      <w:r w:rsidR="009D3D41">
        <w:t>końcowy z realizacji projektu</w:t>
      </w:r>
      <w:r w:rsidR="00CA79E4">
        <w:t xml:space="preserve"> informatycznego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0"/>
        <w:gridCol w:w="2350"/>
        <w:gridCol w:w="6232"/>
      </w:tblGrid>
      <w:tr w:rsidR="007A0A3D" w:rsidRPr="002450C4" w14:paraId="1944EC0E" w14:textId="77777777" w:rsidTr="00920CE8">
        <w:tc>
          <w:tcPr>
            <w:tcW w:w="480" w:type="dxa"/>
          </w:tcPr>
          <w:p w14:paraId="6066B111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Lp.</w:t>
            </w:r>
          </w:p>
        </w:tc>
        <w:tc>
          <w:tcPr>
            <w:tcW w:w="2350" w:type="dxa"/>
          </w:tcPr>
          <w:p w14:paraId="5EA3C2C0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Wyszczególnienie</w:t>
            </w:r>
          </w:p>
        </w:tc>
        <w:tc>
          <w:tcPr>
            <w:tcW w:w="6232" w:type="dxa"/>
          </w:tcPr>
          <w:p w14:paraId="4B7316F7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Opis</w:t>
            </w:r>
          </w:p>
        </w:tc>
      </w:tr>
      <w:tr w:rsidR="007A0A3D" w:rsidRPr="002450C4" w14:paraId="135C6413" w14:textId="77777777" w:rsidTr="00920CE8">
        <w:tc>
          <w:tcPr>
            <w:tcW w:w="480" w:type="dxa"/>
          </w:tcPr>
          <w:p w14:paraId="0420A543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7370BC73" w14:textId="77777777" w:rsidR="007A0A3D" w:rsidRPr="002450C4" w:rsidRDefault="007A0A3D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>Tytuł projektu</w:t>
            </w:r>
          </w:p>
        </w:tc>
        <w:tc>
          <w:tcPr>
            <w:tcW w:w="6232" w:type="dxa"/>
          </w:tcPr>
          <w:p w14:paraId="46FA820F" w14:textId="77777777" w:rsidR="007A0A3D" w:rsidRPr="002450C4" w:rsidRDefault="009C57D5" w:rsidP="0092099A">
            <w:pPr>
              <w:jc w:val="both"/>
              <w:rPr>
                <w:i/>
                <w:sz w:val="18"/>
                <w:szCs w:val="20"/>
              </w:rPr>
            </w:pPr>
            <w:r w:rsidRPr="009C57D5">
              <w:rPr>
                <w:i/>
                <w:sz w:val="18"/>
                <w:szCs w:val="20"/>
              </w:rPr>
              <w:t>Modyfikacja systemu monitorowania przewozu towarów SENT</w:t>
            </w:r>
          </w:p>
        </w:tc>
      </w:tr>
      <w:tr w:rsidR="007A0A3D" w:rsidRPr="002450C4" w14:paraId="5F3386C4" w14:textId="77777777" w:rsidTr="00920CE8">
        <w:trPr>
          <w:trHeight w:val="265"/>
        </w:trPr>
        <w:tc>
          <w:tcPr>
            <w:tcW w:w="480" w:type="dxa"/>
          </w:tcPr>
          <w:p w14:paraId="5A77F296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46A23B7C" w14:textId="77777777" w:rsidR="007A0A3D" w:rsidRPr="002450C4" w:rsidRDefault="007A0A3D" w:rsidP="00A1534B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 xml:space="preserve">Beneficjent projektu </w:t>
            </w:r>
          </w:p>
        </w:tc>
        <w:tc>
          <w:tcPr>
            <w:tcW w:w="6232" w:type="dxa"/>
          </w:tcPr>
          <w:p w14:paraId="58D0D977" w14:textId="77777777" w:rsidR="001C611C" w:rsidRPr="00A1534B" w:rsidRDefault="009C57D5" w:rsidP="00185578">
            <w:pPr>
              <w:jc w:val="both"/>
              <w:rPr>
                <w:i/>
                <w:sz w:val="18"/>
                <w:szCs w:val="20"/>
              </w:rPr>
            </w:pPr>
            <w:r w:rsidRPr="009C57D5">
              <w:rPr>
                <w:i/>
                <w:sz w:val="18"/>
                <w:szCs w:val="20"/>
              </w:rPr>
              <w:t>Minister Finansów</w:t>
            </w:r>
          </w:p>
        </w:tc>
      </w:tr>
      <w:tr w:rsidR="007A0A3D" w:rsidRPr="002450C4" w14:paraId="59A7F14D" w14:textId="77777777" w:rsidTr="00920CE8">
        <w:tc>
          <w:tcPr>
            <w:tcW w:w="480" w:type="dxa"/>
          </w:tcPr>
          <w:p w14:paraId="56C5F38E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031D6D13" w14:textId="77777777" w:rsidR="007A0A3D" w:rsidRPr="002450C4" w:rsidRDefault="007A0A3D" w:rsidP="007A0A3D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 xml:space="preserve">Partnerzy </w:t>
            </w:r>
          </w:p>
        </w:tc>
        <w:tc>
          <w:tcPr>
            <w:tcW w:w="6232" w:type="dxa"/>
          </w:tcPr>
          <w:p w14:paraId="1AEE2741" w14:textId="77777777" w:rsidR="009C57D5" w:rsidRPr="009C57D5" w:rsidRDefault="009C57D5" w:rsidP="009C57D5">
            <w:pPr>
              <w:jc w:val="both"/>
              <w:rPr>
                <w:i/>
                <w:sz w:val="18"/>
                <w:szCs w:val="20"/>
              </w:rPr>
            </w:pPr>
            <w:r w:rsidRPr="009C57D5">
              <w:rPr>
                <w:i/>
                <w:sz w:val="18"/>
                <w:szCs w:val="20"/>
              </w:rPr>
              <w:t>Instytut Łączności – Państwowy Instytut Badawczy</w:t>
            </w:r>
          </w:p>
          <w:p w14:paraId="3D64A8AE" w14:textId="77777777" w:rsidR="007A0A3D" w:rsidRPr="002450C4" w:rsidRDefault="009C57D5" w:rsidP="009C57D5">
            <w:pPr>
              <w:jc w:val="both"/>
              <w:rPr>
                <w:i/>
                <w:sz w:val="18"/>
                <w:szCs w:val="20"/>
              </w:rPr>
            </w:pPr>
            <w:r w:rsidRPr="009C57D5">
              <w:rPr>
                <w:i/>
                <w:sz w:val="18"/>
                <w:szCs w:val="20"/>
              </w:rPr>
              <w:t>Główny Urząd Geodezji i Kartografii</w:t>
            </w:r>
          </w:p>
        </w:tc>
      </w:tr>
      <w:tr w:rsidR="003B107D" w:rsidRPr="002450C4" w14:paraId="301A6F5F" w14:textId="77777777" w:rsidTr="00920CE8">
        <w:tc>
          <w:tcPr>
            <w:tcW w:w="480" w:type="dxa"/>
          </w:tcPr>
          <w:p w14:paraId="1AE10BDD" w14:textId="77777777" w:rsidR="003B107D" w:rsidRPr="002450C4" w:rsidRDefault="003B107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4690DE8C" w14:textId="77777777" w:rsidR="003B107D" w:rsidRDefault="005A4344" w:rsidP="0092099A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finansowy</w:t>
            </w:r>
          </w:p>
        </w:tc>
        <w:tc>
          <w:tcPr>
            <w:tcW w:w="6232" w:type="dxa"/>
          </w:tcPr>
          <w:p w14:paraId="3EB682B7" w14:textId="77777777" w:rsidR="00185578" w:rsidRDefault="00185578" w:rsidP="00185578">
            <w:pPr>
              <w:jc w:val="both"/>
              <w:rPr>
                <w:i/>
                <w:sz w:val="18"/>
                <w:szCs w:val="20"/>
              </w:rPr>
            </w:pPr>
            <w:r w:rsidRPr="000C30F4">
              <w:rPr>
                <w:i/>
                <w:sz w:val="18"/>
                <w:szCs w:val="20"/>
              </w:rPr>
              <w:t>W projekcie nie zaplanowano na 2017 rok żadnych środków. Niezbędne i</w:t>
            </w:r>
            <w:r>
              <w:rPr>
                <w:i/>
                <w:sz w:val="18"/>
                <w:szCs w:val="20"/>
              </w:rPr>
              <w:t> </w:t>
            </w:r>
            <w:r w:rsidRPr="000C30F4">
              <w:rPr>
                <w:i/>
                <w:sz w:val="18"/>
                <w:szCs w:val="20"/>
              </w:rPr>
              <w:t>zrealizowane w 2017 roku pilotaże zostały sfinansowane z środków budżetowych Ministerstwa Finansów – Departamentu Informatyzacji.</w:t>
            </w:r>
          </w:p>
          <w:p w14:paraId="6DAC4CB7" w14:textId="77777777" w:rsidR="000C30F4" w:rsidRPr="000C30F4" w:rsidRDefault="0058696F" w:rsidP="000C30F4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W 2017 r. p</w:t>
            </w:r>
            <w:r w:rsidR="000C30F4" w:rsidRPr="000C30F4">
              <w:rPr>
                <w:i/>
                <w:sz w:val="18"/>
                <w:szCs w:val="20"/>
              </w:rPr>
              <w:t>odpisan</w:t>
            </w:r>
            <w:r>
              <w:rPr>
                <w:i/>
                <w:sz w:val="18"/>
                <w:szCs w:val="20"/>
              </w:rPr>
              <w:t>o</w:t>
            </w:r>
            <w:r w:rsidR="000C30F4" w:rsidRPr="000C30F4">
              <w:rPr>
                <w:i/>
                <w:sz w:val="18"/>
                <w:szCs w:val="20"/>
              </w:rPr>
              <w:t xml:space="preserve"> umowy </w:t>
            </w:r>
            <w:r>
              <w:rPr>
                <w:i/>
                <w:sz w:val="18"/>
                <w:szCs w:val="20"/>
              </w:rPr>
              <w:t xml:space="preserve">na kwotę 110 600,00 zł, z której </w:t>
            </w:r>
            <w:r w:rsidR="000C30F4" w:rsidRPr="000C30F4">
              <w:rPr>
                <w:i/>
                <w:sz w:val="18"/>
                <w:szCs w:val="20"/>
              </w:rPr>
              <w:t>faktycznie wypłacon</w:t>
            </w:r>
            <w:r>
              <w:rPr>
                <w:i/>
                <w:sz w:val="18"/>
                <w:szCs w:val="20"/>
              </w:rPr>
              <w:t>o</w:t>
            </w:r>
            <w:r w:rsidR="000C30F4" w:rsidRPr="000C30F4">
              <w:rPr>
                <w:i/>
                <w:sz w:val="18"/>
                <w:szCs w:val="20"/>
              </w:rPr>
              <w:t xml:space="preserve"> wykonawcy – 110 600,00 zł.</w:t>
            </w:r>
          </w:p>
          <w:p w14:paraId="7DA5C7C3" w14:textId="636DB1AB" w:rsidR="007B022B" w:rsidRPr="000C30F4" w:rsidRDefault="007B022B" w:rsidP="007B022B">
            <w:pPr>
              <w:jc w:val="both"/>
              <w:rPr>
                <w:i/>
                <w:sz w:val="18"/>
                <w:szCs w:val="20"/>
              </w:rPr>
            </w:pPr>
            <w:r w:rsidRPr="000C30F4">
              <w:rPr>
                <w:i/>
                <w:sz w:val="18"/>
                <w:szCs w:val="20"/>
              </w:rPr>
              <w:t xml:space="preserve">W projekcie z zabezpieczonej na 2018 rok kwoty </w:t>
            </w:r>
            <w:r w:rsidRPr="00CA7DCB">
              <w:rPr>
                <w:i/>
                <w:sz w:val="18"/>
                <w:szCs w:val="20"/>
              </w:rPr>
              <w:t>6,150</w:t>
            </w:r>
            <w:r w:rsidRPr="000C30F4">
              <w:rPr>
                <w:i/>
                <w:sz w:val="18"/>
                <w:szCs w:val="20"/>
              </w:rPr>
              <w:t xml:space="preserve"> mln zł brutto zaangażowano </w:t>
            </w:r>
            <w:r>
              <w:rPr>
                <w:i/>
                <w:sz w:val="18"/>
                <w:szCs w:val="20"/>
              </w:rPr>
              <w:t>4,</w:t>
            </w:r>
            <w:r w:rsidR="00543332">
              <w:rPr>
                <w:i/>
                <w:sz w:val="18"/>
                <w:szCs w:val="20"/>
              </w:rPr>
              <w:t>240</w:t>
            </w:r>
            <w:r>
              <w:rPr>
                <w:i/>
                <w:sz w:val="18"/>
                <w:szCs w:val="20"/>
              </w:rPr>
              <w:t xml:space="preserve"> mln zł.</w:t>
            </w:r>
          </w:p>
          <w:p w14:paraId="5BED7E6C" w14:textId="75F71EB6" w:rsidR="007B022B" w:rsidRDefault="007B022B" w:rsidP="009C57D5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U</w:t>
            </w:r>
            <w:r w:rsidR="00C87D61" w:rsidRPr="009C57D5">
              <w:rPr>
                <w:i/>
                <w:sz w:val="18"/>
                <w:szCs w:val="20"/>
              </w:rPr>
              <w:t xml:space="preserve">sługa wsparcia utrzymania </w:t>
            </w:r>
            <w:r w:rsidR="0058696F">
              <w:rPr>
                <w:i/>
                <w:sz w:val="18"/>
                <w:szCs w:val="20"/>
              </w:rPr>
              <w:t>na kwotę</w:t>
            </w:r>
            <w:r w:rsidR="00C87D61" w:rsidRPr="009C57D5">
              <w:rPr>
                <w:i/>
                <w:sz w:val="18"/>
                <w:szCs w:val="20"/>
              </w:rPr>
              <w:t xml:space="preserve"> </w:t>
            </w:r>
            <w:r w:rsidR="00C87D61" w:rsidRPr="00CA7DCB">
              <w:rPr>
                <w:i/>
                <w:sz w:val="18"/>
                <w:szCs w:val="20"/>
              </w:rPr>
              <w:t>194</w:t>
            </w:r>
            <w:r w:rsidR="0058696F" w:rsidRPr="00CA7DCB">
              <w:rPr>
                <w:i/>
                <w:sz w:val="18"/>
                <w:szCs w:val="20"/>
              </w:rPr>
              <w:t> </w:t>
            </w:r>
            <w:r w:rsidR="00C87D61" w:rsidRPr="00CA7DCB">
              <w:rPr>
                <w:i/>
                <w:sz w:val="18"/>
                <w:szCs w:val="20"/>
              </w:rPr>
              <w:t>340 zł</w:t>
            </w:r>
            <w:r w:rsidR="00C87D61" w:rsidRPr="009C57D5">
              <w:rPr>
                <w:i/>
                <w:sz w:val="18"/>
                <w:szCs w:val="20"/>
              </w:rPr>
              <w:t xml:space="preserve"> –płatne w 2 ratach po 97</w:t>
            </w:r>
            <w:r w:rsidR="0058696F">
              <w:rPr>
                <w:i/>
                <w:sz w:val="18"/>
                <w:szCs w:val="20"/>
              </w:rPr>
              <w:t> </w:t>
            </w:r>
            <w:r w:rsidR="00C87D61" w:rsidRPr="009C57D5">
              <w:rPr>
                <w:i/>
                <w:sz w:val="18"/>
                <w:szCs w:val="20"/>
              </w:rPr>
              <w:t>170 zł (wrzesień i grudzień</w:t>
            </w:r>
            <w:r w:rsidR="0058696F">
              <w:rPr>
                <w:i/>
                <w:sz w:val="18"/>
                <w:szCs w:val="20"/>
              </w:rPr>
              <w:t>)</w:t>
            </w:r>
            <w:r w:rsidR="00C87D61">
              <w:rPr>
                <w:i/>
                <w:sz w:val="18"/>
                <w:szCs w:val="20"/>
              </w:rPr>
              <w:t>.</w:t>
            </w:r>
          </w:p>
          <w:p w14:paraId="0607FECC" w14:textId="4C1BFECB" w:rsidR="00C87D61" w:rsidRDefault="00C87D61" w:rsidP="009C57D5">
            <w:pPr>
              <w:jc w:val="both"/>
              <w:rPr>
                <w:i/>
                <w:sz w:val="18"/>
                <w:szCs w:val="20"/>
              </w:rPr>
            </w:pPr>
            <w:r w:rsidRPr="00C87D61">
              <w:rPr>
                <w:i/>
                <w:sz w:val="18"/>
                <w:szCs w:val="20"/>
              </w:rPr>
              <w:t xml:space="preserve">Wartość środków faktycznie wypłaconych wykonawcy – </w:t>
            </w:r>
            <w:r w:rsidR="0058696F" w:rsidRPr="007B022B">
              <w:rPr>
                <w:b/>
                <w:i/>
                <w:sz w:val="18"/>
                <w:szCs w:val="20"/>
              </w:rPr>
              <w:t>194 340</w:t>
            </w:r>
            <w:r w:rsidRPr="00C87D61">
              <w:rPr>
                <w:i/>
                <w:sz w:val="18"/>
                <w:szCs w:val="20"/>
              </w:rPr>
              <w:t xml:space="preserve"> zł.</w:t>
            </w:r>
          </w:p>
          <w:p w14:paraId="7BC68464" w14:textId="240C9B58" w:rsidR="00C87D61" w:rsidRDefault="009C57D5" w:rsidP="00C87D61">
            <w:pPr>
              <w:jc w:val="both"/>
              <w:rPr>
                <w:i/>
                <w:sz w:val="18"/>
                <w:szCs w:val="20"/>
              </w:rPr>
            </w:pPr>
            <w:r w:rsidRPr="009C57D5">
              <w:rPr>
                <w:i/>
                <w:sz w:val="18"/>
                <w:szCs w:val="20"/>
              </w:rPr>
              <w:t xml:space="preserve">Usługa rozwoju </w:t>
            </w:r>
            <w:r w:rsidR="007B022B">
              <w:rPr>
                <w:i/>
                <w:sz w:val="18"/>
                <w:szCs w:val="20"/>
              </w:rPr>
              <w:t>na kwotę</w:t>
            </w:r>
            <w:r w:rsidRPr="009C57D5">
              <w:rPr>
                <w:i/>
                <w:sz w:val="18"/>
                <w:szCs w:val="20"/>
              </w:rPr>
              <w:t xml:space="preserve"> 291 510 zł (zobowiązanie zamawiającego do wykorzystania min. 100 osobodni, tj. 97 170 zł).</w:t>
            </w:r>
          </w:p>
          <w:p w14:paraId="09D1D795" w14:textId="77777777" w:rsidR="00C87D61" w:rsidRDefault="00C87D61" w:rsidP="00C87D61">
            <w:pPr>
              <w:jc w:val="both"/>
              <w:rPr>
                <w:i/>
                <w:sz w:val="18"/>
                <w:szCs w:val="20"/>
              </w:rPr>
            </w:pPr>
            <w:r w:rsidRPr="00C87D61">
              <w:rPr>
                <w:i/>
                <w:sz w:val="18"/>
                <w:szCs w:val="20"/>
              </w:rPr>
              <w:t xml:space="preserve">Wartość środków faktycznie wypłaconych wykonawcy – </w:t>
            </w:r>
            <w:r w:rsidR="0058696F" w:rsidRPr="007B022B">
              <w:rPr>
                <w:b/>
                <w:i/>
                <w:sz w:val="18"/>
                <w:szCs w:val="20"/>
              </w:rPr>
              <w:t>239 038,20</w:t>
            </w:r>
            <w:r w:rsidRPr="00C87D61">
              <w:rPr>
                <w:i/>
                <w:sz w:val="18"/>
                <w:szCs w:val="20"/>
              </w:rPr>
              <w:t xml:space="preserve"> zł.</w:t>
            </w:r>
          </w:p>
          <w:p w14:paraId="3624D1CE" w14:textId="77777777" w:rsidR="0058696F" w:rsidRPr="0058696F" w:rsidRDefault="0058696F" w:rsidP="0058696F">
            <w:pPr>
              <w:jc w:val="both"/>
              <w:rPr>
                <w:i/>
                <w:sz w:val="18"/>
                <w:szCs w:val="20"/>
              </w:rPr>
            </w:pPr>
            <w:r w:rsidRPr="0058696F">
              <w:rPr>
                <w:i/>
                <w:sz w:val="18"/>
                <w:szCs w:val="20"/>
              </w:rPr>
              <w:t>Zakup sprzętu:</w:t>
            </w:r>
          </w:p>
          <w:p w14:paraId="3D91AE84" w14:textId="77777777" w:rsidR="0058696F" w:rsidRPr="0058696F" w:rsidRDefault="0058696F" w:rsidP="0058696F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1) </w:t>
            </w:r>
            <w:r w:rsidRPr="0058696F">
              <w:rPr>
                <w:i/>
                <w:sz w:val="18"/>
                <w:szCs w:val="20"/>
              </w:rPr>
              <w:t xml:space="preserve">2 szt. </w:t>
            </w:r>
            <w:r>
              <w:rPr>
                <w:i/>
                <w:sz w:val="18"/>
                <w:szCs w:val="20"/>
              </w:rPr>
              <w:t>l</w:t>
            </w:r>
            <w:r w:rsidRPr="0058696F">
              <w:rPr>
                <w:i/>
                <w:sz w:val="18"/>
                <w:szCs w:val="20"/>
              </w:rPr>
              <w:t>aptopów – 15</w:t>
            </w:r>
            <w:r>
              <w:rPr>
                <w:i/>
                <w:sz w:val="18"/>
                <w:szCs w:val="20"/>
              </w:rPr>
              <w:t> </w:t>
            </w:r>
            <w:r w:rsidRPr="0058696F">
              <w:rPr>
                <w:i/>
                <w:sz w:val="18"/>
                <w:szCs w:val="20"/>
              </w:rPr>
              <w:t>999,96 zł</w:t>
            </w:r>
            <w:r>
              <w:rPr>
                <w:i/>
                <w:sz w:val="18"/>
                <w:szCs w:val="20"/>
              </w:rPr>
              <w:t>;</w:t>
            </w:r>
          </w:p>
          <w:p w14:paraId="18E0E043" w14:textId="77777777" w:rsidR="0058696F" w:rsidRPr="0058696F" w:rsidRDefault="0058696F" w:rsidP="0058696F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2) </w:t>
            </w:r>
            <w:r w:rsidRPr="0058696F">
              <w:rPr>
                <w:i/>
                <w:sz w:val="18"/>
                <w:szCs w:val="20"/>
              </w:rPr>
              <w:t>ser</w:t>
            </w:r>
            <w:r>
              <w:rPr>
                <w:i/>
                <w:sz w:val="18"/>
                <w:szCs w:val="20"/>
              </w:rPr>
              <w:t>wer środowiska rozwojowego – 41 </w:t>
            </w:r>
            <w:r w:rsidRPr="0058696F">
              <w:rPr>
                <w:i/>
                <w:sz w:val="18"/>
                <w:szCs w:val="20"/>
              </w:rPr>
              <w:t>576,00 zł</w:t>
            </w:r>
            <w:r>
              <w:rPr>
                <w:i/>
                <w:sz w:val="18"/>
                <w:szCs w:val="20"/>
              </w:rPr>
              <w:t>;</w:t>
            </w:r>
          </w:p>
          <w:p w14:paraId="060829CF" w14:textId="77777777" w:rsidR="0058696F" w:rsidRPr="0058696F" w:rsidRDefault="0058696F" w:rsidP="0058696F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3) </w:t>
            </w:r>
            <w:r w:rsidRPr="0058696F">
              <w:rPr>
                <w:i/>
                <w:sz w:val="18"/>
                <w:szCs w:val="20"/>
              </w:rPr>
              <w:t>macierz dyskowa środowiska rozwojowego – 19</w:t>
            </w:r>
            <w:r w:rsidR="00E44829">
              <w:rPr>
                <w:i/>
                <w:sz w:val="18"/>
                <w:szCs w:val="20"/>
              </w:rPr>
              <w:t> </w:t>
            </w:r>
            <w:r w:rsidRPr="0058696F">
              <w:rPr>
                <w:i/>
                <w:sz w:val="18"/>
                <w:szCs w:val="20"/>
              </w:rPr>
              <w:t>126,50 zł</w:t>
            </w:r>
            <w:r w:rsidR="00E44829">
              <w:rPr>
                <w:i/>
                <w:sz w:val="18"/>
                <w:szCs w:val="20"/>
              </w:rPr>
              <w:t>;</w:t>
            </w:r>
          </w:p>
          <w:p w14:paraId="023897E9" w14:textId="77777777" w:rsidR="0058696F" w:rsidRDefault="00E44829" w:rsidP="0058696F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4) </w:t>
            </w:r>
            <w:proofErr w:type="gramStart"/>
            <w:r w:rsidR="0058696F" w:rsidRPr="0058696F">
              <w:rPr>
                <w:i/>
                <w:sz w:val="18"/>
                <w:szCs w:val="20"/>
              </w:rPr>
              <w:t xml:space="preserve">oprogramowanie </w:t>
            </w:r>
            <w:r w:rsidRPr="0058696F">
              <w:rPr>
                <w:i/>
                <w:sz w:val="18"/>
                <w:szCs w:val="20"/>
              </w:rPr>
              <w:t xml:space="preserve">– </w:t>
            </w:r>
            <w:r>
              <w:rPr>
                <w:i/>
                <w:sz w:val="18"/>
                <w:szCs w:val="20"/>
              </w:rPr>
              <w:t xml:space="preserve"> 14 </w:t>
            </w:r>
            <w:r w:rsidR="0058696F" w:rsidRPr="0058696F">
              <w:rPr>
                <w:i/>
                <w:sz w:val="18"/>
                <w:szCs w:val="20"/>
              </w:rPr>
              <w:t>846,22 zł</w:t>
            </w:r>
            <w:proofErr w:type="gramEnd"/>
            <w:r>
              <w:rPr>
                <w:i/>
                <w:sz w:val="18"/>
                <w:szCs w:val="20"/>
              </w:rPr>
              <w:t>.</w:t>
            </w:r>
          </w:p>
          <w:p w14:paraId="5028717A" w14:textId="1172C196" w:rsidR="009C57D5" w:rsidRDefault="0058696F" w:rsidP="00E44829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Kwota 2,</w:t>
            </w:r>
            <w:r w:rsidR="00543332">
              <w:rPr>
                <w:i/>
                <w:sz w:val="18"/>
                <w:szCs w:val="20"/>
              </w:rPr>
              <w:t>235</w:t>
            </w:r>
            <w:r>
              <w:rPr>
                <w:i/>
                <w:sz w:val="18"/>
                <w:szCs w:val="20"/>
              </w:rPr>
              <w:t xml:space="preserve"> mln zł została przekazana</w:t>
            </w:r>
            <w:r w:rsidR="00E44829">
              <w:rPr>
                <w:i/>
                <w:sz w:val="18"/>
                <w:szCs w:val="20"/>
              </w:rPr>
              <w:t xml:space="preserve"> w ramach umowy dotacji celowej</w:t>
            </w:r>
            <w:r>
              <w:rPr>
                <w:i/>
                <w:sz w:val="18"/>
                <w:szCs w:val="20"/>
              </w:rPr>
              <w:t xml:space="preserve"> Instytutowi Łączności – Państwowemu Instytutowi Badawczemu.</w:t>
            </w:r>
          </w:p>
          <w:p w14:paraId="24167921" w14:textId="77777777" w:rsidR="00E44829" w:rsidRDefault="00E44829" w:rsidP="00603836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Z przedłożonego rozliczenia wynika kwota wydatków dotacji w wysokości 1</w:t>
            </w:r>
            <w:r w:rsidR="00603836">
              <w:rPr>
                <w:i/>
                <w:sz w:val="18"/>
                <w:szCs w:val="20"/>
              </w:rPr>
              <w:t xml:space="preserve"> 571 842,63 </w:t>
            </w:r>
            <w:r>
              <w:rPr>
                <w:i/>
                <w:sz w:val="18"/>
                <w:szCs w:val="20"/>
              </w:rPr>
              <w:t xml:space="preserve">zł. Zwrócono </w:t>
            </w:r>
            <w:r w:rsidRPr="00E44829">
              <w:rPr>
                <w:i/>
                <w:sz w:val="18"/>
                <w:szCs w:val="20"/>
              </w:rPr>
              <w:t>663</w:t>
            </w:r>
            <w:r>
              <w:rPr>
                <w:i/>
                <w:sz w:val="18"/>
                <w:szCs w:val="20"/>
              </w:rPr>
              <w:t> </w:t>
            </w:r>
            <w:r w:rsidRPr="00E44829">
              <w:rPr>
                <w:i/>
                <w:sz w:val="18"/>
                <w:szCs w:val="20"/>
              </w:rPr>
              <w:t xml:space="preserve">157,37 zł oraz odsetki </w:t>
            </w:r>
            <w:r>
              <w:rPr>
                <w:i/>
                <w:sz w:val="18"/>
                <w:szCs w:val="20"/>
              </w:rPr>
              <w:t xml:space="preserve">bankowe </w:t>
            </w:r>
            <w:r w:rsidRPr="00E44829">
              <w:rPr>
                <w:i/>
                <w:sz w:val="18"/>
                <w:szCs w:val="20"/>
              </w:rPr>
              <w:t>w wys</w:t>
            </w:r>
            <w:r>
              <w:rPr>
                <w:i/>
                <w:sz w:val="18"/>
                <w:szCs w:val="20"/>
              </w:rPr>
              <w:t>okości</w:t>
            </w:r>
            <w:r w:rsidRPr="00E44829">
              <w:rPr>
                <w:i/>
                <w:sz w:val="18"/>
                <w:szCs w:val="20"/>
              </w:rPr>
              <w:t xml:space="preserve"> 77,94</w:t>
            </w:r>
            <w:r>
              <w:rPr>
                <w:i/>
                <w:sz w:val="18"/>
                <w:szCs w:val="20"/>
              </w:rPr>
              <w:t> </w:t>
            </w:r>
            <w:r w:rsidRPr="00E44829">
              <w:rPr>
                <w:i/>
                <w:sz w:val="18"/>
                <w:szCs w:val="20"/>
              </w:rPr>
              <w:t>zł</w:t>
            </w:r>
            <w:r>
              <w:rPr>
                <w:i/>
                <w:sz w:val="18"/>
                <w:szCs w:val="20"/>
              </w:rPr>
              <w:t>.</w:t>
            </w:r>
          </w:p>
          <w:p w14:paraId="261B6474" w14:textId="77777777" w:rsidR="00603836" w:rsidRDefault="00603836" w:rsidP="00603836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Zakup licencji dla potrzeb analizy danych – 2 382 804,59 zł.</w:t>
            </w:r>
          </w:p>
          <w:p w14:paraId="29B9A2FF" w14:textId="77777777" w:rsidR="00543332" w:rsidRDefault="00543332" w:rsidP="00543332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Z szacowanych 6,150 mln zł wypłacono 4,240 mln zł, co stanowi 68,94% pierwotnie planowanych i zabezpieczonych kosztów projektu. </w:t>
            </w:r>
          </w:p>
          <w:p w14:paraId="3A963921" w14:textId="382BABFF" w:rsidR="00543332" w:rsidRPr="002450C4" w:rsidRDefault="00543332" w:rsidP="005E2827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Odchylenia </w:t>
            </w:r>
            <w:r w:rsidR="005E2827">
              <w:rPr>
                <w:i/>
                <w:sz w:val="18"/>
                <w:szCs w:val="20"/>
              </w:rPr>
              <w:t xml:space="preserve">wynikały z późnego podpisania umowy dotacji dla Instytutu Łączności - PIB, które miało miejsce z mocą od 8 września 2018 r. Jak widać, mimo przekazania kwoty 2,235 mln zł, instytut wykorzystał 1, 571 mln zł. Przyjętą w projekcie kwotę 5 mln zł dotacji szacowano na cały rok funkcjonowania wdrożenia i wykonywania analiz, a de facto były one wykonywane od 1 października do 31 grudnia 2018 r. </w:t>
            </w:r>
          </w:p>
        </w:tc>
      </w:tr>
      <w:tr w:rsidR="007A0A3D" w:rsidRPr="002450C4" w14:paraId="5946AB7D" w14:textId="77777777" w:rsidTr="00920CE8">
        <w:tc>
          <w:tcPr>
            <w:tcW w:w="480" w:type="dxa"/>
          </w:tcPr>
          <w:p w14:paraId="012F54D3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0FD5D6CE" w14:textId="77777777" w:rsidR="007A0A3D" w:rsidRPr="002450C4" w:rsidRDefault="005A4344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rzeczowy</w:t>
            </w:r>
          </w:p>
        </w:tc>
        <w:tc>
          <w:tcPr>
            <w:tcW w:w="6232" w:type="dxa"/>
          </w:tcPr>
          <w:p w14:paraId="199E6080" w14:textId="77777777" w:rsidR="00B4402A" w:rsidRPr="00B4402A" w:rsidRDefault="00B4402A" w:rsidP="004C17F8">
            <w:pPr>
              <w:jc w:val="both"/>
              <w:rPr>
                <w:i/>
                <w:sz w:val="18"/>
                <w:szCs w:val="20"/>
              </w:rPr>
            </w:pPr>
            <w:r w:rsidRPr="00B4402A">
              <w:rPr>
                <w:i/>
                <w:sz w:val="18"/>
                <w:szCs w:val="20"/>
              </w:rPr>
              <w:t>W ramach projektu przewidziano przeprowadzenie dwóch pilotaży mających na celu wybór wykonawcy, któremu w drodze rozporządzenia zosta</w:t>
            </w:r>
            <w:r w:rsidR="006A6E1D">
              <w:rPr>
                <w:i/>
                <w:sz w:val="18"/>
                <w:szCs w:val="20"/>
              </w:rPr>
              <w:t>ło</w:t>
            </w:r>
            <w:r w:rsidRPr="00B4402A">
              <w:rPr>
                <w:i/>
                <w:sz w:val="18"/>
                <w:szCs w:val="20"/>
              </w:rPr>
              <w:t xml:space="preserve"> zlecone wykonywanie analiz otrzymywanych danych.</w:t>
            </w:r>
          </w:p>
          <w:p w14:paraId="6BE8CE4D" w14:textId="77777777" w:rsidR="00B4402A" w:rsidRPr="00B4402A" w:rsidRDefault="00B4402A" w:rsidP="004C17F8">
            <w:pPr>
              <w:jc w:val="both"/>
              <w:rPr>
                <w:i/>
                <w:sz w:val="18"/>
                <w:szCs w:val="20"/>
              </w:rPr>
            </w:pPr>
            <w:r w:rsidRPr="00B4402A">
              <w:rPr>
                <w:i/>
                <w:sz w:val="18"/>
                <w:szCs w:val="20"/>
              </w:rPr>
              <w:t>Do podstawowych produktów należy:</w:t>
            </w:r>
          </w:p>
          <w:p w14:paraId="5D3F4037" w14:textId="77777777" w:rsidR="00B4402A" w:rsidRPr="00B4402A" w:rsidRDefault="00B4402A" w:rsidP="004C17F8">
            <w:pPr>
              <w:jc w:val="both"/>
              <w:rPr>
                <w:i/>
                <w:sz w:val="18"/>
                <w:szCs w:val="20"/>
              </w:rPr>
            </w:pPr>
            <w:r w:rsidRPr="00B4402A">
              <w:rPr>
                <w:i/>
                <w:sz w:val="18"/>
                <w:szCs w:val="20"/>
              </w:rPr>
              <w:t xml:space="preserve">1) </w:t>
            </w:r>
            <w:proofErr w:type="spellStart"/>
            <w:r w:rsidRPr="00B4402A">
              <w:rPr>
                <w:i/>
                <w:sz w:val="18"/>
                <w:szCs w:val="20"/>
              </w:rPr>
              <w:t>Carrier_SENT</w:t>
            </w:r>
            <w:proofErr w:type="spellEnd"/>
            <w:r w:rsidRPr="00B4402A">
              <w:rPr>
                <w:i/>
                <w:sz w:val="18"/>
                <w:szCs w:val="20"/>
              </w:rPr>
              <w:t xml:space="preserve"> - usługa zapewniająca odbiór danych z zewnętrznych systemów </w:t>
            </w:r>
            <w:proofErr w:type="spellStart"/>
            <w:r w:rsidRPr="00B4402A">
              <w:rPr>
                <w:i/>
                <w:sz w:val="18"/>
                <w:szCs w:val="20"/>
              </w:rPr>
              <w:t>geolokalizacji</w:t>
            </w:r>
            <w:proofErr w:type="spellEnd"/>
            <w:r w:rsidRPr="00B4402A">
              <w:rPr>
                <w:i/>
                <w:sz w:val="18"/>
                <w:szCs w:val="20"/>
              </w:rPr>
              <w:t xml:space="preserve"> - interfejs;</w:t>
            </w:r>
          </w:p>
          <w:p w14:paraId="5E8F774A" w14:textId="77777777" w:rsidR="00B4402A" w:rsidRPr="00B4402A" w:rsidRDefault="00B4402A" w:rsidP="004C17F8">
            <w:pPr>
              <w:jc w:val="both"/>
              <w:rPr>
                <w:i/>
                <w:sz w:val="18"/>
                <w:szCs w:val="20"/>
              </w:rPr>
            </w:pPr>
            <w:r w:rsidRPr="00B4402A">
              <w:rPr>
                <w:i/>
                <w:sz w:val="18"/>
                <w:szCs w:val="20"/>
              </w:rPr>
              <w:t xml:space="preserve">2) </w:t>
            </w:r>
            <w:proofErr w:type="spellStart"/>
            <w:r w:rsidRPr="00B4402A">
              <w:rPr>
                <w:i/>
                <w:sz w:val="18"/>
                <w:szCs w:val="20"/>
              </w:rPr>
              <w:t>Driver_SENT</w:t>
            </w:r>
            <w:proofErr w:type="spellEnd"/>
            <w:r w:rsidRPr="00B4402A">
              <w:rPr>
                <w:i/>
                <w:sz w:val="18"/>
                <w:szCs w:val="20"/>
              </w:rPr>
              <w:t xml:space="preserve"> - usługa zapewniająca przekazywanie i odbieranie danych geolokalizacyjnych ze </w:t>
            </w:r>
            <w:proofErr w:type="spellStart"/>
            <w:r w:rsidRPr="00B4402A">
              <w:rPr>
                <w:i/>
                <w:sz w:val="18"/>
                <w:szCs w:val="20"/>
              </w:rPr>
              <w:t>smartfonów</w:t>
            </w:r>
            <w:proofErr w:type="spellEnd"/>
            <w:r w:rsidRPr="00B4402A">
              <w:rPr>
                <w:i/>
                <w:sz w:val="18"/>
                <w:szCs w:val="20"/>
              </w:rPr>
              <w:t xml:space="preserve"> - aplikacja.</w:t>
            </w:r>
          </w:p>
          <w:p w14:paraId="40E02EA5" w14:textId="77777777" w:rsidR="00B4402A" w:rsidRDefault="00B4402A" w:rsidP="004C17F8">
            <w:pPr>
              <w:jc w:val="both"/>
              <w:rPr>
                <w:i/>
                <w:sz w:val="18"/>
                <w:szCs w:val="20"/>
              </w:rPr>
            </w:pPr>
            <w:r w:rsidRPr="00B4402A">
              <w:rPr>
                <w:i/>
                <w:sz w:val="18"/>
                <w:szCs w:val="20"/>
              </w:rPr>
              <w:t>W ramach prac projektowych podpisano jedną umowę na przeprowadzenie pilotażu w celu wytworzenia prototypu interfejsu i aplikacji. Pilotaż zakończono odbiorem prototypu interfejsu i aplikacji (kamień milowy Pilot systemu odebrany).</w:t>
            </w:r>
          </w:p>
          <w:p w14:paraId="736A44D5" w14:textId="77777777" w:rsidR="00E44829" w:rsidRPr="00B4402A" w:rsidRDefault="00E44829" w:rsidP="004C17F8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Następnie zlecono </w:t>
            </w:r>
            <w:r w:rsidR="00B92966">
              <w:rPr>
                <w:i/>
                <w:sz w:val="18"/>
                <w:szCs w:val="20"/>
              </w:rPr>
              <w:t xml:space="preserve">w ramach umowy dotacji celowej </w:t>
            </w:r>
            <w:r>
              <w:rPr>
                <w:i/>
                <w:sz w:val="18"/>
                <w:szCs w:val="20"/>
              </w:rPr>
              <w:t>wykon</w:t>
            </w:r>
            <w:r w:rsidR="00B92966">
              <w:rPr>
                <w:i/>
                <w:sz w:val="18"/>
                <w:szCs w:val="20"/>
              </w:rPr>
              <w:t>ywa</w:t>
            </w:r>
            <w:r>
              <w:rPr>
                <w:i/>
                <w:sz w:val="18"/>
                <w:szCs w:val="20"/>
              </w:rPr>
              <w:t xml:space="preserve">nie usług </w:t>
            </w:r>
            <w:r w:rsidR="00B92966">
              <w:rPr>
                <w:i/>
                <w:sz w:val="18"/>
                <w:szCs w:val="20"/>
              </w:rPr>
              <w:t>analizy</w:t>
            </w:r>
            <w:r>
              <w:rPr>
                <w:i/>
                <w:sz w:val="18"/>
                <w:szCs w:val="20"/>
              </w:rPr>
              <w:t xml:space="preserve"> Instytutowi Łączności.</w:t>
            </w:r>
          </w:p>
          <w:p w14:paraId="0B2DDC5A" w14:textId="2EA0ED95" w:rsidR="009A21AF" w:rsidRDefault="009A21AF" w:rsidP="007A32E4">
            <w:pPr>
              <w:spacing w:before="120"/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Wszystkie zaplanowane w projekcie nowe usługi zostały wykonane. Nastąpiło odchylenie czasowe w datach wdrożenia planowanych na 31.12.2017 </w:t>
            </w:r>
            <w:proofErr w:type="gramStart"/>
            <w:r>
              <w:rPr>
                <w:i/>
                <w:sz w:val="18"/>
                <w:szCs w:val="20"/>
              </w:rPr>
              <w:t>r</w:t>
            </w:r>
            <w:proofErr w:type="gramEnd"/>
            <w:r>
              <w:rPr>
                <w:i/>
                <w:sz w:val="18"/>
                <w:szCs w:val="20"/>
              </w:rPr>
              <w:t>.</w:t>
            </w:r>
            <w:r w:rsidR="005D47CF">
              <w:rPr>
                <w:i/>
                <w:sz w:val="18"/>
                <w:szCs w:val="20"/>
              </w:rPr>
              <w:t xml:space="preserve"> usług i związanych z tym kamieni milowych. </w:t>
            </w:r>
            <w:r>
              <w:rPr>
                <w:i/>
                <w:sz w:val="18"/>
                <w:szCs w:val="20"/>
              </w:rPr>
              <w:t>Jak już wyjaśniono, z</w:t>
            </w:r>
            <w:r w:rsidRPr="009A21AF">
              <w:rPr>
                <w:i/>
                <w:sz w:val="18"/>
                <w:szCs w:val="20"/>
              </w:rPr>
              <w:t xml:space="preserve"> uwagi na prowadzenie dialogu z Komisją Europejską termin wejścia w życie przepisów ustawy pierwotnie planowany na 31.12.2017 </w:t>
            </w:r>
            <w:proofErr w:type="gramStart"/>
            <w:r w:rsidRPr="009A21AF">
              <w:rPr>
                <w:i/>
                <w:sz w:val="18"/>
                <w:szCs w:val="20"/>
              </w:rPr>
              <w:t>r</w:t>
            </w:r>
            <w:proofErr w:type="gramEnd"/>
            <w:r w:rsidRPr="009A21AF">
              <w:rPr>
                <w:i/>
                <w:sz w:val="18"/>
                <w:szCs w:val="20"/>
              </w:rPr>
              <w:t xml:space="preserve">. został przesunięty, stąd kolejna data wejścia w życie przepisów ustawy </w:t>
            </w:r>
            <w:r w:rsidR="007A32E4">
              <w:rPr>
                <w:i/>
                <w:sz w:val="18"/>
                <w:szCs w:val="20"/>
              </w:rPr>
              <w:t xml:space="preserve">uwzględniająca przebieg procesu legislacyjnego </w:t>
            </w:r>
            <w:r w:rsidRPr="009A21AF">
              <w:rPr>
                <w:i/>
                <w:sz w:val="18"/>
                <w:szCs w:val="20"/>
              </w:rPr>
              <w:t>została ustalona</w:t>
            </w:r>
            <w:r w:rsidR="007A32E4">
              <w:rPr>
                <w:i/>
                <w:sz w:val="18"/>
                <w:szCs w:val="20"/>
              </w:rPr>
              <w:t xml:space="preserve"> przez ustawodawcę na</w:t>
            </w:r>
            <w:r w:rsidRPr="009A21AF">
              <w:rPr>
                <w:i/>
                <w:sz w:val="18"/>
                <w:szCs w:val="20"/>
              </w:rPr>
              <w:t xml:space="preserve"> 01.10.2018 </w:t>
            </w:r>
            <w:proofErr w:type="gramStart"/>
            <w:r w:rsidRPr="009A21AF">
              <w:rPr>
                <w:i/>
                <w:sz w:val="18"/>
                <w:szCs w:val="20"/>
              </w:rPr>
              <w:t>r</w:t>
            </w:r>
            <w:proofErr w:type="gramEnd"/>
            <w:r w:rsidRPr="009A21AF">
              <w:rPr>
                <w:i/>
                <w:sz w:val="18"/>
                <w:szCs w:val="20"/>
              </w:rPr>
              <w:t>.</w:t>
            </w:r>
            <w:r>
              <w:rPr>
                <w:i/>
                <w:sz w:val="18"/>
                <w:szCs w:val="20"/>
              </w:rPr>
              <w:t xml:space="preserve"> i tym samym w tej dacie należało udostępnić zaprojektowane usługi.</w:t>
            </w:r>
          </w:p>
          <w:p w14:paraId="2541682F" w14:textId="0D04D414" w:rsidR="009A21AF" w:rsidRPr="002450C4" w:rsidRDefault="009A21AF" w:rsidP="005D47CF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Powyższe obiektywne okoliczności wpłynęły na przesunięcie dat osiągnięcia kamieni milowych</w:t>
            </w:r>
            <w:r w:rsidR="005D47CF">
              <w:rPr>
                <w:i/>
                <w:sz w:val="18"/>
                <w:szCs w:val="20"/>
              </w:rPr>
              <w:t xml:space="preserve">. Planowany na 02.01.2018 </w:t>
            </w:r>
            <w:proofErr w:type="gramStart"/>
            <w:r w:rsidR="005D47CF">
              <w:rPr>
                <w:i/>
                <w:sz w:val="18"/>
                <w:szCs w:val="20"/>
              </w:rPr>
              <w:t>r</w:t>
            </w:r>
            <w:proofErr w:type="gramEnd"/>
            <w:r w:rsidR="005D47CF">
              <w:rPr>
                <w:i/>
                <w:sz w:val="18"/>
                <w:szCs w:val="20"/>
              </w:rPr>
              <w:t xml:space="preserve">. termin wdrożenia ostatniego kamienia milowego miał miejsce 01.10.2018 </w:t>
            </w:r>
            <w:proofErr w:type="gramStart"/>
            <w:r w:rsidR="005D47CF">
              <w:rPr>
                <w:i/>
                <w:sz w:val="18"/>
                <w:szCs w:val="20"/>
              </w:rPr>
              <w:t>r</w:t>
            </w:r>
            <w:proofErr w:type="gramEnd"/>
            <w:r w:rsidR="005D47CF">
              <w:rPr>
                <w:i/>
                <w:sz w:val="18"/>
                <w:szCs w:val="20"/>
              </w:rPr>
              <w:t xml:space="preserve">. </w:t>
            </w:r>
          </w:p>
        </w:tc>
      </w:tr>
      <w:tr w:rsidR="004D135D" w:rsidRPr="002450C4" w14:paraId="24B90D6D" w14:textId="77777777" w:rsidTr="00920CE8">
        <w:tc>
          <w:tcPr>
            <w:tcW w:w="480" w:type="dxa"/>
          </w:tcPr>
          <w:p w14:paraId="072DC124" w14:textId="796B2C94" w:rsidR="004D135D" w:rsidRPr="002450C4" w:rsidRDefault="004D135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015736AF" w14:textId="77777777" w:rsidR="004D135D" w:rsidRDefault="004D135D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E-usługi dla obywateli i przedsiębiorców</w:t>
            </w:r>
          </w:p>
        </w:tc>
        <w:tc>
          <w:tcPr>
            <w:tcW w:w="6232" w:type="dxa"/>
          </w:tcPr>
          <w:p w14:paraId="09D97852" w14:textId="77777777" w:rsidR="00B4402A" w:rsidRPr="00B4402A" w:rsidRDefault="00B4402A" w:rsidP="004C17F8">
            <w:pPr>
              <w:jc w:val="both"/>
              <w:rPr>
                <w:bCs/>
                <w:i/>
                <w:sz w:val="18"/>
                <w:szCs w:val="20"/>
              </w:rPr>
            </w:pPr>
            <w:r w:rsidRPr="00B4402A">
              <w:rPr>
                <w:bCs/>
                <w:i/>
                <w:sz w:val="18"/>
                <w:szCs w:val="20"/>
              </w:rPr>
              <w:t xml:space="preserve">1) </w:t>
            </w:r>
            <w:proofErr w:type="spellStart"/>
            <w:r w:rsidRPr="00B4402A">
              <w:rPr>
                <w:bCs/>
                <w:i/>
                <w:sz w:val="18"/>
                <w:szCs w:val="20"/>
              </w:rPr>
              <w:t>Carrier_SENT</w:t>
            </w:r>
            <w:proofErr w:type="spellEnd"/>
            <w:r w:rsidRPr="00B4402A">
              <w:rPr>
                <w:bCs/>
                <w:i/>
                <w:sz w:val="18"/>
                <w:szCs w:val="20"/>
              </w:rPr>
              <w:t xml:space="preserve"> usługa zapewniająca odbiór danych z zewnętrznych systemów </w:t>
            </w:r>
            <w:proofErr w:type="spellStart"/>
            <w:r w:rsidRPr="00B4402A">
              <w:rPr>
                <w:bCs/>
                <w:i/>
                <w:sz w:val="18"/>
                <w:szCs w:val="20"/>
              </w:rPr>
              <w:t>geoloka</w:t>
            </w:r>
            <w:r>
              <w:rPr>
                <w:bCs/>
                <w:i/>
                <w:sz w:val="18"/>
                <w:szCs w:val="20"/>
              </w:rPr>
              <w:t>lizacji</w:t>
            </w:r>
            <w:proofErr w:type="spellEnd"/>
            <w:r>
              <w:rPr>
                <w:bCs/>
                <w:i/>
                <w:sz w:val="18"/>
                <w:szCs w:val="20"/>
              </w:rPr>
              <w:t xml:space="preserve"> – przyjęto, </w:t>
            </w:r>
            <w:r w:rsidRPr="00B4402A">
              <w:rPr>
                <w:bCs/>
                <w:i/>
                <w:sz w:val="18"/>
                <w:szCs w:val="20"/>
              </w:rPr>
              <w:t xml:space="preserve">przygotowano </w:t>
            </w:r>
            <w:r>
              <w:rPr>
                <w:bCs/>
                <w:i/>
                <w:sz w:val="18"/>
                <w:szCs w:val="20"/>
              </w:rPr>
              <w:t xml:space="preserve">i udostępniono </w:t>
            </w:r>
            <w:r w:rsidRPr="00B4402A">
              <w:rPr>
                <w:bCs/>
                <w:i/>
                <w:sz w:val="18"/>
                <w:szCs w:val="20"/>
              </w:rPr>
              <w:t>standard interfejsu.</w:t>
            </w:r>
          </w:p>
          <w:p w14:paraId="76E9A3B9" w14:textId="77777777" w:rsidR="00B4402A" w:rsidRPr="00B4402A" w:rsidRDefault="00B4402A" w:rsidP="004C17F8">
            <w:pPr>
              <w:jc w:val="both"/>
              <w:rPr>
                <w:bCs/>
                <w:i/>
                <w:sz w:val="18"/>
                <w:szCs w:val="20"/>
              </w:rPr>
            </w:pPr>
            <w:r w:rsidRPr="00B4402A">
              <w:rPr>
                <w:bCs/>
                <w:i/>
                <w:sz w:val="18"/>
                <w:szCs w:val="20"/>
              </w:rPr>
              <w:t>E-usługa posiada 5 poziom e-dojrzałości.</w:t>
            </w:r>
          </w:p>
          <w:p w14:paraId="7C3AF5EA" w14:textId="77777777" w:rsidR="00B4402A" w:rsidRPr="00B4402A" w:rsidRDefault="00B4402A" w:rsidP="004C17F8">
            <w:pPr>
              <w:jc w:val="both"/>
              <w:rPr>
                <w:bCs/>
                <w:i/>
                <w:sz w:val="18"/>
                <w:szCs w:val="20"/>
              </w:rPr>
            </w:pPr>
            <w:r w:rsidRPr="00B4402A">
              <w:rPr>
                <w:bCs/>
                <w:i/>
                <w:sz w:val="18"/>
                <w:szCs w:val="20"/>
              </w:rPr>
              <w:t xml:space="preserve">Odbiorcą tej usługi </w:t>
            </w:r>
            <w:r w:rsidR="00B92966">
              <w:rPr>
                <w:bCs/>
                <w:i/>
                <w:sz w:val="18"/>
                <w:szCs w:val="20"/>
              </w:rPr>
              <w:t>są</w:t>
            </w:r>
            <w:r w:rsidRPr="00B4402A">
              <w:rPr>
                <w:bCs/>
                <w:i/>
                <w:sz w:val="18"/>
                <w:szCs w:val="20"/>
              </w:rPr>
              <w:t xml:space="preserve"> przedsiębiorcy wykonujący przewóz rzeczy.</w:t>
            </w:r>
          </w:p>
          <w:p w14:paraId="7CF9046C" w14:textId="77777777" w:rsidR="00B4402A" w:rsidRPr="00B4402A" w:rsidRDefault="00B4402A" w:rsidP="004C17F8">
            <w:pPr>
              <w:jc w:val="both"/>
              <w:rPr>
                <w:bCs/>
                <w:i/>
                <w:sz w:val="18"/>
                <w:szCs w:val="20"/>
              </w:rPr>
            </w:pPr>
            <w:r w:rsidRPr="00B4402A">
              <w:rPr>
                <w:bCs/>
                <w:i/>
                <w:sz w:val="18"/>
                <w:szCs w:val="20"/>
              </w:rPr>
              <w:t>Usługa zosta</w:t>
            </w:r>
            <w:r>
              <w:rPr>
                <w:bCs/>
                <w:i/>
                <w:sz w:val="18"/>
                <w:szCs w:val="20"/>
              </w:rPr>
              <w:t>ła</w:t>
            </w:r>
            <w:r w:rsidRPr="00B4402A">
              <w:rPr>
                <w:bCs/>
                <w:i/>
                <w:sz w:val="18"/>
                <w:szCs w:val="20"/>
              </w:rPr>
              <w:t xml:space="preserve"> udostępniona firmom przewozowym.</w:t>
            </w:r>
          </w:p>
          <w:p w14:paraId="782B8B28" w14:textId="77777777" w:rsidR="00B4402A" w:rsidRPr="00B4402A" w:rsidRDefault="00B4402A" w:rsidP="004C17F8">
            <w:pPr>
              <w:jc w:val="both"/>
              <w:rPr>
                <w:bCs/>
                <w:i/>
                <w:sz w:val="18"/>
                <w:szCs w:val="20"/>
              </w:rPr>
            </w:pPr>
            <w:r w:rsidRPr="00B4402A">
              <w:rPr>
                <w:bCs/>
                <w:i/>
                <w:sz w:val="18"/>
                <w:szCs w:val="20"/>
              </w:rPr>
              <w:t>Na portalu www.</w:t>
            </w:r>
            <w:proofErr w:type="gramStart"/>
            <w:r w:rsidRPr="00B4402A">
              <w:rPr>
                <w:bCs/>
                <w:i/>
                <w:sz w:val="18"/>
                <w:szCs w:val="20"/>
              </w:rPr>
              <w:t>puesc</w:t>
            </w:r>
            <w:proofErr w:type="gramEnd"/>
            <w:r w:rsidRPr="00B4402A">
              <w:rPr>
                <w:bCs/>
                <w:i/>
                <w:sz w:val="18"/>
                <w:szCs w:val="20"/>
              </w:rPr>
              <w:t>.</w:t>
            </w:r>
            <w:proofErr w:type="gramStart"/>
            <w:r w:rsidRPr="00B4402A">
              <w:rPr>
                <w:bCs/>
                <w:i/>
                <w:sz w:val="18"/>
                <w:szCs w:val="20"/>
              </w:rPr>
              <w:t>gov</w:t>
            </w:r>
            <w:proofErr w:type="gramEnd"/>
            <w:r w:rsidRPr="00B4402A">
              <w:rPr>
                <w:bCs/>
                <w:i/>
                <w:sz w:val="18"/>
                <w:szCs w:val="20"/>
              </w:rPr>
              <w:t>.</w:t>
            </w:r>
            <w:proofErr w:type="gramStart"/>
            <w:r w:rsidRPr="00B4402A">
              <w:rPr>
                <w:bCs/>
                <w:i/>
                <w:sz w:val="18"/>
                <w:szCs w:val="20"/>
              </w:rPr>
              <w:t>pl</w:t>
            </w:r>
            <w:proofErr w:type="gramEnd"/>
            <w:r w:rsidRPr="00B4402A">
              <w:rPr>
                <w:bCs/>
                <w:i/>
                <w:sz w:val="18"/>
                <w:szCs w:val="20"/>
              </w:rPr>
              <w:t xml:space="preserve"> w zakładce Katalog usług/ e-Przewóz zamieszczona </w:t>
            </w:r>
            <w:r>
              <w:rPr>
                <w:bCs/>
                <w:i/>
                <w:sz w:val="18"/>
                <w:szCs w:val="20"/>
              </w:rPr>
              <w:t>jest</w:t>
            </w:r>
            <w:r w:rsidRPr="00B4402A">
              <w:rPr>
                <w:bCs/>
                <w:i/>
                <w:sz w:val="18"/>
                <w:szCs w:val="20"/>
              </w:rPr>
              <w:t xml:space="preserve"> Specyfikacja Techniczna nowej usługi </w:t>
            </w:r>
            <w:proofErr w:type="spellStart"/>
            <w:r w:rsidRPr="00B4402A">
              <w:rPr>
                <w:bCs/>
                <w:i/>
                <w:sz w:val="18"/>
                <w:szCs w:val="20"/>
              </w:rPr>
              <w:t>Carrier_SENT</w:t>
            </w:r>
            <w:proofErr w:type="spellEnd"/>
            <w:r w:rsidRPr="00B4402A">
              <w:rPr>
                <w:bCs/>
                <w:i/>
                <w:sz w:val="18"/>
                <w:szCs w:val="20"/>
              </w:rPr>
              <w:t xml:space="preserve"> przeznaczon</w:t>
            </w:r>
            <w:r>
              <w:rPr>
                <w:bCs/>
                <w:i/>
                <w:sz w:val="18"/>
                <w:szCs w:val="20"/>
              </w:rPr>
              <w:t>a</w:t>
            </w:r>
            <w:r w:rsidRPr="00B4402A">
              <w:rPr>
                <w:bCs/>
                <w:i/>
                <w:sz w:val="18"/>
                <w:szCs w:val="20"/>
              </w:rPr>
              <w:t xml:space="preserve"> do integracji Zewnętrznych Systemów Lokalizacyjnych.</w:t>
            </w:r>
          </w:p>
          <w:p w14:paraId="39867B56" w14:textId="77777777" w:rsidR="00B4402A" w:rsidRPr="00B4402A" w:rsidRDefault="00B4402A" w:rsidP="004C17F8">
            <w:pPr>
              <w:jc w:val="both"/>
              <w:rPr>
                <w:bCs/>
                <w:i/>
                <w:sz w:val="18"/>
                <w:szCs w:val="20"/>
              </w:rPr>
            </w:pPr>
            <w:r w:rsidRPr="00B4402A">
              <w:rPr>
                <w:bCs/>
                <w:i/>
                <w:sz w:val="18"/>
                <w:szCs w:val="20"/>
              </w:rPr>
              <w:t>Odbiorca komunik</w:t>
            </w:r>
            <w:r>
              <w:rPr>
                <w:bCs/>
                <w:i/>
                <w:sz w:val="18"/>
                <w:szCs w:val="20"/>
              </w:rPr>
              <w:t>uje</w:t>
            </w:r>
            <w:r w:rsidRPr="00B4402A">
              <w:rPr>
                <w:bCs/>
                <w:i/>
                <w:sz w:val="18"/>
                <w:szCs w:val="20"/>
              </w:rPr>
              <w:t xml:space="preserve"> się z systemem SENT za pomocą struktur danych określonych w pliku WS_CHANNEL.</w:t>
            </w:r>
            <w:proofErr w:type="gramStart"/>
            <w:r w:rsidRPr="00B4402A">
              <w:rPr>
                <w:bCs/>
                <w:i/>
                <w:sz w:val="18"/>
                <w:szCs w:val="20"/>
              </w:rPr>
              <w:t>xsd</w:t>
            </w:r>
            <w:proofErr w:type="gramEnd"/>
            <w:r w:rsidRPr="00B4402A">
              <w:rPr>
                <w:bCs/>
                <w:i/>
                <w:sz w:val="18"/>
                <w:szCs w:val="20"/>
              </w:rPr>
              <w:t>.</w:t>
            </w:r>
          </w:p>
          <w:p w14:paraId="77366B2E" w14:textId="77777777" w:rsidR="00B4402A" w:rsidRPr="00B4402A" w:rsidRDefault="00B4402A" w:rsidP="004C17F8">
            <w:pPr>
              <w:jc w:val="both"/>
              <w:rPr>
                <w:bCs/>
                <w:i/>
                <w:sz w:val="18"/>
                <w:szCs w:val="20"/>
              </w:rPr>
            </w:pPr>
            <w:proofErr w:type="gramStart"/>
            <w:r w:rsidRPr="00B4402A">
              <w:rPr>
                <w:bCs/>
                <w:i/>
                <w:sz w:val="18"/>
                <w:szCs w:val="20"/>
              </w:rPr>
              <w:t>Odbiorca aby</w:t>
            </w:r>
            <w:proofErr w:type="gramEnd"/>
            <w:r w:rsidRPr="00B4402A">
              <w:rPr>
                <w:bCs/>
                <w:i/>
                <w:sz w:val="18"/>
                <w:szCs w:val="20"/>
              </w:rPr>
              <w:t xml:space="preserve"> móc wykorzystywać usługi elektroniczne przez Web Service musi posiadać konto na Portalu PUESC. Login </w:t>
            </w:r>
            <w:proofErr w:type="gramStart"/>
            <w:r w:rsidRPr="00B4402A">
              <w:rPr>
                <w:bCs/>
                <w:i/>
                <w:sz w:val="18"/>
                <w:szCs w:val="20"/>
              </w:rPr>
              <w:t>PUESC (czyli</w:t>
            </w:r>
            <w:proofErr w:type="gramEnd"/>
            <w:r w:rsidRPr="00B4402A">
              <w:rPr>
                <w:bCs/>
                <w:i/>
                <w:sz w:val="18"/>
                <w:szCs w:val="20"/>
              </w:rPr>
              <w:t xml:space="preserve"> adres email użytkownika) jest jednocześnie loginem do usług elektronicznych Web Service.</w:t>
            </w:r>
          </w:p>
          <w:p w14:paraId="7DBAB4D9" w14:textId="77777777" w:rsidR="00B4402A" w:rsidRPr="00B4402A" w:rsidRDefault="00B4402A" w:rsidP="004C17F8">
            <w:pPr>
              <w:jc w:val="both"/>
              <w:rPr>
                <w:bCs/>
                <w:i/>
                <w:sz w:val="18"/>
                <w:szCs w:val="20"/>
              </w:rPr>
            </w:pPr>
            <w:r w:rsidRPr="00B4402A">
              <w:rPr>
                <w:bCs/>
                <w:i/>
                <w:sz w:val="18"/>
                <w:szCs w:val="20"/>
              </w:rPr>
              <w:t xml:space="preserve">Login i skrót SHA1* (base64) z hasła muszą zostać przekazane do usługi Web Service zgodnie ze specyfikacją WS-Security, profil </w:t>
            </w:r>
            <w:proofErr w:type="spellStart"/>
            <w:r w:rsidRPr="00B4402A">
              <w:rPr>
                <w:bCs/>
                <w:i/>
                <w:sz w:val="18"/>
                <w:szCs w:val="20"/>
              </w:rPr>
              <w:t>UsernameToken</w:t>
            </w:r>
            <w:proofErr w:type="spellEnd"/>
            <w:r w:rsidRPr="00B4402A">
              <w:rPr>
                <w:bCs/>
                <w:i/>
                <w:sz w:val="18"/>
                <w:szCs w:val="20"/>
              </w:rPr>
              <w:t xml:space="preserve">, tryb </w:t>
            </w:r>
            <w:proofErr w:type="spellStart"/>
            <w:r w:rsidRPr="00B4402A">
              <w:rPr>
                <w:bCs/>
                <w:i/>
                <w:sz w:val="18"/>
                <w:szCs w:val="20"/>
              </w:rPr>
              <w:t>PasswordDigest</w:t>
            </w:r>
            <w:proofErr w:type="spellEnd"/>
            <w:r w:rsidRPr="00B4402A">
              <w:rPr>
                <w:bCs/>
                <w:i/>
                <w:sz w:val="18"/>
                <w:szCs w:val="20"/>
              </w:rPr>
              <w:t xml:space="preserve">. Zgodnie z zawartą w pliku </w:t>
            </w:r>
            <w:proofErr w:type="spellStart"/>
            <w:r w:rsidRPr="00B4402A">
              <w:rPr>
                <w:bCs/>
                <w:i/>
                <w:sz w:val="18"/>
                <w:szCs w:val="20"/>
              </w:rPr>
              <w:t>WS_PULL.wsdl</w:t>
            </w:r>
            <w:proofErr w:type="spellEnd"/>
            <w:r w:rsidRPr="00B4402A">
              <w:rPr>
                <w:bCs/>
                <w:i/>
                <w:sz w:val="18"/>
                <w:szCs w:val="20"/>
              </w:rPr>
              <w:t xml:space="preserve"> polityką &lt;</w:t>
            </w:r>
            <w:proofErr w:type="spellStart"/>
            <w:r w:rsidRPr="00B4402A">
              <w:rPr>
                <w:bCs/>
                <w:i/>
                <w:sz w:val="18"/>
                <w:szCs w:val="20"/>
              </w:rPr>
              <w:t>wsp</w:t>
            </w:r>
            <w:proofErr w:type="gramStart"/>
            <w:r w:rsidRPr="00B4402A">
              <w:rPr>
                <w:bCs/>
                <w:i/>
                <w:sz w:val="18"/>
                <w:szCs w:val="20"/>
              </w:rPr>
              <w:t>:Policy</w:t>
            </w:r>
            <w:proofErr w:type="spellEnd"/>
            <w:proofErr w:type="gramEnd"/>
            <w:r w:rsidRPr="00B4402A">
              <w:rPr>
                <w:bCs/>
                <w:i/>
                <w:sz w:val="18"/>
                <w:szCs w:val="20"/>
              </w:rPr>
              <w:t xml:space="preserve"> </w:t>
            </w:r>
            <w:proofErr w:type="spellStart"/>
            <w:r w:rsidRPr="00B4402A">
              <w:rPr>
                <w:bCs/>
                <w:i/>
                <w:sz w:val="18"/>
                <w:szCs w:val="20"/>
              </w:rPr>
              <w:t>wsu:Id</w:t>
            </w:r>
            <w:proofErr w:type="spellEnd"/>
            <w:r w:rsidRPr="00B4402A">
              <w:rPr>
                <w:bCs/>
                <w:i/>
                <w:sz w:val="18"/>
                <w:szCs w:val="20"/>
              </w:rPr>
              <w:t>="</w:t>
            </w:r>
            <w:proofErr w:type="spellStart"/>
            <w:r w:rsidRPr="00B4402A">
              <w:rPr>
                <w:bCs/>
                <w:i/>
                <w:sz w:val="18"/>
                <w:szCs w:val="20"/>
              </w:rPr>
              <w:t>ecipseap_policy</w:t>
            </w:r>
            <w:proofErr w:type="spellEnd"/>
            <w:r w:rsidRPr="00B4402A">
              <w:rPr>
                <w:bCs/>
                <w:i/>
                <w:sz w:val="18"/>
                <w:szCs w:val="20"/>
              </w:rPr>
              <w:t xml:space="preserve">"&gt;, </w:t>
            </w:r>
            <w:proofErr w:type="spellStart"/>
            <w:r w:rsidRPr="00B4402A">
              <w:rPr>
                <w:bCs/>
                <w:i/>
                <w:sz w:val="18"/>
                <w:szCs w:val="20"/>
              </w:rPr>
              <w:t>WSAddressing</w:t>
            </w:r>
            <w:proofErr w:type="spellEnd"/>
            <w:r w:rsidRPr="00B4402A">
              <w:rPr>
                <w:bCs/>
                <w:i/>
                <w:sz w:val="18"/>
                <w:szCs w:val="20"/>
              </w:rPr>
              <w:t xml:space="preserve"> będzie wymagany.</w:t>
            </w:r>
          </w:p>
          <w:p w14:paraId="7EB8F3D2" w14:textId="77777777" w:rsidR="00B4402A" w:rsidRPr="00B4402A" w:rsidRDefault="00B4402A" w:rsidP="004C17F8">
            <w:pPr>
              <w:jc w:val="both"/>
              <w:rPr>
                <w:bCs/>
                <w:i/>
                <w:sz w:val="18"/>
                <w:szCs w:val="20"/>
              </w:rPr>
            </w:pPr>
            <w:r w:rsidRPr="00B4402A">
              <w:rPr>
                <w:bCs/>
                <w:i/>
                <w:sz w:val="18"/>
                <w:szCs w:val="20"/>
              </w:rPr>
              <w:t xml:space="preserve">2) </w:t>
            </w:r>
            <w:proofErr w:type="spellStart"/>
            <w:r w:rsidRPr="00B4402A">
              <w:rPr>
                <w:bCs/>
                <w:i/>
                <w:sz w:val="18"/>
                <w:szCs w:val="20"/>
              </w:rPr>
              <w:t>Driver_SENT</w:t>
            </w:r>
            <w:proofErr w:type="spellEnd"/>
            <w:r w:rsidRPr="00B4402A">
              <w:rPr>
                <w:bCs/>
                <w:i/>
                <w:sz w:val="18"/>
                <w:szCs w:val="20"/>
              </w:rPr>
              <w:t xml:space="preserve"> - usługa zapewniająca przekazywanie i odbieranie danych geolokalizacyjnych ze </w:t>
            </w:r>
            <w:proofErr w:type="spellStart"/>
            <w:r w:rsidRPr="00B4402A">
              <w:rPr>
                <w:bCs/>
                <w:i/>
                <w:sz w:val="18"/>
                <w:szCs w:val="20"/>
              </w:rPr>
              <w:t>smartfonów</w:t>
            </w:r>
            <w:proofErr w:type="spellEnd"/>
            <w:r w:rsidRPr="00B4402A">
              <w:rPr>
                <w:bCs/>
                <w:i/>
                <w:sz w:val="18"/>
                <w:szCs w:val="20"/>
              </w:rPr>
              <w:t>.</w:t>
            </w:r>
          </w:p>
          <w:p w14:paraId="186EBD65" w14:textId="77777777" w:rsidR="00B4402A" w:rsidRPr="00B4402A" w:rsidRDefault="00B4402A" w:rsidP="004C17F8">
            <w:pPr>
              <w:jc w:val="both"/>
              <w:rPr>
                <w:bCs/>
                <w:i/>
                <w:sz w:val="18"/>
                <w:szCs w:val="20"/>
              </w:rPr>
            </w:pPr>
            <w:r w:rsidRPr="00B4402A">
              <w:rPr>
                <w:bCs/>
                <w:i/>
                <w:sz w:val="18"/>
                <w:szCs w:val="20"/>
              </w:rPr>
              <w:t>E-usługa posiada 5 poziom e-dojrzałości.</w:t>
            </w:r>
          </w:p>
          <w:p w14:paraId="6B649A24" w14:textId="77777777" w:rsidR="00B4402A" w:rsidRPr="00B4402A" w:rsidRDefault="00B4402A" w:rsidP="004C17F8">
            <w:pPr>
              <w:jc w:val="both"/>
              <w:rPr>
                <w:bCs/>
                <w:i/>
                <w:sz w:val="18"/>
                <w:szCs w:val="20"/>
              </w:rPr>
            </w:pPr>
            <w:r w:rsidRPr="00B4402A">
              <w:rPr>
                <w:bCs/>
                <w:i/>
                <w:sz w:val="18"/>
                <w:szCs w:val="20"/>
              </w:rPr>
              <w:t>Usługa zosta</w:t>
            </w:r>
            <w:r w:rsidR="00B92966">
              <w:rPr>
                <w:bCs/>
                <w:i/>
                <w:sz w:val="18"/>
                <w:szCs w:val="20"/>
              </w:rPr>
              <w:t>ła</w:t>
            </w:r>
            <w:r w:rsidRPr="00B4402A">
              <w:rPr>
                <w:bCs/>
                <w:i/>
                <w:sz w:val="18"/>
                <w:szCs w:val="20"/>
              </w:rPr>
              <w:t xml:space="preserve"> udostępniona </w:t>
            </w:r>
            <w:r>
              <w:rPr>
                <w:bCs/>
                <w:i/>
                <w:sz w:val="18"/>
                <w:szCs w:val="20"/>
              </w:rPr>
              <w:t xml:space="preserve">produkcyjnie </w:t>
            </w:r>
            <w:r w:rsidRPr="00B4402A">
              <w:rPr>
                <w:bCs/>
                <w:i/>
                <w:sz w:val="18"/>
                <w:szCs w:val="20"/>
              </w:rPr>
              <w:t>firmom przewozowym</w:t>
            </w:r>
            <w:r>
              <w:rPr>
                <w:bCs/>
                <w:i/>
                <w:sz w:val="18"/>
                <w:szCs w:val="20"/>
              </w:rPr>
              <w:t xml:space="preserve"> w sklepach Pl</w:t>
            </w:r>
            <w:r w:rsidR="004C17F8">
              <w:rPr>
                <w:bCs/>
                <w:i/>
                <w:sz w:val="18"/>
                <w:szCs w:val="20"/>
              </w:rPr>
              <w:t>a</w:t>
            </w:r>
            <w:r>
              <w:rPr>
                <w:bCs/>
                <w:i/>
                <w:sz w:val="18"/>
                <w:szCs w:val="20"/>
              </w:rPr>
              <w:t xml:space="preserve">y </w:t>
            </w:r>
            <w:proofErr w:type="spellStart"/>
            <w:r>
              <w:rPr>
                <w:bCs/>
                <w:i/>
                <w:sz w:val="18"/>
                <w:szCs w:val="20"/>
              </w:rPr>
              <w:t>Store</w:t>
            </w:r>
            <w:proofErr w:type="spellEnd"/>
            <w:r>
              <w:rPr>
                <w:bCs/>
                <w:i/>
                <w:sz w:val="18"/>
                <w:szCs w:val="20"/>
              </w:rPr>
              <w:t xml:space="preserve"> i </w:t>
            </w:r>
            <w:proofErr w:type="spellStart"/>
            <w:r>
              <w:rPr>
                <w:bCs/>
                <w:i/>
                <w:sz w:val="18"/>
                <w:szCs w:val="20"/>
              </w:rPr>
              <w:t>App</w:t>
            </w:r>
            <w:proofErr w:type="spellEnd"/>
            <w:r>
              <w:rPr>
                <w:bCs/>
                <w:i/>
                <w:sz w:val="18"/>
                <w:szCs w:val="20"/>
              </w:rPr>
              <w:t xml:space="preserve"> </w:t>
            </w:r>
            <w:proofErr w:type="spellStart"/>
            <w:r>
              <w:rPr>
                <w:bCs/>
                <w:i/>
                <w:sz w:val="18"/>
                <w:szCs w:val="20"/>
              </w:rPr>
              <w:t>Store</w:t>
            </w:r>
            <w:proofErr w:type="spellEnd"/>
            <w:r w:rsidRPr="00B4402A">
              <w:rPr>
                <w:bCs/>
                <w:i/>
                <w:sz w:val="18"/>
                <w:szCs w:val="20"/>
              </w:rPr>
              <w:t>.</w:t>
            </w:r>
          </w:p>
          <w:p w14:paraId="0D48C1AF" w14:textId="77777777" w:rsidR="004D135D" w:rsidRDefault="00B4402A" w:rsidP="00B92966">
            <w:pPr>
              <w:jc w:val="both"/>
              <w:rPr>
                <w:bCs/>
                <w:i/>
                <w:sz w:val="18"/>
                <w:szCs w:val="20"/>
              </w:rPr>
            </w:pPr>
            <w:r w:rsidRPr="00B4402A">
              <w:rPr>
                <w:bCs/>
                <w:i/>
                <w:sz w:val="18"/>
                <w:szCs w:val="20"/>
              </w:rPr>
              <w:t>Odbiorca komunik</w:t>
            </w:r>
            <w:r w:rsidR="00B92966">
              <w:rPr>
                <w:bCs/>
                <w:i/>
                <w:sz w:val="18"/>
                <w:szCs w:val="20"/>
              </w:rPr>
              <w:t>uje</w:t>
            </w:r>
            <w:r w:rsidRPr="00B4402A">
              <w:rPr>
                <w:bCs/>
                <w:i/>
                <w:sz w:val="18"/>
                <w:szCs w:val="20"/>
              </w:rPr>
              <w:t xml:space="preserve"> się z systemem SENT za pomocą aplikacji poprzez „wciśnięcie” przycisku „start/stop” na urządzeniu mobilnym.</w:t>
            </w:r>
          </w:p>
          <w:p w14:paraId="08365D28" w14:textId="77777777" w:rsidR="005D47CF" w:rsidRDefault="005D47CF" w:rsidP="00B92966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 xml:space="preserve">Pozostałe dwie nowe usługi </w:t>
            </w:r>
            <w:proofErr w:type="spellStart"/>
            <w:r w:rsidRPr="005D47CF">
              <w:rPr>
                <w:bCs/>
                <w:i/>
                <w:sz w:val="18"/>
                <w:szCs w:val="20"/>
              </w:rPr>
              <w:t>Control_SENT</w:t>
            </w:r>
            <w:proofErr w:type="spellEnd"/>
            <w:r w:rsidRPr="005D47CF">
              <w:rPr>
                <w:bCs/>
                <w:i/>
                <w:sz w:val="18"/>
                <w:szCs w:val="20"/>
              </w:rPr>
              <w:t xml:space="preserve">, </w:t>
            </w:r>
            <w:proofErr w:type="spellStart"/>
            <w:r w:rsidRPr="005D47CF">
              <w:rPr>
                <w:bCs/>
                <w:i/>
                <w:sz w:val="18"/>
                <w:szCs w:val="20"/>
              </w:rPr>
              <w:t>Mangement_SENT</w:t>
            </w:r>
            <w:proofErr w:type="spellEnd"/>
            <w:r w:rsidR="00424CE7">
              <w:rPr>
                <w:bCs/>
                <w:i/>
                <w:sz w:val="18"/>
                <w:szCs w:val="20"/>
              </w:rPr>
              <w:t xml:space="preserve"> są usługami A2A, zaś usługa </w:t>
            </w:r>
            <w:proofErr w:type="spellStart"/>
            <w:r w:rsidR="00424CE7">
              <w:rPr>
                <w:bCs/>
                <w:i/>
                <w:sz w:val="18"/>
                <w:szCs w:val="20"/>
              </w:rPr>
              <w:t>Rejest</w:t>
            </w:r>
            <w:proofErr w:type="spellEnd"/>
            <w:r w:rsidR="00424CE7">
              <w:rPr>
                <w:bCs/>
                <w:i/>
                <w:sz w:val="18"/>
                <w:szCs w:val="20"/>
              </w:rPr>
              <w:t xml:space="preserve"> zgłoszeń SENT była usługą istniejącą.</w:t>
            </w:r>
          </w:p>
          <w:p w14:paraId="0D7A37BD" w14:textId="06EB0D2F" w:rsidR="00424CE7" w:rsidRDefault="00424CE7" w:rsidP="00B9463B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 xml:space="preserve">Nie wprowadzono zmian do zaplanowanych e-usług, jedyne zmiany dotyczyły, jak już wielokrotnie wspomniano przesunięcia daty wdrożenia z 02.01.2018 </w:t>
            </w:r>
            <w:proofErr w:type="gramStart"/>
            <w:r>
              <w:rPr>
                <w:bCs/>
                <w:i/>
                <w:sz w:val="18"/>
                <w:szCs w:val="20"/>
              </w:rPr>
              <w:t>r</w:t>
            </w:r>
            <w:proofErr w:type="gramEnd"/>
            <w:r>
              <w:rPr>
                <w:bCs/>
                <w:i/>
                <w:sz w:val="18"/>
                <w:szCs w:val="20"/>
              </w:rPr>
              <w:t>. na 01.10.2018 r.</w:t>
            </w:r>
          </w:p>
        </w:tc>
      </w:tr>
      <w:tr w:rsidR="00920CE8" w:rsidRPr="002450C4" w14:paraId="5813DD9F" w14:textId="77777777" w:rsidTr="00920CE8">
        <w:tc>
          <w:tcPr>
            <w:tcW w:w="480" w:type="dxa"/>
          </w:tcPr>
          <w:p w14:paraId="6A44D82D" w14:textId="28A08101" w:rsidR="00920CE8" w:rsidRPr="002450C4" w:rsidRDefault="00920CE8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6E261E6C" w14:textId="77777777" w:rsidR="00920CE8" w:rsidRPr="002450C4" w:rsidRDefault="00920CE8" w:rsidP="0092099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w realizacji strategicznych celów Państwa</w:t>
            </w:r>
          </w:p>
        </w:tc>
        <w:tc>
          <w:tcPr>
            <w:tcW w:w="6232" w:type="dxa"/>
          </w:tcPr>
          <w:p w14:paraId="4769FA8A" w14:textId="77777777" w:rsidR="00B4402A" w:rsidRPr="00B4402A" w:rsidRDefault="00B4402A" w:rsidP="00B4402A">
            <w:pPr>
              <w:jc w:val="both"/>
              <w:rPr>
                <w:i/>
                <w:sz w:val="18"/>
                <w:szCs w:val="20"/>
              </w:rPr>
            </w:pPr>
            <w:r w:rsidRPr="00B4402A">
              <w:rPr>
                <w:i/>
                <w:sz w:val="18"/>
                <w:szCs w:val="20"/>
              </w:rPr>
              <w:t xml:space="preserve">Projekt „Modyfikacja systemu monitorowania przewozu towarów SENT” ma na celu dostarczenie przede wszystkim nowoczesnych komponentów technologicznych wspierających i </w:t>
            </w:r>
            <w:proofErr w:type="gramStart"/>
            <w:r w:rsidRPr="00B4402A">
              <w:rPr>
                <w:i/>
                <w:sz w:val="18"/>
                <w:szCs w:val="20"/>
              </w:rPr>
              <w:t>poprawiających jakość</w:t>
            </w:r>
            <w:proofErr w:type="gramEnd"/>
            <w:r w:rsidRPr="00B4402A">
              <w:rPr>
                <w:i/>
                <w:sz w:val="18"/>
                <w:szCs w:val="20"/>
              </w:rPr>
              <w:t xml:space="preserve"> procesu monitorowania drogowego przewozu towarów. Wobec powyższego, przedmiotowy projekt wspiera w sposób wyłącznie pośredni podstawowe cele strategiczne Krajowej Administracji Skarbowej (określone w dokumencie zarządzenie Ministra Rozwoju i Finansów z</w:t>
            </w:r>
            <w:r w:rsidR="004B638E">
              <w:rPr>
                <w:i/>
                <w:sz w:val="18"/>
                <w:szCs w:val="20"/>
              </w:rPr>
              <w:t> </w:t>
            </w:r>
            <w:r w:rsidRPr="00B4402A">
              <w:rPr>
                <w:i/>
                <w:sz w:val="18"/>
                <w:szCs w:val="20"/>
              </w:rPr>
              <w:t>dnia 25 lipca 2017 r. w sprawie kierunków działania i rozwoju Krajowej Administracji Skarbowej na lata 2017-2020), tj.:</w:t>
            </w:r>
          </w:p>
          <w:p w14:paraId="47BD49CA" w14:textId="77777777" w:rsidR="00B4402A" w:rsidRPr="00B4402A" w:rsidRDefault="00B4402A" w:rsidP="00B4402A">
            <w:pPr>
              <w:jc w:val="both"/>
              <w:rPr>
                <w:i/>
                <w:sz w:val="18"/>
                <w:szCs w:val="20"/>
              </w:rPr>
            </w:pPr>
            <w:r w:rsidRPr="00B4402A">
              <w:rPr>
                <w:i/>
                <w:sz w:val="18"/>
                <w:szCs w:val="20"/>
              </w:rPr>
              <w:t>1. Ograniczenie luki podatkowej VAT.</w:t>
            </w:r>
          </w:p>
          <w:p w14:paraId="43C49310" w14:textId="77777777" w:rsidR="00B4402A" w:rsidRPr="00B4402A" w:rsidRDefault="00B4402A" w:rsidP="00B4402A">
            <w:pPr>
              <w:jc w:val="both"/>
              <w:rPr>
                <w:i/>
                <w:sz w:val="18"/>
                <w:szCs w:val="20"/>
              </w:rPr>
            </w:pPr>
            <w:r w:rsidRPr="00B4402A">
              <w:rPr>
                <w:i/>
                <w:sz w:val="18"/>
                <w:szCs w:val="20"/>
              </w:rPr>
              <w:t>2. Ochrona rynku polskiego.</w:t>
            </w:r>
          </w:p>
          <w:p w14:paraId="674AADFE" w14:textId="77777777" w:rsidR="00B4402A" w:rsidRPr="00B4402A" w:rsidRDefault="00B4402A" w:rsidP="00B4402A">
            <w:pPr>
              <w:jc w:val="both"/>
              <w:rPr>
                <w:i/>
                <w:sz w:val="18"/>
                <w:szCs w:val="20"/>
              </w:rPr>
            </w:pPr>
            <w:r w:rsidRPr="00B4402A">
              <w:rPr>
                <w:i/>
                <w:sz w:val="18"/>
                <w:szCs w:val="20"/>
              </w:rPr>
              <w:t>3. Wsparcie podatnika.</w:t>
            </w:r>
          </w:p>
          <w:p w14:paraId="3701D9AB" w14:textId="77777777" w:rsidR="00B4402A" w:rsidRPr="00B4402A" w:rsidRDefault="00B4402A" w:rsidP="00B4402A">
            <w:pPr>
              <w:jc w:val="both"/>
              <w:rPr>
                <w:i/>
                <w:sz w:val="18"/>
                <w:szCs w:val="20"/>
              </w:rPr>
            </w:pPr>
            <w:r w:rsidRPr="00B4402A">
              <w:rPr>
                <w:i/>
                <w:sz w:val="18"/>
                <w:szCs w:val="20"/>
              </w:rPr>
              <w:t>4. Rozwój organizacji KAS, w tym systemów informatycznych.</w:t>
            </w:r>
          </w:p>
          <w:p w14:paraId="5D083A47" w14:textId="77777777" w:rsidR="00B4402A" w:rsidRPr="00B4402A" w:rsidRDefault="00B4402A" w:rsidP="00B4402A">
            <w:pPr>
              <w:jc w:val="both"/>
              <w:rPr>
                <w:i/>
                <w:sz w:val="18"/>
                <w:szCs w:val="20"/>
              </w:rPr>
            </w:pPr>
          </w:p>
          <w:p w14:paraId="1FB0A8BC" w14:textId="77777777" w:rsidR="00B4402A" w:rsidRPr="00B4402A" w:rsidRDefault="00B4402A" w:rsidP="00B4402A">
            <w:pPr>
              <w:jc w:val="both"/>
              <w:rPr>
                <w:i/>
                <w:sz w:val="18"/>
                <w:szCs w:val="20"/>
              </w:rPr>
            </w:pPr>
            <w:r w:rsidRPr="00B4402A">
              <w:rPr>
                <w:i/>
                <w:sz w:val="18"/>
                <w:szCs w:val="20"/>
              </w:rPr>
              <w:t>Ponadto należy zwrócić uwagę, że realizacja ww. celów strategicznych KAS wpisu</w:t>
            </w:r>
            <w:r w:rsidR="004B638E">
              <w:rPr>
                <w:i/>
                <w:sz w:val="18"/>
                <w:szCs w:val="20"/>
              </w:rPr>
              <w:t>-</w:t>
            </w:r>
            <w:r w:rsidRPr="00B4402A">
              <w:rPr>
                <w:i/>
                <w:sz w:val="18"/>
                <w:szCs w:val="20"/>
              </w:rPr>
              <w:t xml:space="preserve">je się w Strategię na Rzecz Odpowiedzialnego Rozwoju do roku 2020 (z perspektywą do 2030 r.), cel: Stabilne, efektywne i zrównoważone finanse publiczne dla obszaru: finanse publiczne. </w:t>
            </w:r>
          </w:p>
          <w:p w14:paraId="57460033" w14:textId="77777777" w:rsidR="00B4402A" w:rsidRPr="00B4402A" w:rsidRDefault="00B4402A" w:rsidP="00B4402A">
            <w:pPr>
              <w:jc w:val="both"/>
              <w:rPr>
                <w:i/>
                <w:sz w:val="18"/>
                <w:szCs w:val="20"/>
              </w:rPr>
            </w:pPr>
          </w:p>
          <w:p w14:paraId="33827E71" w14:textId="77777777" w:rsidR="00B4402A" w:rsidRPr="00B4402A" w:rsidRDefault="00B4402A" w:rsidP="00B4402A">
            <w:pPr>
              <w:jc w:val="both"/>
              <w:rPr>
                <w:i/>
                <w:sz w:val="18"/>
                <w:szCs w:val="20"/>
              </w:rPr>
            </w:pPr>
            <w:r w:rsidRPr="00B4402A">
              <w:rPr>
                <w:i/>
                <w:sz w:val="18"/>
                <w:szCs w:val="20"/>
              </w:rPr>
              <w:t>Projekt zakłada reali</w:t>
            </w:r>
            <w:r w:rsidR="004C17F8">
              <w:rPr>
                <w:i/>
                <w:sz w:val="18"/>
                <w:szCs w:val="20"/>
              </w:rPr>
              <w:t>zację następujących wskaźników:</w:t>
            </w:r>
          </w:p>
          <w:p w14:paraId="30398DB1" w14:textId="77777777" w:rsidR="00B4402A" w:rsidRPr="00B4402A" w:rsidRDefault="00B4402A" w:rsidP="00B4402A">
            <w:pPr>
              <w:jc w:val="both"/>
              <w:rPr>
                <w:i/>
                <w:sz w:val="18"/>
                <w:szCs w:val="20"/>
              </w:rPr>
            </w:pPr>
            <w:r w:rsidRPr="00B4402A">
              <w:rPr>
                <w:i/>
                <w:sz w:val="18"/>
                <w:szCs w:val="20"/>
              </w:rPr>
              <w:t>I. Wskaźniki produktu:</w:t>
            </w:r>
          </w:p>
          <w:p w14:paraId="2AFD9492" w14:textId="77777777" w:rsidR="00B4402A" w:rsidRPr="00B4402A" w:rsidRDefault="00B4402A" w:rsidP="00B4402A">
            <w:pPr>
              <w:jc w:val="both"/>
              <w:rPr>
                <w:i/>
                <w:sz w:val="18"/>
                <w:szCs w:val="20"/>
              </w:rPr>
            </w:pPr>
            <w:r w:rsidRPr="00B4402A">
              <w:rPr>
                <w:i/>
                <w:sz w:val="18"/>
                <w:szCs w:val="20"/>
              </w:rPr>
              <w:t xml:space="preserve">Wartością docelową jest na dzień 31.12.2017 </w:t>
            </w:r>
            <w:proofErr w:type="gramStart"/>
            <w:r w:rsidRPr="00B4402A">
              <w:rPr>
                <w:i/>
                <w:sz w:val="18"/>
                <w:szCs w:val="20"/>
              </w:rPr>
              <w:t>r</w:t>
            </w:r>
            <w:proofErr w:type="gramEnd"/>
            <w:r w:rsidRPr="00B4402A">
              <w:rPr>
                <w:i/>
                <w:sz w:val="18"/>
                <w:szCs w:val="20"/>
              </w:rPr>
              <w:t>. – L = 3,5</w:t>
            </w:r>
          </w:p>
          <w:p w14:paraId="5D3973A3" w14:textId="77777777" w:rsidR="00B4402A" w:rsidRPr="00B4402A" w:rsidRDefault="00B4402A" w:rsidP="00B4402A">
            <w:pPr>
              <w:jc w:val="both"/>
              <w:rPr>
                <w:i/>
                <w:sz w:val="18"/>
                <w:szCs w:val="20"/>
              </w:rPr>
            </w:pPr>
            <w:r w:rsidRPr="00B4402A">
              <w:rPr>
                <w:i/>
                <w:sz w:val="18"/>
                <w:szCs w:val="20"/>
              </w:rPr>
              <w:t xml:space="preserve">Oddany do eksploatacji moduł </w:t>
            </w:r>
            <w:proofErr w:type="spellStart"/>
            <w:r w:rsidRPr="00B4402A">
              <w:rPr>
                <w:i/>
                <w:sz w:val="18"/>
                <w:szCs w:val="20"/>
              </w:rPr>
              <w:t>geolokalizacji</w:t>
            </w:r>
            <w:proofErr w:type="spellEnd"/>
            <w:r w:rsidRPr="00B4402A">
              <w:rPr>
                <w:i/>
                <w:sz w:val="18"/>
                <w:szCs w:val="20"/>
              </w:rPr>
              <w:t xml:space="preserve"> – termin 31.12.2017 </w:t>
            </w:r>
            <w:proofErr w:type="gramStart"/>
            <w:r w:rsidRPr="00B4402A">
              <w:rPr>
                <w:i/>
                <w:sz w:val="18"/>
                <w:szCs w:val="20"/>
              </w:rPr>
              <w:t>r</w:t>
            </w:r>
            <w:proofErr w:type="gramEnd"/>
            <w:r w:rsidRPr="00B4402A">
              <w:rPr>
                <w:i/>
                <w:sz w:val="18"/>
                <w:szCs w:val="20"/>
              </w:rPr>
              <w:t>. – 1 pkt.</w:t>
            </w:r>
          </w:p>
          <w:p w14:paraId="001622D0" w14:textId="77777777" w:rsidR="00B4402A" w:rsidRPr="00B4402A" w:rsidRDefault="00B4402A" w:rsidP="00B4402A">
            <w:pPr>
              <w:jc w:val="both"/>
              <w:rPr>
                <w:i/>
                <w:sz w:val="18"/>
                <w:szCs w:val="20"/>
              </w:rPr>
            </w:pPr>
            <w:r w:rsidRPr="00B4402A">
              <w:rPr>
                <w:i/>
                <w:sz w:val="18"/>
                <w:szCs w:val="20"/>
              </w:rPr>
              <w:t xml:space="preserve">Udostępniona darmowa aplikacja mobilna – termin 01.12.2017 </w:t>
            </w:r>
            <w:proofErr w:type="gramStart"/>
            <w:r w:rsidRPr="00B4402A">
              <w:rPr>
                <w:i/>
                <w:sz w:val="18"/>
                <w:szCs w:val="20"/>
              </w:rPr>
              <w:t>r</w:t>
            </w:r>
            <w:proofErr w:type="gramEnd"/>
            <w:r w:rsidRPr="00B4402A">
              <w:rPr>
                <w:i/>
                <w:sz w:val="18"/>
                <w:szCs w:val="20"/>
              </w:rPr>
              <w:t>. – 1 pkt.</w:t>
            </w:r>
          </w:p>
          <w:p w14:paraId="6C423CEF" w14:textId="77777777" w:rsidR="00B4402A" w:rsidRPr="00B4402A" w:rsidRDefault="00B4402A" w:rsidP="00B4402A">
            <w:pPr>
              <w:jc w:val="both"/>
              <w:rPr>
                <w:i/>
                <w:sz w:val="18"/>
                <w:szCs w:val="20"/>
              </w:rPr>
            </w:pPr>
            <w:r w:rsidRPr="00B4402A">
              <w:rPr>
                <w:i/>
                <w:sz w:val="18"/>
                <w:szCs w:val="20"/>
              </w:rPr>
              <w:t xml:space="preserve">Zintegrowane zewnętrzne systemy </w:t>
            </w:r>
            <w:proofErr w:type="spellStart"/>
            <w:r w:rsidRPr="00B4402A">
              <w:rPr>
                <w:i/>
                <w:sz w:val="18"/>
                <w:szCs w:val="20"/>
              </w:rPr>
              <w:t>geolokalizacji</w:t>
            </w:r>
            <w:proofErr w:type="spellEnd"/>
            <w:r w:rsidRPr="00B4402A">
              <w:rPr>
                <w:i/>
                <w:sz w:val="18"/>
                <w:szCs w:val="20"/>
              </w:rPr>
              <w:t xml:space="preserve"> – termin 31.12.2017 </w:t>
            </w:r>
            <w:proofErr w:type="gramStart"/>
            <w:r w:rsidRPr="00B4402A">
              <w:rPr>
                <w:i/>
                <w:sz w:val="18"/>
                <w:szCs w:val="20"/>
              </w:rPr>
              <w:t>r</w:t>
            </w:r>
            <w:proofErr w:type="gramEnd"/>
            <w:r w:rsidRPr="00B4402A">
              <w:rPr>
                <w:i/>
                <w:sz w:val="18"/>
                <w:szCs w:val="20"/>
              </w:rPr>
              <w:t>. – 1 pkt.</w:t>
            </w:r>
          </w:p>
          <w:p w14:paraId="44287F95" w14:textId="77777777" w:rsidR="00B4402A" w:rsidRPr="00B4402A" w:rsidRDefault="00B4402A" w:rsidP="00B4402A">
            <w:pPr>
              <w:jc w:val="both"/>
              <w:rPr>
                <w:i/>
                <w:sz w:val="18"/>
                <w:szCs w:val="20"/>
              </w:rPr>
            </w:pPr>
            <w:r w:rsidRPr="00B4402A">
              <w:rPr>
                <w:i/>
                <w:sz w:val="18"/>
                <w:szCs w:val="20"/>
              </w:rPr>
              <w:t>II. Wskaźniki rezultatu:</w:t>
            </w:r>
          </w:p>
          <w:p w14:paraId="60B347D3" w14:textId="77777777" w:rsidR="00B4402A" w:rsidRDefault="00B4402A" w:rsidP="00B4402A">
            <w:pPr>
              <w:jc w:val="both"/>
              <w:rPr>
                <w:i/>
                <w:sz w:val="18"/>
                <w:szCs w:val="20"/>
              </w:rPr>
            </w:pPr>
            <w:r w:rsidRPr="00B4402A">
              <w:rPr>
                <w:i/>
                <w:sz w:val="18"/>
                <w:szCs w:val="20"/>
              </w:rPr>
              <w:t xml:space="preserve">Wartością docelową jest na dzień </w:t>
            </w:r>
            <w:r w:rsidR="004B638E">
              <w:rPr>
                <w:i/>
                <w:sz w:val="18"/>
                <w:szCs w:val="20"/>
              </w:rPr>
              <w:t>0</w:t>
            </w:r>
            <w:r w:rsidRPr="00B4402A">
              <w:rPr>
                <w:i/>
                <w:sz w:val="18"/>
                <w:szCs w:val="20"/>
              </w:rPr>
              <w:t>1.1</w:t>
            </w:r>
            <w:r w:rsidR="004B638E">
              <w:rPr>
                <w:i/>
                <w:sz w:val="18"/>
                <w:szCs w:val="20"/>
              </w:rPr>
              <w:t>0.2018</w:t>
            </w:r>
            <w:r w:rsidRPr="00B4402A">
              <w:rPr>
                <w:i/>
                <w:sz w:val="18"/>
                <w:szCs w:val="20"/>
              </w:rPr>
              <w:t xml:space="preserve"> </w:t>
            </w:r>
            <w:proofErr w:type="gramStart"/>
            <w:r w:rsidRPr="00B4402A">
              <w:rPr>
                <w:i/>
                <w:sz w:val="18"/>
                <w:szCs w:val="20"/>
              </w:rPr>
              <w:t>r</w:t>
            </w:r>
            <w:proofErr w:type="gramEnd"/>
            <w:r w:rsidRPr="00B4402A">
              <w:rPr>
                <w:i/>
                <w:sz w:val="18"/>
                <w:szCs w:val="20"/>
              </w:rPr>
              <w:t>. – L = 3,5</w:t>
            </w:r>
          </w:p>
          <w:p w14:paraId="58D75B8B" w14:textId="77777777" w:rsidR="004B638E" w:rsidRPr="00B4402A" w:rsidRDefault="008D2A59" w:rsidP="00B4402A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Wartość bazowa – 0,5 pkt.</w:t>
            </w:r>
          </w:p>
          <w:p w14:paraId="58DFC0EE" w14:textId="77777777" w:rsidR="00B4402A" w:rsidRPr="00B4402A" w:rsidRDefault="00B4402A" w:rsidP="00B4402A">
            <w:pPr>
              <w:jc w:val="both"/>
              <w:rPr>
                <w:i/>
                <w:sz w:val="18"/>
                <w:szCs w:val="20"/>
              </w:rPr>
            </w:pPr>
            <w:r w:rsidRPr="00B4402A">
              <w:rPr>
                <w:i/>
                <w:sz w:val="18"/>
                <w:szCs w:val="20"/>
              </w:rPr>
              <w:t xml:space="preserve">Oddany do eksploatacji moduł </w:t>
            </w:r>
            <w:proofErr w:type="spellStart"/>
            <w:r w:rsidRPr="00B4402A">
              <w:rPr>
                <w:i/>
                <w:sz w:val="18"/>
                <w:szCs w:val="20"/>
              </w:rPr>
              <w:t>geolokalizacji</w:t>
            </w:r>
            <w:proofErr w:type="spellEnd"/>
            <w:r w:rsidRPr="00B4402A">
              <w:rPr>
                <w:i/>
                <w:sz w:val="18"/>
                <w:szCs w:val="20"/>
              </w:rPr>
              <w:t xml:space="preserve"> – termin 3</w:t>
            </w:r>
            <w:r w:rsidR="004C17F8">
              <w:rPr>
                <w:i/>
                <w:sz w:val="18"/>
                <w:szCs w:val="20"/>
              </w:rPr>
              <w:t>1</w:t>
            </w:r>
            <w:r w:rsidRPr="00B4402A">
              <w:rPr>
                <w:i/>
                <w:sz w:val="18"/>
                <w:szCs w:val="20"/>
              </w:rPr>
              <w:t>.</w:t>
            </w:r>
            <w:r w:rsidR="004C17F8">
              <w:rPr>
                <w:i/>
                <w:sz w:val="18"/>
                <w:szCs w:val="20"/>
              </w:rPr>
              <w:t>0</w:t>
            </w:r>
            <w:r w:rsidR="004B638E">
              <w:rPr>
                <w:i/>
                <w:sz w:val="18"/>
                <w:szCs w:val="20"/>
              </w:rPr>
              <w:t>8</w:t>
            </w:r>
            <w:r w:rsidRPr="00B4402A">
              <w:rPr>
                <w:i/>
                <w:sz w:val="18"/>
                <w:szCs w:val="20"/>
              </w:rPr>
              <w:t>.201</w:t>
            </w:r>
            <w:r w:rsidR="004C17F8">
              <w:rPr>
                <w:i/>
                <w:sz w:val="18"/>
                <w:szCs w:val="20"/>
              </w:rPr>
              <w:t>8</w:t>
            </w:r>
            <w:r w:rsidRPr="00B4402A">
              <w:rPr>
                <w:i/>
                <w:sz w:val="18"/>
                <w:szCs w:val="20"/>
              </w:rPr>
              <w:t xml:space="preserve"> </w:t>
            </w:r>
            <w:proofErr w:type="gramStart"/>
            <w:r w:rsidRPr="00B4402A">
              <w:rPr>
                <w:i/>
                <w:sz w:val="18"/>
                <w:szCs w:val="20"/>
              </w:rPr>
              <w:t>r</w:t>
            </w:r>
            <w:proofErr w:type="gramEnd"/>
            <w:r w:rsidRPr="00B4402A">
              <w:rPr>
                <w:i/>
                <w:sz w:val="18"/>
                <w:szCs w:val="20"/>
              </w:rPr>
              <w:t xml:space="preserve">. – </w:t>
            </w:r>
            <w:r w:rsidR="004C17F8">
              <w:rPr>
                <w:i/>
                <w:sz w:val="18"/>
                <w:szCs w:val="20"/>
              </w:rPr>
              <w:t>1</w:t>
            </w:r>
            <w:r w:rsidRPr="00B4402A">
              <w:rPr>
                <w:i/>
                <w:sz w:val="18"/>
                <w:szCs w:val="20"/>
              </w:rPr>
              <w:t xml:space="preserve"> pkt.</w:t>
            </w:r>
          </w:p>
          <w:p w14:paraId="1AF957B5" w14:textId="77777777" w:rsidR="00B4402A" w:rsidRPr="00B4402A" w:rsidRDefault="00B4402A" w:rsidP="00B4402A">
            <w:pPr>
              <w:jc w:val="both"/>
              <w:rPr>
                <w:i/>
                <w:sz w:val="18"/>
                <w:szCs w:val="20"/>
              </w:rPr>
            </w:pPr>
            <w:r w:rsidRPr="00B4402A">
              <w:rPr>
                <w:i/>
                <w:sz w:val="18"/>
                <w:szCs w:val="20"/>
              </w:rPr>
              <w:t>Udostępniona darmowa aplikacja mobilna – term</w:t>
            </w:r>
            <w:r w:rsidR="004C17F8">
              <w:rPr>
                <w:i/>
                <w:sz w:val="18"/>
                <w:szCs w:val="20"/>
              </w:rPr>
              <w:t>in 31</w:t>
            </w:r>
            <w:r w:rsidRPr="00B4402A">
              <w:rPr>
                <w:i/>
                <w:sz w:val="18"/>
                <w:szCs w:val="20"/>
              </w:rPr>
              <w:t>.</w:t>
            </w:r>
            <w:r w:rsidR="004C17F8">
              <w:rPr>
                <w:i/>
                <w:sz w:val="18"/>
                <w:szCs w:val="20"/>
              </w:rPr>
              <w:t>0</w:t>
            </w:r>
            <w:r w:rsidR="004B638E">
              <w:rPr>
                <w:i/>
                <w:sz w:val="18"/>
                <w:szCs w:val="20"/>
              </w:rPr>
              <w:t>8</w:t>
            </w:r>
            <w:r w:rsidRPr="00B4402A">
              <w:rPr>
                <w:i/>
                <w:sz w:val="18"/>
                <w:szCs w:val="20"/>
              </w:rPr>
              <w:t>.201</w:t>
            </w:r>
            <w:r w:rsidR="004C17F8">
              <w:rPr>
                <w:i/>
                <w:sz w:val="18"/>
                <w:szCs w:val="20"/>
              </w:rPr>
              <w:t>8</w:t>
            </w:r>
            <w:r w:rsidRPr="00B4402A">
              <w:rPr>
                <w:i/>
                <w:sz w:val="18"/>
                <w:szCs w:val="20"/>
              </w:rPr>
              <w:t xml:space="preserve"> </w:t>
            </w:r>
            <w:proofErr w:type="gramStart"/>
            <w:r w:rsidRPr="00B4402A">
              <w:rPr>
                <w:i/>
                <w:sz w:val="18"/>
                <w:szCs w:val="20"/>
              </w:rPr>
              <w:t>r</w:t>
            </w:r>
            <w:proofErr w:type="gramEnd"/>
            <w:r w:rsidRPr="00B4402A">
              <w:rPr>
                <w:i/>
                <w:sz w:val="18"/>
                <w:szCs w:val="20"/>
              </w:rPr>
              <w:t xml:space="preserve">. – </w:t>
            </w:r>
            <w:r w:rsidR="004C17F8">
              <w:rPr>
                <w:i/>
                <w:sz w:val="18"/>
                <w:szCs w:val="20"/>
              </w:rPr>
              <w:t>1</w:t>
            </w:r>
            <w:r w:rsidRPr="00B4402A">
              <w:rPr>
                <w:i/>
                <w:sz w:val="18"/>
                <w:szCs w:val="20"/>
              </w:rPr>
              <w:t xml:space="preserve"> pkt.</w:t>
            </w:r>
          </w:p>
          <w:p w14:paraId="6AA68E26" w14:textId="77777777" w:rsidR="00B4402A" w:rsidRPr="00B4402A" w:rsidRDefault="00B4402A" w:rsidP="00B4402A">
            <w:pPr>
              <w:jc w:val="both"/>
              <w:rPr>
                <w:i/>
                <w:sz w:val="18"/>
                <w:szCs w:val="20"/>
              </w:rPr>
            </w:pPr>
            <w:r w:rsidRPr="00B4402A">
              <w:rPr>
                <w:i/>
                <w:sz w:val="18"/>
                <w:szCs w:val="20"/>
              </w:rPr>
              <w:t xml:space="preserve">Zintegrowane zewnętrzne systemy </w:t>
            </w:r>
            <w:proofErr w:type="spellStart"/>
            <w:r w:rsidRPr="00B4402A">
              <w:rPr>
                <w:i/>
                <w:sz w:val="18"/>
                <w:szCs w:val="20"/>
              </w:rPr>
              <w:t>geolokalizacji</w:t>
            </w:r>
            <w:proofErr w:type="spellEnd"/>
            <w:r w:rsidRPr="00B4402A">
              <w:rPr>
                <w:i/>
                <w:sz w:val="18"/>
                <w:szCs w:val="20"/>
              </w:rPr>
              <w:t xml:space="preserve"> – termin 31.</w:t>
            </w:r>
            <w:r w:rsidR="004C17F8">
              <w:rPr>
                <w:i/>
                <w:sz w:val="18"/>
                <w:szCs w:val="20"/>
              </w:rPr>
              <w:t>0</w:t>
            </w:r>
            <w:r w:rsidR="004B638E">
              <w:rPr>
                <w:i/>
                <w:sz w:val="18"/>
                <w:szCs w:val="20"/>
              </w:rPr>
              <w:t>8</w:t>
            </w:r>
            <w:r w:rsidRPr="00B4402A">
              <w:rPr>
                <w:i/>
                <w:sz w:val="18"/>
                <w:szCs w:val="20"/>
              </w:rPr>
              <w:t>.201</w:t>
            </w:r>
            <w:r w:rsidR="004C17F8">
              <w:rPr>
                <w:i/>
                <w:sz w:val="18"/>
                <w:szCs w:val="20"/>
              </w:rPr>
              <w:t>8</w:t>
            </w:r>
            <w:r w:rsidRPr="00B4402A">
              <w:rPr>
                <w:i/>
                <w:sz w:val="18"/>
                <w:szCs w:val="20"/>
              </w:rPr>
              <w:t xml:space="preserve"> </w:t>
            </w:r>
            <w:proofErr w:type="gramStart"/>
            <w:r w:rsidRPr="00B4402A">
              <w:rPr>
                <w:i/>
                <w:sz w:val="18"/>
                <w:szCs w:val="20"/>
              </w:rPr>
              <w:t>r</w:t>
            </w:r>
            <w:proofErr w:type="gramEnd"/>
            <w:r w:rsidRPr="00B4402A">
              <w:rPr>
                <w:i/>
                <w:sz w:val="18"/>
                <w:szCs w:val="20"/>
              </w:rPr>
              <w:t xml:space="preserve">. – </w:t>
            </w:r>
            <w:r w:rsidR="004C17F8">
              <w:rPr>
                <w:i/>
                <w:sz w:val="18"/>
                <w:szCs w:val="20"/>
              </w:rPr>
              <w:t>1</w:t>
            </w:r>
            <w:r w:rsidRPr="00B4402A">
              <w:rPr>
                <w:i/>
                <w:sz w:val="18"/>
                <w:szCs w:val="20"/>
              </w:rPr>
              <w:t xml:space="preserve"> pkt.</w:t>
            </w:r>
          </w:p>
          <w:p w14:paraId="12A82804" w14:textId="77777777" w:rsidR="00920CE8" w:rsidRPr="002450C4" w:rsidRDefault="00B4402A" w:rsidP="00B92966">
            <w:pPr>
              <w:jc w:val="both"/>
              <w:rPr>
                <w:i/>
                <w:sz w:val="18"/>
                <w:szCs w:val="20"/>
              </w:rPr>
            </w:pPr>
            <w:r w:rsidRPr="00B4402A">
              <w:rPr>
                <w:i/>
                <w:sz w:val="18"/>
                <w:szCs w:val="20"/>
              </w:rPr>
              <w:t xml:space="preserve">Z uwagi na prowadzenie dialogu z Komisją Europejską termin wejścia w życie przepisów ustawy pierwotnie planowany na 31.12.2017 </w:t>
            </w:r>
            <w:proofErr w:type="gramStart"/>
            <w:r w:rsidRPr="00B4402A">
              <w:rPr>
                <w:i/>
                <w:sz w:val="18"/>
                <w:szCs w:val="20"/>
              </w:rPr>
              <w:t>r</w:t>
            </w:r>
            <w:proofErr w:type="gramEnd"/>
            <w:r w:rsidRPr="00B4402A">
              <w:rPr>
                <w:i/>
                <w:sz w:val="18"/>
                <w:szCs w:val="20"/>
              </w:rPr>
              <w:t>. został przesunięty, stąd kolejna data wejścia w życie przepisów ustawy to 01.</w:t>
            </w:r>
            <w:r>
              <w:rPr>
                <w:i/>
                <w:sz w:val="18"/>
                <w:szCs w:val="20"/>
              </w:rPr>
              <w:t>10</w:t>
            </w:r>
            <w:r w:rsidRPr="00B4402A">
              <w:rPr>
                <w:i/>
                <w:sz w:val="18"/>
                <w:szCs w:val="20"/>
              </w:rPr>
              <w:t xml:space="preserve">.2018 </w:t>
            </w:r>
            <w:proofErr w:type="gramStart"/>
            <w:r w:rsidRPr="00B4402A">
              <w:rPr>
                <w:i/>
                <w:sz w:val="18"/>
                <w:szCs w:val="20"/>
              </w:rPr>
              <w:t>r</w:t>
            </w:r>
            <w:proofErr w:type="gramEnd"/>
            <w:r w:rsidRPr="00B4402A">
              <w:rPr>
                <w:i/>
                <w:sz w:val="18"/>
                <w:szCs w:val="20"/>
              </w:rPr>
              <w:t>.</w:t>
            </w:r>
            <w:r>
              <w:rPr>
                <w:i/>
                <w:sz w:val="18"/>
                <w:szCs w:val="20"/>
              </w:rPr>
              <w:t xml:space="preserve"> </w:t>
            </w:r>
            <w:r w:rsidRPr="00B4402A">
              <w:rPr>
                <w:i/>
                <w:sz w:val="18"/>
                <w:szCs w:val="20"/>
              </w:rPr>
              <w:t xml:space="preserve">Tym samym </w:t>
            </w:r>
            <w:r w:rsidRPr="00B4402A">
              <w:rPr>
                <w:i/>
                <w:sz w:val="18"/>
                <w:szCs w:val="20"/>
              </w:rPr>
              <w:lastRenderedPageBreak/>
              <w:t>założone terminy dostarczenia poszczególnych usług mus</w:t>
            </w:r>
            <w:r w:rsidR="00B92966">
              <w:rPr>
                <w:i/>
                <w:sz w:val="18"/>
                <w:szCs w:val="20"/>
              </w:rPr>
              <w:t>iały</w:t>
            </w:r>
            <w:r w:rsidRPr="00B4402A">
              <w:rPr>
                <w:i/>
                <w:sz w:val="18"/>
                <w:szCs w:val="20"/>
              </w:rPr>
              <w:t xml:space="preserve"> uwzględnić tę okoliczność.</w:t>
            </w:r>
          </w:p>
        </w:tc>
      </w:tr>
      <w:tr w:rsidR="007A0A3D" w:rsidRPr="002450C4" w14:paraId="0B5ECF99" w14:textId="77777777" w:rsidTr="00920CE8">
        <w:tc>
          <w:tcPr>
            <w:tcW w:w="480" w:type="dxa"/>
          </w:tcPr>
          <w:p w14:paraId="0D29F122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1D146D0F" w14:textId="77777777" w:rsidR="007A0A3D" w:rsidRPr="002450C4" w:rsidRDefault="005D4188" w:rsidP="00A6601B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Ryzyka i problemy</w:t>
            </w:r>
          </w:p>
        </w:tc>
        <w:tc>
          <w:tcPr>
            <w:tcW w:w="6232" w:type="dxa"/>
          </w:tcPr>
          <w:p w14:paraId="33A8ABC5" w14:textId="77777777" w:rsidR="004C17F8" w:rsidRPr="004C17F8" w:rsidRDefault="004C17F8" w:rsidP="004C17F8">
            <w:pPr>
              <w:jc w:val="both"/>
              <w:rPr>
                <w:i/>
                <w:sz w:val="18"/>
                <w:szCs w:val="20"/>
              </w:rPr>
            </w:pPr>
            <w:r w:rsidRPr="004C17F8">
              <w:rPr>
                <w:i/>
                <w:sz w:val="18"/>
                <w:szCs w:val="20"/>
              </w:rPr>
              <w:t>Stanowisko zawarte w komentarzu Komisji Europejskiej zawiera</w:t>
            </w:r>
            <w:r>
              <w:rPr>
                <w:i/>
                <w:sz w:val="18"/>
                <w:szCs w:val="20"/>
              </w:rPr>
              <w:t>ło</w:t>
            </w:r>
            <w:r w:rsidRPr="004C17F8">
              <w:rPr>
                <w:i/>
                <w:sz w:val="18"/>
                <w:szCs w:val="20"/>
              </w:rPr>
              <w:t xml:space="preserve"> dwie uwagi. Pierwsza przedstawia stanowisko, że Umowa europejska ADR nie przewiduje wykorzystania urządzeń do </w:t>
            </w:r>
            <w:proofErr w:type="spellStart"/>
            <w:r w:rsidRPr="004C17F8">
              <w:rPr>
                <w:i/>
                <w:sz w:val="18"/>
                <w:szCs w:val="20"/>
              </w:rPr>
              <w:t>geolokalizacji</w:t>
            </w:r>
            <w:proofErr w:type="spellEnd"/>
            <w:r w:rsidRPr="004C17F8">
              <w:rPr>
                <w:i/>
                <w:sz w:val="18"/>
                <w:szCs w:val="20"/>
              </w:rPr>
              <w:t xml:space="preserve"> przy przewozie towarów niebezpiecznych. Druga uwaga zawiera stanowisko wskazujące na przetwarzanie nadmiernej liczby danych osobowych dotyczących kierującego.</w:t>
            </w:r>
          </w:p>
          <w:p w14:paraId="68D27DCE" w14:textId="77777777" w:rsidR="004C17F8" w:rsidRPr="004C17F8" w:rsidRDefault="004C17F8" w:rsidP="004C17F8">
            <w:pPr>
              <w:jc w:val="both"/>
              <w:rPr>
                <w:i/>
                <w:sz w:val="18"/>
                <w:szCs w:val="20"/>
              </w:rPr>
            </w:pPr>
            <w:r w:rsidRPr="004C17F8">
              <w:rPr>
                <w:i/>
                <w:sz w:val="18"/>
                <w:szCs w:val="20"/>
              </w:rPr>
              <w:t>Strona polska 8 grudnia 2017 r. przekazała odpowiedź na przesłany przez Komisję komentarz.</w:t>
            </w:r>
          </w:p>
          <w:p w14:paraId="6E312E7C" w14:textId="77777777" w:rsidR="004C17F8" w:rsidRPr="004C17F8" w:rsidRDefault="004C17F8" w:rsidP="004C17F8">
            <w:pPr>
              <w:jc w:val="both"/>
              <w:rPr>
                <w:i/>
                <w:sz w:val="18"/>
                <w:szCs w:val="20"/>
              </w:rPr>
            </w:pPr>
            <w:r w:rsidRPr="004C17F8">
              <w:rPr>
                <w:i/>
                <w:sz w:val="18"/>
                <w:szCs w:val="20"/>
              </w:rPr>
              <w:t>Brak odpowiedzi na pismo strony polskiej skierowane do Komisji opóźni</w:t>
            </w:r>
            <w:r>
              <w:rPr>
                <w:i/>
                <w:sz w:val="18"/>
                <w:szCs w:val="20"/>
              </w:rPr>
              <w:t>ło</w:t>
            </w:r>
            <w:r w:rsidRPr="004C17F8">
              <w:rPr>
                <w:i/>
                <w:sz w:val="18"/>
                <w:szCs w:val="20"/>
              </w:rPr>
              <w:t xml:space="preserve"> kontynuowanie procesu legislacyjnego i tym samym wdrożenie produkcyjne realizowanych produktów.</w:t>
            </w:r>
          </w:p>
          <w:p w14:paraId="6FD14567" w14:textId="77777777" w:rsidR="004C17F8" w:rsidRDefault="004C17F8" w:rsidP="004C17F8">
            <w:pPr>
              <w:jc w:val="both"/>
              <w:rPr>
                <w:i/>
                <w:sz w:val="18"/>
                <w:szCs w:val="20"/>
              </w:rPr>
            </w:pPr>
            <w:r w:rsidRPr="004C17F8">
              <w:rPr>
                <w:i/>
                <w:sz w:val="18"/>
                <w:szCs w:val="20"/>
              </w:rPr>
              <w:t>W ramach środków zaradczych o</w:t>
            </w:r>
            <w:r>
              <w:rPr>
                <w:i/>
                <w:sz w:val="18"/>
                <w:szCs w:val="20"/>
              </w:rPr>
              <w:t>dbyło się 9 lutego 2018 r.</w:t>
            </w:r>
            <w:r w:rsidRPr="004C17F8">
              <w:rPr>
                <w:i/>
                <w:sz w:val="18"/>
                <w:szCs w:val="20"/>
              </w:rPr>
              <w:t xml:space="preserve"> spotkanie z</w:t>
            </w:r>
            <w:r w:rsidR="004B638E">
              <w:rPr>
                <w:i/>
                <w:sz w:val="18"/>
                <w:szCs w:val="20"/>
              </w:rPr>
              <w:t> </w:t>
            </w:r>
            <w:r w:rsidRPr="004C17F8">
              <w:rPr>
                <w:i/>
                <w:sz w:val="18"/>
                <w:szCs w:val="20"/>
              </w:rPr>
              <w:t>przedstawicielami KE</w:t>
            </w:r>
            <w:r>
              <w:rPr>
                <w:i/>
                <w:sz w:val="18"/>
                <w:szCs w:val="20"/>
              </w:rPr>
              <w:t>.</w:t>
            </w:r>
          </w:p>
          <w:p w14:paraId="4A607215" w14:textId="77777777" w:rsidR="004C17F8" w:rsidRDefault="004C17F8" w:rsidP="004C17F8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Komisja przyjęła wyjaśnienia strony polskiej.</w:t>
            </w:r>
          </w:p>
          <w:p w14:paraId="71057E98" w14:textId="77777777" w:rsidR="004C17F8" w:rsidRPr="004C17F8" w:rsidRDefault="004C17F8" w:rsidP="004C17F8">
            <w:pPr>
              <w:jc w:val="both"/>
              <w:rPr>
                <w:i/>
                <w:sz w:val="18"/>
                <w:szCs w:val="20"/>
              </w:rPr>
            </w:pPr>
            <w:r w:rsidRPr="004C17F8">
              <w:rPr>
                <w:i/>
                <w:sz w:val="18"/>
                <w:szCs w:val="20"/>
              </w:rPr>
              <w:t>Uwagi zgłoszone do projektu wpłynęły na niedotrzymanie terminów osiągnięcia niżej wymienionych kamieni milowych:</w:t>
            </w:r>
          </w:p>
          <w:p w14:paraId="7AD68DCB" w14:textId="77777777" w:rsidR="004C17F8" w:rsidRPr="004C17F8" w:rsidRDefault="004C17F8" w:rsidP="004C17F8">
            <w:pPr>
              <w:jc w:val="both"/>
              <w:rPr>
                <w:i/>
                <w:sz w:val="18"/>
                <w:szCs w:val="20"/>
              </w:rPr>
            </w:pPr>
            <w:proofErr w:type="gramStart"/>
            <w:r w:rsidRPr="004C17F8">
              <w:rPr>
                <w:i/>
                <w:sz w:val="18"/>
                <w:szCs w:val="20"/>
              </w:rPr>
              <w:t>1)</w:t>
            </w:r>
            <w:r w:rsidRPr="004C17F8">
              <w:rPr>
                <w:i/>
                <w:sz w:val="18"/>
                <w:szCs w:val="20"/>
              </w:rPr>
              <w:tab/>
              <w:t>Odebrany</w:t>
            </w:r>
            <w:proofErr w:type="gramEnd"/>
            <w:r w:rsidRPr="004C17F8">
              <w:rPr>
                <w:i/>
                <w:sz w:val="18"/>
                <w:szCs w:val="20"/>
              </w:rPr>
              <w:t xml:space="preserve"> Rejestr z modułem </w:t>
            </w:r>
            <w:proofErr w:type="spellStart"/>
            <w:r w:rsidRPr="004C17F8">
              <w:rPr>
                <w:i/>
                <w:sz w:val="18"/>
                <w:szCs w:val="20"/>
              </w:rPr>
              <w:t>geolokalizacji</w:t>
            </w:r>
            <w:proofErr w:type="spellEnd"/>
            <w:r>
              <w:rPr>
                <w:i/>
                <w:sz w:val="18"/>
                <w:szCs w:val="20"/>
              </w:rPr>
              <w:t>.</w:t>
            </w:r>
          </w:p>
          <w:p w14:paraId="140A9943" w14:textId="77777777" w:rsidR="004C17F8" w:rsidRPr="004C17F8" w:rsidRDefault="004C17F8" w:rsidP="004C17F8">
            <w:pPr>
              <w:jc w:val="both"/>
              <w:rPr>
                <w:i/>
                <w:sz w:val="18"/>
                <w:szCs w:val="20"/>
              </w:rPr>
            </w:pPr>
            <w:proofErr w:type="gramStart"/>
            <w:r w:rsidRPr="004C17F8">
              <w:rPr>
                <w:i/>
                <w:sz w:val="18"/>
                <w:szCs w:val="20"/>
              </w:rPr>
              <w:t>2)</w:t>
            </w:r>
            <w:r w:rsidRPr="004C17F8">
              <w:rPr>
                <w:i/>
                <w:sz w:val="18"/>
                <w:szCs w:val="20"/>
              </w:rPr>
              <w:tab/>
              <w:t>System</w:t>
            </w:r>
            <w:proofErr w:type="gramEnd"/>
            <w:r w:rsidRPr="004C17F8">
              <w:rPr>
                <w:i/>
                <w:sz w:val="18"/>
                <w:szCs w:val="20"/>
              </w:rPr>
              <w:t xml:space="preserve"> Rejestr zintegrowany z zewnętrznymi systemami lokalizacyjnymi</w:t>
            </w:r>
            <w:r>
              <w:rPr>
                <w:i/>
                <w:sz w:val="18"/>
                <w:szCs w:val="20"/>
              </w:rPr>
              <w:t>.</w:t>
            </w:r>
          </w:p>
          <w:p w14:paraId="75A66432" w14:textId="77777777" w:rsidR="007A0A3D" w:rsidRPr="002450C4" w:rsidRDefault="004C17F8" w:rsidP="004C17F8">
            <w:pPr>
              <w:jc w:val="both"/>
              <w:rPr>
                <w:i/>
                <w:sz w:val="18"/>
                <w:szCs w:val="20"/>
              </w:rPr>
            </w:pPr>
            <w:proofErr w:type="gramStart"/>
            <w:r w:rsidRPr="004C17F8">
              <w:rPr>
                <w:i/>
                <w:sz w:val="18"/>
                <w:szCs w:val="20"/>
              </w:rPr>
              <w:t>3)</w:t>
            </w:r>
            <w:r w:rsidRPr="004C17F8">
              <w:rPr>
                <w:i/>
                <w:sz w:val="18"/>
                <w:szCs w:val="20"/>
              </w:rPr>
              <w:tab/>
              <w:t>System</w:t>
            </w:r>
            <w:proofErr w:type="gramEnd"/>
            <w:r w:rsidRPr="004C17F8">
              <w:rPr>
                <w:i/>
                <w:sz w:val="18"/>
                <w:szCs w:val="20"/>
              </w:rPr>
              <w:t xml:space="preserve"> gotowy do eksploatacji</w:t>
            </w:r>
            <w:r>
              <w:rPr>
                <w:i/>
                <w:sz w:val="18"/>
                <w:szCs w:val="20"/>
              </w:rPr>
              <w:t>.</w:t>
            </w:r>
          </w:p>
        </w:tc>
      </w:tr>
      <w:tr w:rsidR="00813FEF" w:rsidRPr="002450C4" w14:paraId="19D5CEA2" w14:textId="77777777" w:rsidTr="00813FEF">
        <w:tc>
          <w:tcPr>
            <w:tcW w:w="480" w:type="dxa"/>
          </w:tcPr>
          <w:p w14:paraId="4F4ED6C1" w14:textId="77777777" w:rsidR="00813FEF" w:rsidRPr="002450C4" w:rsidRDefault="00813FEF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1E919078" w14:textId="77777777" w:rsidR="00813FEF" w:rsidRDefault="009D3D41" w:rsidP="009D3D4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U</w:t>
            </w:r>
            <w:r w:rsidR="00813FEF">
              <w:rPr>
                <w:sz w:val="18"/>
                <w:szCs w:val="20"/>
              </w:rPr>
              <w:t xml:space="preserve">zyskane korzyści </w:t>
            </w:r>
          </w:p>
        </w:tc>
        <w:tc>
          <w:tcPr>
            <w:tcW w:w="6232" w:type="dxa"/>
          </w:tcPr>
          <w:p w14:paraId="516003B7" w14:textId="77777777" w:rsidR="004C17F8" w:rsidRPr="004C17F8" w:rsidRDefault="004C17F8" w:rsidP="004C17F8">
            <w:pPr>
              <w:jc w:val="both"/>
              <w:rPr>
                <w:bCs/>
                <w:i/>
                <w:sz w:val="18"/>
                <w:szCs w:val="20"/>
              </w:rPr>
            </w:pPr>
            <w:r w:rsidRPr="004C17F8">
              <w:rPr>
                <w:bCs/>
                <w:i/>
                <w:sz w:val="18"/>
                <w:szCs w:val="20"/>
              </w:rPr>
              <w:t>Zgodnie z założeniami projektu nowe funkcjonalności wspierają konkurencyjność legalnie działających i uczciwych podmiotów gospodarczych, wspierają wykonywanie czynności kontrolnych na drodze - ujednolicają procedury oraz w</w:t>
            </w:r>
            <w:r w:rsidR="00B92966">
              <w:rPr>
                <w:bCs/>
                <w:i/>
                <w:sz w:val="18"/>
                <w:szCs w:val="20"/>
              </w:rPr>
              <w:t> </w:t>
            </w:r>
            <w:r w:rsidRPr="004C17F8">
              <w:rPr>
                <w:bCs/>
                <w:i/>
                <w:sz w:val="18"/>
                <w:szCs w:val="20"/>
              </w:rPr>
              <w:t>efekcie końcowym wspierają walkę z "szarą strefą", co wpływa na ograniczenie poziomu uszczupleń w kluczowych dla budżetu Państwa podatkach, tj. podatku od towarów i usług oraz podatku akcyzowym.</w:t>
            </w:r>
          </w:p>
          <w:p w14:paraId="6B7B5F31" w14:textId="77777777" w:rsidR="004C17F8" w:rsidRPr="004C17F8" w:rsidRDefault="004C17F8" w:rsidP="004C17F8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>O</w:t>
            </w:r>
            <w:r w:rsidRPr="004C17F8">
              <w:rPr>
                <w:bCs/>
                <w:i/>
                <w:sz w:val="18"/>
                <w:szCs w:val="20"/>
              </w:rPr>
              <w:t>d 1 października 2018 r. obowiązek przesyłania</w:t>
            </w:r>
            <w:r w:rsidR="00B92966">
              <w:rPr>
                <w:bCs/>
                <w:i/>
                <w:sz w:val="18"/>
                <w:szCs w:val="20"/>
              </w:rPr>
              <w:t xml:space="preserve"> danych geolokalizacyjnych pozwa</w:t>
            </w:r>
            <w:r w:rsidRPr="004C17F8">
              <w:rPr>
                <w:bCs/>
                <w:i/>
                <w:sz w:val="18"/>
                <w:szCs w:val="20"/>
              </w:rPr>
              <w:t>l</w:t>
            </w:r>
            <w:r w:rsidR="00B92966">
              <w:rPr>
                <w:bCs/>
                <w:i/>
                <w:sz w:val="18"/>
                <w:szCs w:val="20"/>
              </w:rPr>
              <w:t>a</w:t>
            </w:r>
            <w:r w:rsidRPr="004C17F8">
              <w:rPr>
                <w:bCs/>
                <w:i/>
                <w:sz w:val="18"/>
                <w:szCs w:val="20"/>
              </w:rPr>
              <w:t xml:space="preserve"> na powiązanie danych ze zgłoszenia z faktycznymi trasami przewozu towarów, </w:t>
            </w:r>
            <w:r w:rsidR="00B92966">
              <w:rPr>
                <w:bCs/>
                <w:i/>
                <w:sz w:val="18"/>
                <w:szCs w:val="20"/>
              </w:rPr>
              <w:t>a dostarczane dane poddawane s</w:t>
            </w:r>
            <w:r w:rsidRPr="004C17F8">
              <w:rPr>
                <w:bCs/>
                <w:i/>
                <w:sz w:val="18"/>
                <w:szCs w:val="20"/>
              </w:rPr>
              <w:t>ą analizie, w tym analizie online tak by ujawnione odstępstwa mogły być przedmiotem reakcji służb kontrolnych.</w:t>
            </w:r>
          </w:p>
          <w:p w14:paraId="76FFC13A" w14:textId="77777777" w:rsidR="004C17F8" w:rsidRDefault="004C17F8" w:rsidP="004C17F8">
            <w:pPr>
              <w:jc w:val="both"/>
              <w:rPr>
                <w:bCs/>
                <w:i/>
                <w:sz w:val="18"/>
                <w:szCs w:val="20"/>
              </w:rPr>
            </w:pPr>
            <w:r w:rsidRPr="004C17F8">
              <w:rPr>
                <w:bCs/>
                <w:i/>
                <w:sz w:val="18"/>
                <w:szCs w:val="20"/>
              </w:rPr>
              <w:t xml:space="preserve">Wszystkie te produkty pozwolą na osiągnięcie zakładanych powyżej korzyści. Produkty te wpływają na rozwój narzędzia </w:t>
            </w:r>
            <w:proofErr w:type="gramStart"/>
            <w:r w:rsidRPr="004C17F8">
              <w:rPr>
                <w:bCs/>
                <w:i/>
                <w:sz w:val="18"/>
                <w:szCs w:val="20"/>
              </w:rPr>
              <w:t>informatycznego jakim</w:t>
            </w:r>
            <w:proofErr w:type="gramEnd"/>
            <w:r w:rsidRPr="004C17F8">
              <w:rPr>
                <w:bCs/>
                <w:i/>
                <w:sz w:val="18"/>
                <w:szCs w:val="20"/>
              </w:rPr>
              <w:t xml:space="preserve"> jest rejestr SENT oraz zasad wykonywania analiz danych (big data) niezbędnych do właściwego wykonywania kontroli celno-skarbowej.</w:t>
            </w:r>
          </w:p>
          <w:p w14:paraId="4CA4B399" w14:textId="77777777" w:rsidR="004C17F8" w:rsidRDefault="004C17F8" w:rsidP="009D3D41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 xml:space="preserve">Zakończenie projektu i uruchomienie jego produktów pozwoli utrzymać albo zwiększyć </w:t>
            </w:r>
            <w:r w:rsidR="007169CA">
              <w:rPr>
                <w:bCs/>
                <w:i/>
                <w:sz w:val="18"/>
                <w:szCs w:val="20"/>
              </w:rPr>
              <w:t>legalną sprzedaż towarów wrażliwych, co zwiększy przychody przedsiębiorców i dochody budżetu państwa.</w:t>
            </w:r>
            <w:r w:rsidR="00B92966">
              <w:rPr>
                <w:bCs/>
                <w:i/>
                <w:sz w:val="18"/>
                <w:szCs w:val="20"/>
              </w:rPr>
              <w:t xml:space="preserve"> Na bieżąco kontrolowane są liczby dotyczące wykorzystanych aplikacji i zarejestrowanych zewnętrznych systemów lokalizacji.</w:t>
            </w:r>
          </w:p>
          <w:p w14:paraId="658AD337" w14:textId="77777777" w:rsidR="00813FEF" w:rsidRPr="007169CA" w:rsidRDefault="007169CA" w:rsidP="007169CA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>Informacje o zmniejszeniu luki podatkowej podawane są w raportach udostępnianych przez Ministerstwo Finansów.</w:t>
            </w:r>
          </w:p>
        </w:tc>
      </w:tr>
      <w:tr w:rsidR="00F82254" w:rsidRPr="002450C4" w14:paraId="216D1901" w14:textId="77777777" w:rsidTr="00813FEF">
        <w:tc>
          <w:tcPr>
            <w:tcW w:w="480" w:type="dxa"/>
          </w:tcPr>
          <w:p w14:paraId="3A64D4AC" w14:textId="77777777" w:rsidR="00F82254" w:rsidRPr="002450C4" w:rsidRDefault="00F82254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493FB0B0" w14:textId="77777777" w:rsidR="00F82254" w:rsidRDefault="00F82254" w:rsidP="00F82254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E-usługi i </w:t>
            </w:r>
            <w:proofErr w:type="gramStart"/>
            <w:r>
              <w:rPr>
                <w:sz w:val="18"/>
                <w:szCs w:val="20"/>
              </w:rPr>
              <w:t>r</w:t>
            </w:r>
            <w:r w:rsidRPr="00F82254">
              <w:rPr>
                <w:sz w:val="18"/>
                <w:szCs w:val="20"/>
              </w:rPr>
              <w:t>ejestry z jakimi</w:t>
            </w:r>
            <w:proofErr w:type="gramEnd"/>
            <w:r w:rsidRPr="00F82254">
              <w:rPr>
                <w:sz w:val="18"/>
                <w:szCs w:val="20"/>
              </w:rPr>
              <w:t xml:space="preserve"> zintegrował się wytworzony system w ramach realizacji projektu</w:t>
            </w:r>
          </w:p>
        </w:tc>
        <w:tc>
          <w:tcPr>
            <w:tcW w:w="6232" w:type="dxa"/>
          </w:tcPr>
          <w:p w14:paraId="3BED5550" w14:textId="77777777" w:rsidR="00F82254" w:rsidRDefault="007169CA" w:rsidP="008D2A59">
            <w:pPr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System SENT </w:t>
            </w:r>
            <w:r w:rsidR="00F82254" w:rsidRPr="00F82254">
              <w:rPr>
                <w:i/>
                <w:sz w:val="18"/>
                <w:szCs w:val="18"/>
              </w:rPr>
              <w:t xml:space="preserve">zintegrował się </w:t>
            </w:r>
            <w:r>
              <w:rPr>
                <w:i/>
                <w:sz w:val="18"/>
                <w:szCs w:val="18"/>
              </w:rPr>
              <w:t xml:space="preserve">z usługami SISC - </w:t>
            </w:r>
            <w:proofErr w:type="spellStart"/>
            <w:r>
              <w:rPr>
                <w:i/>
                <w:sz w:val="18"/>
                <w:szCs w:val="18"/>
              </w:rPr>
              <w:t>puesc</w:t>
            </w:r>
            <w:proofErr w:type="spellEnd"/>
            <w:r>
              <w:rPr>
                <w:i/>
                <w:sz w:val="18"/>
                <w:szCs w:val="18"/>
              </w:rPr>
              <w:t>. Usługi zosta</w:t>
            </w:r>
            <w:r w:rsidR="008D2A59">
              <w:rPr>
                <w:i/>
                <w:sz w:val="18"/>
                <w:szCs w:val="18"/>
              </w:rPr>
              <w:t>ły</w:t>
            </w:r>
            <w:r>
              <w:rPr>
                <w:i/>
                <w:sz w:val="18"/>
                <w:szCs w:val="18"/>
              </w:rPr>
              <w:t xml:space="preserve"> udostępnione w </w:t>
            </w:r>
            <w:r w:rsidRPr="007169CA">
              <w:rPr>
                <w:i/>
                <w:sz w:val="18"/>
                <w:szCs w:val="18"/>
              </w:rPr>
              <w:t xml:space="preserve">sklepach Play </w:t>
            </w:r>
            <w:proofErr w:type="spellStart"/>
            <w:r w:rsidRPr="007169CA">
              <w:rPr>
                <w:i/>
                <w:sz w:val="18"/>
                <w:szCs w:val="18"/>
              </w:rPr>
              <w:t>Store</w:t>
            </w:r>
            <w:proofErr w:type="spellEnd"/>
            <w:r w:rsidRPr="007169CA">
              <w:rPr>
                <w:i/>
                <w:sz w:val="18"/>
                <w:szCs w:val="18"/>
              </w:rPr>
              <w:t xml:space="preserve"> i </w:t>
            </w:r>
            <w:proofErr w:type="spellStart"/>
            <w:r w:rsidRPr="007169CA">
              <w:rPr>
                <w:i/>
                <w:sz w:val="18"/>
                <w:szCs w:val="18"/>
              </w:rPr>
              <w:t>App</w:t>
            </w:r>
            <w:proofErr w:type="spellEnd"/>
            <w:r w:rsidRPr="007169CA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7169CA">
              <w:rPr>
                <w:i/>
                <w:sz w:val="18"/>
                <w:szCs w:val="18"/>
              </w:rPr>
              <w:t>Store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r w:rsidR="005579D8">
              <w:rPr>
                <w:i/>
                <w:sz w:val="18"/>
                <w:szCs w:val="18"/>
              </w:rPr>
              <w:t xml:space="preserve">– aplikacja </w:t>
            </w:r>
            <w:r>
              <w:rPr>
                <w:i/>
                <w:sz w:val="18"/>
                <w:szCs w:val="18"/>
              </w:rPr>
              <w:t>i na stronie BIP Ministerstwa Finansów</w:t>
            </w:r>
            <w:r w:rsidR="005579D8">
              <w:rPr>
                <w:i/>
                <w:sz w:val="18"/>
                <w:szCs w:val="18"/>
              </w:rPr>
              <w:t xml:space="preserve"> - interfejs</w:t>
            </w:r>
            <w:r>
              <w:rPr>
                <w:i/>
                <w:sz w:val="18"/>
                <w:szCs w:val="18"/>
              </w:rPr>
              <w:t>.</w:t>
            </w:r>
          </w:p>
          <w:p w14:paraId="2B6A207D" w14:textId="57C2C828" w:rsidR="00C62FD4" w:rsidRDefault="00C62FD4" w:rsidP="008D2A59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i/>
                <w:sz w:val="18"/>
                <w:szCs w:val="18"/>
              </w:rPr>
              <w:t>Udostępnione e-usługi są utrzymywane i rozwijane w 2019 roku przez Instytut Łączności – PIB. W tym celu zabezpieczono kwotę 1,5 mln zł dotacji celowej. Zasada ta będzie obowiązywała w latach następnych, z ewentualna korektą kosztów utrzymania i rozwoju.</w:t>
            </w:r>
            <w:bookmarkStart w:id="0" w:name="_GoBack"/>
            <w:bookmarkEnd w:id="0"/>
          </w:p>
        </w:tc>
      </w:tr>
      <w:tr w:rsidR="007C54F9" w:rsidRPr="002450C4" w14:paraId="600C5DD6" w14:textId="77777777" w:rsidTr="00813FEF">
        <w:tc>
          <w:tcPr>
            <w:tcW w:w="480" w:type="dxa"/>
          </w:tcPr>
          <w:p w14:paraId="7164FAAD" w14:textId="77777777" w:rsidR="007C54F9" w:rsidRPr="002450C4" w:rsidRDefault="007C54F9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49F1AB58" w14:textId="77777777" w:rsidR="007C54F9" w:rsidRDefault="003B7BD6" w:rsidP="007C54F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Zapewnienie utrzymania projektu (w okresie trwałości)</w:t>
            </w:r>
          </w:p>
        </w:tc>
        <w:tc>
          <w:tcPr>
            <w:tcW w:w="6232" w:type="dxa"/>
          </w:tcPr>
          <w:p w14:paraId="57472968" w14:textId="77777777" w:rsidR="007C54F9" w:rsidRDefault="007169CA" w:rsidP="006A6E1D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>Środki niezbędne dla utrzymania produktów projektu zostały zapewnione w</w:t>
            </w:r>
            <w:r w:rsidR="008D2A59">
              <w:rPr>
                <w:bCs/>
                <w:i/>
                <w:sz w:val="18"/>
                <w:szCs w:val="20"/>
              </w:rPr>
              <w:t> </w:t>
            </w:r>
            <w:r>
              <w:rPr>
                <w:bCs/>
                <w:i/>
                <w:sz w:val="18"/>
                <w:szCs w:val="20"/>
              </w:rPr>
              <w:t xml:space="preserve">budżecie państwa – część 19 na poszczególne lata zgodnie z środkami wskazanymi </w:t>
            </w:r>
            <w:r w:rsidR="005579D8">
              <w:rPr>
                <w:bCs/>
                <w:i/>
                <w:sz w:val="18"/>
                <w:szCs w:val="20"/>
              </w:rPr>
              <w:t>w OSR</w:t>
            </w:r>
            <w:r w:rsidR="006A6E1D">
              <w:rPr>
                <w:bCs/>
                <w:i/>
                <w:sz w:val="18"/>
                <w:szCs w:val="20"/>
              </w:rPr>
              <w:t>, tj. 1,65 mln zł</w:t>
            </w:r>
            <w:r w:rsidR="005579D8">
              <w:rPr>
                <w:bCs/>
                <w:i/>
                <w:sz w:val="18"/>
                <w:szCs w:val="20"/>
              </w:rPr>
              <w:t>. Na 2019 r. niezbędne środki znalazły się w</w:t>
            </w:r>
            <w:r w:rsidR="006A6E1D">
              <w:rPr>
                <w:bCs/>
                <w:i/>
                <w:sz w:val="18"/>
                <w:szCs w:val="20"/>
              </w:rPr>
              <w:t> </w:t>
            </w:r>
            <w:r w:rsidR="005579D8">
              <w:rPr>
                <w:bCs/>
                <w:i/>
                <w:sz w:val="18"/>
                <w:szCs w:val="20"/>
              </w:rPr>
              <w:t>projekcie budżetu.</w:t>
            </w:r>
          </w:p>
        </w:tc>
      </w:tr>
      <w:tr w:rsidR="009D3D41" w:rsidRPr="002450C4" w14:paraId="0C620E73" w14:textId="77777777" w:rsidTr="00813FEF">
        <w:tc>
          <w:tcPr>
            <w:tcW w:w="480" w:type="dxa"/>
          </w:tcPr>
          <w:p w14:paraId="5578B987" w14:textId="77777777" w:rsidR="009D3D41" w:rsidRPr="002450C4" w:rsidRDefault="009D3D41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13724145" w14:textId="77777777" w:rsidR="009D3D41" w:rsidRDefault="009D3D41" w:rsidP="007E609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Doświadczenia związane z realizacją projektu</w:t>
            </w:r>
          </w:p>
        </w:tc>
        <w:tc>
          <w:tcPr>
            <w:tcW w:w="6232" w:type="dxa"/>
          </w:tcPr>
          <w:p w14:paraId="213EA3A6" w14:textId="77777777" w:rsidR="005579D8" w:rsidRPr="005579D8" w:rsidRDefault="005579D8" w:rsidP="005579D8">
            <w:pPr>
              <w:jc w:val="both"/>
              <w:rPr>
                <w:bCs/>
                <w:i/>
                <w:sz w:val="18"/>
                <w:szCs w:val="20"/>
              </w:rPr>
            </w:pPr>
            <w:r w:rsidRPr="005579D8">
              <w:rPr>
                <w:bCs/>
                <w:i/>
                <w:sz w:val="18"/>
                <w:szCs w:val="20"/>
              </w:rPr>
              <w:t>Podczas realizacji projektu napotkano problemy mające wpływ na wejście w życie przepisów prawa pozwalających na produkcyjne wdrożenie przygotowanych usług IT.</w:t>
            </w:r>
          </w:p>
          <w:p w14:paraId="7B18D7E4" w14:textId="77777777" w:rsidR="005579D8" w:rsidRPr="005579D8" w:rsidRDefault="005579D8" w:rsidP="005579D8">
            <w:pPr>
              <w:jc w:val="both"/>
              <w:rPr>
                <w:bCs/>
                <w:i/>
                <w:sz w:val="18"/>
                <w:szCs w:val="20"/>
              </w:rPr>
            </w:pPr>
            <w:r w:rsidRPr="005579D8">
              <w:rPr>
                <w:bCs/>
                <w:i/>
                <w:sz w:val="18"/>
                <w:szCs w:val="20"/>
              </w:rPr>
              <w:t xml:space="preserve">Zaplanowany budżet nie został przekroczony i nie zostanie </w:t>
            </w:r>
            <w:r>
              <w:rPr>
                <w:bCs/>
                <w:i/>
                <w:sz w:val="18"/>
                <w:szCs w:val="20"/>
              </w:rPr>
              <w:t>w pełni wykorzystany</w:t>
            </w:r>
            <w:r w:rsidRPr="005579D8">
              <w:rPr>
                <w:bCs/>
                <w:i/>
                <w:sz w:val="18"/>
                <w:szCs w:val="20"/>
              </w:rPr>
              <w:t xml:space="preserve">. </w:t>
            </w:r>
            <w:r>
              <w:rPr>
                <w:bCs/>
                <w:i/>
                <w:sz w:val="18"/>
                <w:szCs w:val="20"/>
              </w:rPr>
              <w:t>C</w:t>
            </w:r>
            <w:r w:rsidRPr="005579D8">
              <w:rPr>
                <w:bCs/>
                <w:i/>
                <w:sz w:val="18"/>
                <w:szCs w:val="20"/>
              </w:rPr>
              <w:t xml:space="preserve">złonkowie Zespołu Projektowego przygotowali przetargi by ograniczyć koszty zamawianych usług bez </w:t>
            </w:r>
            <w:proofErr w:type="gramStart"/>
            <w:r w:rsidRPr="005579D8">
              <w:rPr>
                <w:bCs/>
                <w:i/>
                <w:sz w:val="18"/>
                <w:szCs w:val="20"/>
              </w:rPr>
              <w:t>strat dla jakości</w:t>
            </w:r>
            <w:proofErr w:type="gramEnd"/>
            <w:r w:rsidRPr="005579D8">
              <w:rPr>
                <w:bCs/>
                <w:i/>
                <w:sz w:val="18"/>
                <w:szCs w:val="20"/>
              </w:rPr>
              <w:t xml:space="preserve"> ich wykonania. Elastyczne wykorzystanie usług pozwali w efekcie końcowym na znaczne obniżenie kosztów w tym obszarze.</w:t>
            </w:r>
          </w:p>
          <w:p w14:paraId="031F35B3" w14:textId="77777777" w:rsidR="005579D8" w:rsidRPr="005579D8" w:rsidRDefault="005579D8" w:rsidP="005579D8">
            <w:pPr>
              <w:jc w:val="both"/>
              <w:rPr>
                <w:bCs/>
                <w:i/>
                <w:sz w:val="18"/>
                <w:szCs w:val="20"/>
              </w:rPr>
            </w:pPr>
            <w:r w:rsidRPr="005579D8">
              <w:rPr>
                <w:bCs/>
                <w:i/>
                <w:sz w:val="18"/>
                <w:szCs w:val="20"/>
              </w:rPr>
              <w:t xml:space="preserve">Nie bez znaczenia jest fakt, że pierwotnie zakładany zakup aplikacji (przewidziano kwotę 100 000 zł) został zrealizowany w ramach pilotażu i wyboru wykonawcy usługi przetwarzania i analizy danych. Tym samym zbędne okazało się ogłoszenie przetargu na </w:t>
            </w:r>
            <w:r>
              <w:rPr>
                <w:bCs/>
                <w:i/>
                <w:sz w:val="18"/>
                <w:szCs w:val="20"/>
              </w:rPr>
              <w:t xml:space="preserve">jej </w:t>
            </w:r>
            <w:r w:rsidRPr="005579D8">
              <w:rPr>
                <w:bCs/>
                <w:i/>
                <w:sz w:val="18"/>
                <w:szCs w:val="20"/>
              </w:rPr>
              <w:t>wykonanie</w:t>
            </w:r>
            <w:r>
              <w:rPr>
                <w:bCs/>
                <w:i/>
                <w:sz w:val="18"/>
                <w:szCs w:val="20"/>
              </w:rPr>
              <w:t>.</w:t>
            </w:r>
          </w:p>
          <w:p w14:paraId="5F5BCED8" w14:textId="77777777" w:rsidR="005579D8" w:rsidRPr="005579D8" w:rsidRDefault="005579D8" w:rsidP="005579D8">
            <w:pPr>
              <w:jc w:val="both"/>
              <w:rPr>
                <w:bCs/>
                <w:i/>
                <w:sz w:val="18"/>
                <w:szCs w:val="20"/>
              </w:rPr>
            </w:pPr>
            <w:r w:rsidRPr="005579D8">
              <w:rPr>
                <w:bCs/>
                <w:i/>
                <w:sz w:val="18"/>
                <w:szCs w:val="20"/>
              </w:rPr>
              <w:t>Realizacja projektu spowodowała wzro</w:t>
            </w:r>
            <w:r w:rsidR="004B638E">
              <w:rPr>
                <w:bCs/>
                <w:i/>
                <w:sz w:val="18"/>
                <w:szCs w:val="20"/>
              </w:rPr>
              <w:t>stu doświadczeń w zakresie zarzą</w:t>
            </w:r>
            <w:r w:rsidRPr="005579D8">
              <w:rPr>
                <w:bCs/>
                <w:i/>
                <w:sz w:val="18"/>
                <w:szCs w:val="20"/>
              </w:rPr>
              <w:t>dzania projektami, rozwoju obszaru IT i procesu legislacyjnego włącznie z notyfikacją przepisów technicznych Komisji Europejskiej.</w:t>
            </w:r>
          </w:p>
          <w:p w14:paraId="601B24DD" w14:textId="77777777" w:rsidR="009D3D41" w:rsidRDefault="005579D8" w:rsidP="008D2A59">
            <w:pPr>
              <w:jc w:val="both"/>
              <w:rPr>
                <w:bCs/>
                <w:i/>
                <w:sz w:val="18"/>
                <w:szCs w:val="20"/>
              </w:rPr>
            </w:pPr>
            <w:r w:rsidRPr="005579D8">
              <w:rPr>
                <w:bCs/>
                <w:i/>
                <w:sz w:val="18"/>
                <w:szCs w:val="20"/>
              </w:rPr>
              <w:lastRenderedPageBreak/>
              <w:t xml:space="preserve">Współpraca z wykonawcami zewnętrznymi usług przebiegała w sposób prawidłowy. W ramach wykonanych prac zrealizowano funkcjonalności </w:t>
            </w:r>
            <w:r>
              <w:rPr>
                <w:bCs/>
                <w:i/>
                <w:sz w:val="18"/>
                <w:szCs w:val="20"/>
              </w:rPr>
              <w:t xml:space="preserve">rejestru </w:t>
            </w:r>
            <w:r w:rsidRPr="005579D8">
              <w:rPr>
                <w:bCs/>
                <w:i/>
                <w:sz w:val="18"/>
                <w:szCs w:val="20"/>
              </w:rPr>
              <w:t>i</w:t>
            </w:r>
            <w:r w:rsidR="008D2A59">
              <w:rPr>
                <w:bCs/>
                <w:i/>
                <w:sz w:val="18"/>
                <w:szCs w:val="20"/>
              </w:rPr>
              <w:t> </w:t>
            </w:r>
            <w:r w:rsidRPr="005579D8">
              <w:rPr>
                <w:bCs/>
                <w:i/>
                <w:sz w:val="18"/>
                <w:szCs w:val="20"/>
              </w:rPr>
              <w:t>aplikacji mobilnej nieprzewidziane w fazie projektowej, ale zaspokajające oczekiwania przedsiębiorców.</w:t>
            </w:r>
          </w:p>
        </w:tc>
      </w:tr>
    </w:tbl>
    <w:p w14:paraId="28D1154A" w14:textId="77777777" w:rsidR="007A0A3D" w:rsidRDefault="007A0A3D" w:rsidP="007A0A3D"/>
    <w:sectPr w:rsidR="007A0A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05095"/>
    <w:multiLevelType w:val="hybridMultilevel"/>
    <w:tmpl w:val="437678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754A9E"/>
    <w:multiLevelType w:val="hybridMultilevel"/>
    <w:tmpl w:val="C12641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8D3787C"/>
    <w:multiLevelType w:val="hybridMultilevel"/>
    <w:tmpl w:val="194820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FBB07AF"/>
    <w:multiLevelType w:val="hybridMultilevel"/>
    <w:tmpl w:val="E07470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0565D7"/>
    <w:multiLevelType w:val="hybridMultilevel"/>
    <w:tmpl w:val="5464E3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2FA3282"/>
    <w:multiLevelType w:val="hybridMultilevel"/>
    <w:tmpl w:val="B04840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3D"/>
    <w:rsid w:val="00093B52"/>
    <w:rsid w:val="000C30F4"/>
    <w:rsid w:val="000D3CA9"/>
    <w:rsid w:val="000E0C6F"/>
    <w:rsid w:val="00144643"/>
    <w:rsid w:val="001455E8"/>
    <w:rsid w:val="001600BB"/>
    <w:rsid w:val="001806EC"/>
    <w:rsid w:val="00185578"/>
    <w:rsid w:val="001C611C"/>
    <w:rsid w:val="001C6D7D"/>
    <w:rsid w:val="0021582D"/>
    <w:rsid w:val="002450C4"/>
    <w:rsid w:val="002703AE"/>
    <w:rsid w:val="002A153C"/>
    <w:rsid w:val="002A728C"/>
    <w:rsid w:val="003B107D"/>
    <w:rsid w:val="003B7BD6"/>
    <w:rsid w:val="003D7919"/>
    <w:rsid w:val="004046DC"/>
    <w:rsid w:val="00424CE7"/>
    <w:rsid w:val="004B19FE"/>
    <w:rsid w:val="004B638E"/>
    <w:rsid w:val="004C17F8"/>
    <w:rsid w:val="004C4CC5"/>
    <w:rsid w:val="004D135D"/>
    <w:rsid w:val="00543332"/>
    <w:rsid w:val="005579D8"/>
    <w:rsid w:val="0058262E"/>
    <w:rsid w:val="0058696F"/>
    <w:rsid w:val="005A4344"/>
    <w:rsid w:val="005D4188"/>
    <w:rsid w:val="005D47CF"/>
    <w:rsid w:val="005E2827"/>
    <w:rsid w:val="00603836"/>
    <w:rsid w:val="00632AA0"/>
    <w:rsid w:val="00643672"/>
    <w:rsid w:val="00687AFE"/>
    <w:rsid w:val="006A6E1D"/>
    <w:rsid w:val="006B7454"/>
    <w:rsid w:val="006C0D2F"/>
    <w:rsid w:val="00716201"/>
    <w:rsid w:val="007169CA"/>
    <w:rsid w:val="007408A3"/>
    <w:rsid w:val="00743031"/>
    <w:rsid w:val="007437D9"/>
    <w:rsid w:val="00773523"/>
    <w:rsid w:val="007A0A3D"/>
    <w:rsid w:val="007A32E4"/>
    <w:rsid w:val="007B022B"/>
    <w:rsid w:val="007C54F9"/>
    <w:rsid w:val="007E2F1F"/>
    <w:rsid w:val="007E6098"/>
    <w:rsid w:val="007F63EF"/>
    <w:rsid w:val="00813FEF"/>
    <w:rsid w:val="00814C23"/>
    <w:rsid w:val="008213A6"/>
    <w:rsid w:val="008632E4"/>
    <w:rsid w:val="008927DE"/>
    <w:rsid w:val="008D2A59"/>
    <w:rsid w:val="008E0416"/>
    <w:rsid w:val="00905779"/>
    <w:rsid w:val="0092099A"/>
    <w:rsid w:val="00920CE8"/>
    <w:rsid w:val="00982DC4"/>
    <w:rsid w:val="009A21AF"/>
    <w:rsid w:val="009C57D5"/>
    <w:rsid w:val="009D3D41"/>
    <w:rsid w:val="009E1398"/>
    <w:rsid w:val="00A12836"/>
    <w:rsid w:val="00A1534B"/>
    <w:rsid w:val="00A522AB"/>
    <w:rsid w:val="00A6601B"/>
    <w:rsid w:val="00A710B2"/>
    <w:rsid w:val="00A8152E"/>
    <w:rsid w:val="00AA1C73"/>
    <w:rsid w:val="00B33C04"/>
    <w:rsid w:val="00B4402A"/>
    <w:rsid w:val="00B57299"/>
    <w:rsid w:val="00B92966"/>
    <w:rsid w:val="00B93735"/>
    <w:rsid w:val="00B9463B"/>
    <w:rsid w:val="00BC120E"/>
    <w:rsid w:val="00C37A3A"/>
    <w:rsid w:val="00C42446"/>
    <w:rsid w:val="00C546B0"/>
    <w:rsid w:val="00C56B53"/>
    <w:rsid w:val="00C62FD4"/>
    <w:rsid w:val="00C67B9B"/>
    <w:rsid w:val="00C87D61"/>
    <w:rsid w:val="00C948E6"/>
    <w:rsid w:val="00CA79E4"/>
    <w:rsid w:val="00CA7DCB"/>
    <w:rsid w:val="00CC20C7"/>
    <w:rsid w:val="00CF4111"/>
    <w:rsid w:val="00D22A05"/>
    <w:rsid w:val="00D2582C"/>
    <w:rsid w:val="00D65F79"/>
    <w:rsid w:val="00DB70A5"/>
    <w:rsid w:val="00DD3530"/>
    <w:rsid w:val="00E025EB"/>
    <w:rsid w:val="00E30008"/>
    <w:rsid w:val="00E44829"/>
    <w:rsid w:val="00E52249"/>
    <w:rsid w:val="00EA2606"/>
    <w:rsid w:val="00EF094D"/>
    <w:rsid w:val="00F32CAA"/>
    <w:rsid w:val="00F517F8"/>
    <w:rsid w:val="00F741B3"/>
    <w:rsid w:val="00F82254"/>
    <w:rsid w:val="00FA2C7F"/>
    <w:rsid w:val="00FD0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F73A4"/>
  <w15:chartTrackingRefBased/>
  <w15:docId w15:val="{CC2F2118-C34C-4194-BDA5-87D277577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A0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A0A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135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35D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3F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3F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3FE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03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03AE"/>
    <w:rPr>
      <w:b/>
      <w:bCs/>
      <w:sz w:val="20"/>
      <w:szCs w:val="20"/>
    </w:rPr>
  </w:style>
  <w:style w:type="character" w:customStyle="1" w:styleId="labeldekratacja">
    <w:name w:val="labeldekratacja"/>
    <w:basedOn w:val="Domylnaczcionkaakapitu"/>
    <w:rsid w:val="00144643"/>
  </w:style>
  <w:style w:type="paragraph" w:styleId="Poprawka">
    <w:name w:val="Revision"/>
    <w:hidden/>
    <w:uiPriority w:val="99"/>
    <w:semiHidden/>
    <w:rsid w:val="00F517F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864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1716</Words>
  <Characters>10300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MAiC</Company>
  <LinksUpToDate>false</LinksUpToDate>
  <CharactersWithSpaces>11993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Sankiewicz Szymon</dc:creator>
  <cp:keywords/>
  <dc:description/>
  <cp:lastModifiedBy>Michalski Robert 2</cp:lastModifiedBy>
  <cp:revision>5</cp:revision>
  <cp:lastPrinted>2019-02-11T13:09:00Z</cp:lastPrinted>
  <dcterms:created xsi:type="dcterms:W3CDTF">2019-04-15T11:09:00Z</dcterms:created>
  <dcterms:modified xsi:type="dcterms:W3CDTF">2019-04-15T11:49:00Z</dcterms:modified>
</cp:coreProperties>
</file>