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2"/>
      </w:tblGrid>
      <w:tr w:rsidR="00BB6BE2" w:rsidRPr="002F46F8" w14:paraId="42CF857B" w14:textId="77777777" w:rsidTr="00BB6BE2">
        <w:tc>
          <w:tcPr>
            <w:tcW w:w="9062" w:type="dxa"/>
            <w:shd w:val="clear" w:color="auto" w:fill="4472C4" w:themeFill="accent5"/>
          </w:tcPr>
          <w:p w14:paraId="23F9D790" w14:textId="1A1DDA2D" w:rsidR="00BB6BE2" w:rsidRPr="00A21CA2" w:rsidRDefault="009E7C62" w:rsidP="00657781">
            <w:pPr>
              <w:spacing w:line="276" w:lineRule="auto"/>
              <w:jc w:val="both"/>
              <w:rPr>
                <w:rStyle w:val="Wyrnienieintensywne"/>
                <w:b/>
                <w:sz w:val="24"/>
                <w:lang w:val="en-GB"/>
              </w:rPr>
            </w:pPr>
            <w:bookmarkStart w:id="0" w:name="_GoBack"/>
            <w:bookmarkEnd w:id="0"/>
            <w:r w:rsidRPr="00A21CA2">
              <w:rPr>
                <w:rStyle w:val="Wyrnienieintensywne"/>
                <w:b/>
                <w:color w:val="FFFFFF" w:themeColor="background1"/>
                <w:sz w:val="36"/>
                <w:lang w:val="en-GB"/>
              </w:rPr>
              <w:t xml:space="preserve">The </w:t>
            </w:r>
            <w:r w:rsidR="00F26ED5" w:rsidRPr="00A21CA2">
              <w:rPr>
                <w:rStyle w:val="Wyrnienieintensywne"/>
                <w:b/>
                <w:color w:val="FFFFFF" w:themeColor="background1"/>
                <w:sz w:val="36"/>
                <w:lang w:val="en-GB"/>
              </w:rPr>
              <w:t>independence</w:t>
            </w:r>
            <w:r w:rsidRPr="00A21CA2">
              <w:rPr>
                <w:rStyle w:val="Wyrnienieintensywne"/>
                <w:b/>
                <w:color w:val="FFFFFF" w:themeColor="background1"/>
                <w:sz w:val="36"/>
                <w:lang w:val="en-GB"/>
              </w:rPr>
              <w:t xml:space="preserve"> of the actions taken</w:t>
            </w:r>
          </w:p>
        </w:tc>
      </w:tr>
      <w:tr w:rsidR="00BB6BE2" w:rsidRPr="002F46F8" w14:paraId="52B0C93A" w14:textId="77777777" w:rsidTr="009A4AEB">
        <w:trPr>
          <w:trHeight w:val="58"/>
        </w:trPr>
        <w:tc>
          <w:tcPr>
            <w:tcW w:w="9062" w:type="dxa"/>
          </w:tcPr>
          <w:p w14:paraId="04F7F2DD" w14:textId="27674063" w:rsidR="00537A02" w:rsidRPr="00A21CA2" w:rsidRDefault="009E7C62" w:rsidP="006A3D16">
            <w:pPr>
              <w:spacing w:before="120" w:line="276" w:lineRule="auto"/>
              <w:jc w:val="both"/>
              <w:rPr>
                <w:rFonts w:ascii="Arial" w:hAnsi="Arial" w:cs="Arial"/>
                <w:lang w:val="en-GB"/>
              </w:rPr>
            </w:pPr>
            <w:r w:rsidRPr="00A21CA2">
              <w:rPr>
                <w:rFonts w:ascii="Arial" w:hAnsi="Arial" w:cs="Arial"/>
                <w:lang w:val="en-GB"/>
              </w:rPr>
              <w:t xml:space="preserve">In order to ensure </w:t>
            </w:r>
            <w:r w:rsidR="00F26ED5" w:rsidRPr="00A21CA2">
              <w:rPr>
                <w:rFonts w:ascii="Arial" w:hAnsi="Arial" w:cs="Arial"/>
                <w:lang w:val="en-GB"/>
              </w:rPr>
              <w:t>independence</w:t>
            </w:r>
            <w:r w:rsidRPr="00A21CA2">
              <w:rPr>
                <w:rFonts w:ascii="Arial" w:hAnsi="Arial" w:cs="Arial"/>
                <w:lang w:val="en-GB"/>
              </w:rPr>
              <w:t xml:space="preserve">, the </w:t>
            </w:r>
            <w:r w:rsidR="001A0931" w:rsidRPr="00A21CA2">
              <w:rPr>
                <w:rFonts w:ascii="Arial" w:hAnsi="Arial" w:cs="Arial"/>
                <w:lang w:val="en-GB"/>
              </w:rPr>
              <w:t xml:space="preserve">provider of external </w:t>
            </w:r>
            <w:r w:rsidR="00A21CA2" w:rsidRPr="00A21CA2">
              <w:rPr>
                <w:rFonts w:ascii="Arial" w:hAnsi="Arial" w:cs="Arial"/>
                <w:lang w:val="en-GB"/>
              </w:rPr>
              <w:t>s</w:t>
            </w:r>
            <w:r w:rsidR="00A21CA2">
              <w:rPr>
                <w:rFonts w:ascii="Arial" w:hAnsi="Arial" w:cs="Arial"/>
                <w:lang w:val="en-GB"/>
              </w:rPr>
              <w:t>upport</w:t>
            </w:r>
            <w:r w:rsidRPr="00A21CA2">
              <w:rPr>
                <w:rFonts w:ascii="Arial" w:hAnsi="Arial" w:cs="Arial"/>
                <w:lang w:val="en-GB"/>
              </w:rPr>
              <w:t xml:space="preserve"> is obliged to demonstrate </w:t>
            </w:r>
            <w:r w:rsidR="00A21CA2">
              <w:rPr>
                <w:rFonts w:ascii="Arial" w:hAnsi="Arial" w:cs="Arial"/>
                <w:lang w:val="en-GB"/>
              </w:rPr>
              <w:t>his</w:t>
            </w:r>
            <w:r w:rsidRPr="00A21CA2">
              <w:rPr>
                <w:rFonts w:ascii="Arial" w:hAnsi="Arial" w:cs="Arial"/>
                <w:lang w:val="en-GB"/>
              </w:rPr>
              <w:t xml:space="preserve"> independence in the course of the authorization procedure. According to the International Atomic Energy Agency ("Technical and Scientific Support Organizations Providing Support to Regulatory Functions", IAEA-TECDOC-1835, Vienna 2018, p. 14), the independence of an </w:t>
            </w:r>
            <w:r w:rsidR="00A21CA2">
              <w:rPr>
                <w:rFonts w:ascii="Arial" w:hAnsi="Arial" w:cs="Arial"/>
                <w:lang w:val="en-GB"/>
              </w:rPr>
              <w:t>entity</w:t>
            </w:r>
            <w:r w:rsidRPr="00A21CA2">
              <w:rPr>
                <w:rFonts w:ascii="Arial" w:hAnsi="Arial" w:cs="Arial"/>
                <w:lang w:val="en-GB"/>
              </w:rPr>
              <w:t xml:space="preserve"> </w:t>
            </w:r>
            <w:r w:rsidR="00A21CA2">
              <w:rPr>
                <w:rFonts w:ascii="Arial" w:hAnsi="Arial" w:cs="Arial"/>
                <w:lang w:val="en-GB"/>
              </w:rPr>
              <w:t xml:space="preserve">is based on </w:t>
            </w:r>
            <w:r w:rsidR="006A3D16" w:rsidRPr="00A21CA2">
              <w:rPr>
                <w:rFonts w:ascii="Arial" w:hAnsi="Arial" w:cs="Arial"/>
                <w:lang w:val="en-GB"/>
              </w:rPr>
              <w:t xml:space="preserve">two main imperatives: the need for the organization to freely pursue a scientific approach without other influence and the avoidance of conflict of interest. </w:t>
            </w:r>
          </w:p>
          <w:p w14:paraId="3CA238A8" w14:textId="3F1DE2FE" w:rsidR="006B1FED" w:rsidRPr="00A21CA2" w:rsidRDefault="009E7C62" w:rsidP="00D81D05">
            <w:pPr>
              <w:spacing w:before="120" w:line="276" w:lineRule="auto"/>
              <w:jc w:val="both"/>
              <w:rPr>
                <w:rFonts w:ascii="Arial" w:hAnsi="Arial" w:cs="Arial"/>
                <w:lang w:val="en-GB"/>
              </w:rPr>
            </w:pPr>
            <w:r w:rsidRPr="00A21CA2">
              <w:rPr>
                <w:rFonts w:ascii="Arial" w:hAnsi="Arial" w:cs="Arial"/>
                <w:lang w:val="en-GB"/>
              </w:rPr>
              <w:t xml:space="preserve">The freedom of the scientific </w:t>
            </w:r>
            <w:r w:rsidR="00A21CA2">
              <w:rPr>
                <w:rFonts w:ascii="Arial" w:hAnsi="Arial" w:cs="Arial"/>
                <w:lang w:val="en-GB"/>
              </w:rPr>
              <w:t>approach ( "</w:t>
            </w:r>
            <w:r w:rsidRPr="00A21CA2">
              <w:rPr>
                <w:rFonts w:ascii="Arial" w:hAnsi="Arial" w:cs="Arial"/>
                <w:lang w:val="en-GB"/>
              </w:rPr>
              <w:t xml:space="preserve">Use of External Experts by the Regulatory Body", IAEA, GSG-4, Vienna 2013, p. 11) </w:t>
            </w:r>
            <w:r w:rsidR="006B1FED" w:rsidRPr="00A21CA2">
              <w:rPr>
                <w:rFonts w:ascii="Arial" w:hAnsi="Arial" w:cs="Arial"/>
                <w:lang w:val="en-GB"/>
              </w:rPr>
              <w:t xml:space="preserve">represents a profound </w:t>
            </w:r>
            <w:r w:rsidR="00A21CA2">
              <w:rPr>
                <w:rFonts w:ascii="Arial" w:hAnsi="Arial" w:cs="Arial"/>
                <w:lang w:val="en-GB"/>
              </w:rPr>
              <w:t xml:space="preserve">scientific </w:t>
            </w:r>
            <w:r w:rsidR="006B1FED" w:rsidRPr="00A21CA2">
              <w:rPr>
                <w:rFonts w:ascii="Arial" w:hAnsi="Arial" w:cs="Arial"/>
                <w:lang w:val="en-GB"/>
              </w:rPr>
              <w:t xml:space="preserve">knowledge and </w:t>
            </w:r>
            <w:r w:rsidR="00A21CA2">
              <w:rPr>
                <w:rFonts w:ascii="Arial" w:hAnsi="Arial" w:cs="Arial"/>
                <w:lang w:val="en-GB"/>
              </w:rPr>
              <w:t>use of</w:t>
            </w:r>
            <w:r w:rsidR="006B1FED" w:rsidRPr="00A21CA2">
              <w:rPr>
                <w:rFonts w:ascii="Arial" w:hAnsi="Arial" w:cs="Arial"/>
                <w:lang w:val="en-GB"/>
              </w:rPr>
              <w:t xml:space="preserve"> best available technology that is necessary for a broad and comprehensive assessment of the safety of facilities and activities. Technical competence is the ability of the provider of external expert support to apply such state of the art knowledge and techniques. The technical qualifications and experience of external experts should normally be at the same level as or exceed those of the staff of the regulatory body who are performing similar tasks. The regulatory body should ensure that the competence of the provider of external expert support is adequate.</w:t>
            </w:r>
          </w:p>
          <w:p w14:paraId="7EA7C2D9" w14:textId="7D41422D" w:rsidR="00BB6BE2" w:rsidRPr="00A21CA2" w:rsidRDefault="002B6E70" w:rsidP="00D81D05">
            <w:pPr>
              <w:spacing w:before="120" w:line="276" w:lineRule="auto"/>
              <w:jc w:val="both"/>
              <w:rPr>
                <w:rFonts w:ascii="Arial" w:hAnsi="Arial" w:cs="Arial"/>
                <w:lang w:val="en-GB"/>
              </w:rPr>
            </w:pPr>
            <w:r w:rsidRPr="00A21CA2">
              <w:rPr>
                <w:rFonts w:ascii="Arial" w:hAnsi="Arial" w:cs="Arial"/>
                <w:lang w:val="en-GB"/>
              </w:rPr>
              <w:t xml:space="preserve">Conflicts of interest may potentially occur in a variety of cases, </w:t>
            </w:r>
            <w:r w:rsidR="009E7C62" w:rsidRPr="00A21CA2">
              <w:rPr>
                <w:rFonts w:ascii="Arial" w:hAnsi="Arial" w:cs="Arial"/>
                <w:lang w:val="en-GB"/>
              </w:rPr>
              <w:t>(" Organization , Management and Staffing of the Regulatory Body for Safety Organization " of the IAEA, the GSG-12 Vienna 2018 point I.21 of Annex 1</w:t>
            </w:r>
            <w:r w:rsidRPr="00A21CA2">
              <w:rPr>
                <w:rFonts w:ascii="Arial" w:hAnsi="Arial" w:cs="Arial"/>
                <w:lang w:val="en-GB"/>
              </w:rPr>
              <w:t>, p. 74</w:t>
            </w:r>
            <w:r w:rsidR="009E7C62" w:rsidRPr="00A21CA2">
              <w:rPr>
                <w:rFonts w:ascii="Arial" w:hAnsi="Arial" w:cs="Arial"/>
                <w:lang w:val="en-GB"/>
              </w:rPr>
              <w:t xml:space="preserve">) , </w:t>
            </w:r>
            <w:r w:rsidRPr="00A21CA2">
              <w:rPr>
                <w:rFonts w:ascii="Arial" w:hAnsi="Arial" w:cs="Arial"/>
                <w:lang w:val="en-GB"/>
              </w:rPr>
              <w:t>including the following</w:t>
            </w:r>
            <w:r w:rsidR="009E7C62" w:rsidRPr="00A21CA2">
              <w:rPr>
                <w:rFonts w:ascii="Arial" w:hAnsi="Arial" w:cs="Arial"/>
                <w:lang w:val="en-GB"/>
              </w:rPr>
              <w:t>:</w:t>
            </w:r>
          </w:p>
          <w:p w14:paraId="04EB076E" w14:textId="45751646" w:rsidR="00F6703D" w:rsidRPr="00A21CA2" w:rsidRDefault="002B6E70" w:rsidP="00F6703D">
            <w:pPr>
              <w:pStyle w:val="Akapitzlist"/>
              <w:numPr>
                <w:ilvl w:val="0"/>
                <w:numId w:val="1"/>
              </w:numPr>
              <w:spacing w:line="276" w:lineRule="auto"/>
              <w:jc w:val="both"/>
              <w:rPr>
                <w:rFonts w:ascii="Arial" w:hAnsi="Arial" w:cs="Arial"/>
                <w:lang w:val="en-GB"/>
              </w:rPr>
            </w:pPr>
            <w:r w:rsidRPr="00A21CA2">
              <w:rPr>
                <w:rFonts w:ascii="Arial" w:hAnsi="Arial" w:cs="Arial"/>
                <w:lang w:val="en-GB"/>
              </w:rPr>
              <w:t xml:space="preserve">When a financial </w:t>
            </w:r>
            <w:r w:rsidR="00362349">
              <w:rPr>
                <w:rFonts w:ascii="Arial" w:hAnsi="Arial" w:cs="Arial"/>
                <w:lang w:val="en-GB"/>
              </w:rPr>
              <w:t>link</w:t>
            </w:r>
            <w:r w:rsidRPr="00A21CA2">
              <w:rPr>
                <w:rFonts w:ascii="Arial" w:hAnsi="Arial" w:cs="Arial"/>
                <w:lang w:val="en-GB"/>
              </w:rPr>
              <w:t xml:space="preserve"> (e.g. through a stockholder or through funding) exists between an external expert or organization and the nuclear industry (e.g. a licensee, a designer or a vendor);</w:t>
            </w:r>
          </w:p>
          <w:p w14:paraId="4788BF88" w14:textId="34AEED0B" w:rsidR="00BB6BE2" w:rsidRPr="00A21CA2" w:rsidRDefault="002B6E70" w:rsidP="00657781">
            <w:pPr>
              <w:pStyle w:val="Akapitzlist"/>
              <w:numPr>
                <w:ilvl w:val="0"/>
                <w:numId w:val="1"/>
              </w:numPr>
              <w:spacing w:line="276" w:lineRule="auto"/>
              <w:jc w:val="both"/>
              <w:rPr>
                <w:rFonts w:ascii="Arial" w:hAnsi="Arial" w:cs="Arial"/>
                <w:lang w:val="en-GB"/>
              </w:rPr>
            </w:pPr>
            <w:r w:rsidRPr="00A21CA2">
              <w:rPr>
                <w:rFonts w:ascii="Arial" w:hAnsi="Arial" w:cs="Arial"/>
                <w:lang w:val="en-GB"/>
              </w:rPr>
              <w:t>When the external expert or organization is part of, or is closely linked to, an organization that has been assigned responsibilities in relation to the promotion of nuclear technologies;</w:t>
            </w:r>
          </w:p>
          <w:p w14:paraId="6428A390" w14:textId="51E7A5B7" w:rsidR="00BB6BE2" w:rsidRPr="00A21CA2" w:rsidRDefault="002B6E70" w:rsidP="00657781">
            <w:pPr>
              <w:pStyle w:val="Akapitzlist"/>
              <w:numPr>
                <w:ilvl w:val="0"/>
                <w:numId w:val="1"/>
              </w:numPr>
              <w:spacing w:line="276" w:lineRule="auto"/>
              <w:jc w:val="both"/>
              <w:rPr>
                <w:rFonts w:ascii="Arial" w:hAnsi="Arial" w:cs="Arial"/>
                <w:lang w:val="en-GB"/>
              </w:rPr>
            </w:pPr>
            <w:r w:rsidRPr="00A21CA2">
              <w:rPr>
                <w:rFonts w:ascii="Arial" w:hAnsi="Arial" w:cs="Arial"/>
                <w:lang w:val="en-GB"/>
              </w:rPr>
              <w:t>When there may be a conflict of national interest or commercial interest;</w:t>
            </w:r>
          </w:p>
          <w:p w14:paraId="0617BF61" w14:textId="24A8D209" w:rsidR="00BB6BE2" w:rsidRPr="00A21CA2" w:rsidRDefault="002B6E70" w:rsidP="00657781">
            <w:pPr>
              <w:pStyle w:val="Akapitzlist"/>
              <w:numPr>
                <w:ilvl w:val="0"/>
                <w:numId w:val="1"/>
              </w:numPr>
              <w:spacing w:line="276" w:lineRule="auto"/>
              <w:jc w:val="both"/>
              <w:rPr>
                <w:rFonts w:ascii="Arial" w:hAnsi="Arial" w:cs="Arial"/>
                <w:lang w:val="en-GB"/>
              </w:rPr>
            </w:pPr>
            <w:r w:rsidRPr="00A21CA2">
              <w:rPr>
                <w:rFonts w:ascii="Arial" w:hAnsi="Arial" w:cs="Arial"/>
                <w:lang w:val="en-GB"/>
              </w:rPr>
              <w:t>When the external expert or organization is providing support on the same or closely related issues to potential licensees, designers or vendors in the State or in other States;</w:t>
            </w:r>
          </w:p>
          <w:p w14:paraId="460ADCF9" w14:textId="19386FD4" w:rsidR="00BB6BE2" w:rsidRPr="00A21CA2" w:rsidRDefault="002B6E70" w:rsidP="00BB6BE2">
            <w:pPr>
              <w:pStyle w:val="Akapitzlist"/>
              <w:numPr>
                <w:ilvl w:val="0"/>
                <w:numId w:val="1"/>
              </w:numPr>
              <w:spacing w:after="160" w:line="276" w:lineRule="auto"/>
              <w:ind w:left="714" w:hanging="357"/>
              <w:contextualSpacing w:val="0"/>
              <w:jc w:val="both"/>
              <w:rPr>
                <w:rFonts w:ascii="Arial" w:hAnsi="Arial" w:cs="Arial"/>
                <w:lang w:val="en-GB"/>
              </w:rPr>
            </w:pPr>
            <w:r w:rsidRPr="00A21CA2">
              <w:rPr>
                <w:rFonts w:ascii="Arial" w:hAnsi="Arial" w:cs="Arial"/>
                <w:lang w:val="en-GB"/>
              </w:rPr>
              <w:t>When the external expert or organization is involved in research and development activities in collaboration with other interested parties.</w:t>
            </w:r>
          </w:p>
          <w:p w14:paraId="5BF2E0E1" w14:textId="2997C909" w:rsidR="00A13149" w:rsidRPr="00A21CA2" w:rsidRDefault="00A13149" w:rsidP="00A13149">
            <w:pPr>
              <w:spacing w:line="276" w:lineRule="auto"/>
              <w:jc w:val="both"/>
              <w:rPr>
                <w:rFonts w:ascii="Arial" w:hAnsi="Arial" w:cs="Arial"/>
                <w:lang w:val="en-GB"/>
              </w:rPr>
            </w:pPr>
            <w:r w:rsidRPr="00A21CA2">
              <w:rPr>
                <w:rFonts w:ascii="Arial" w:hAnsi="Arial" w:cs="Arial"/>
                <w:lang w:val="en-GB"/>
              </w:rPr>
              <w:t xml:space="preserve">Obtaining the authorization of the President of the </w:t>
            </w:r>
            <w:r w:rsidR="0030395D" w:rsidRPr="00A21CA2">
              <w:rPr>
                <w:rFonts w:ascii="Arial" w:hAnsi="Arial" w:cs="Arial"/>
                <w:lang w:val="en-GB"/>
              </w:rPr>
              <w:t xml:space="preserve">PAA </w:t>
            </w:r>
            <w:r w:rsidRPr="00A21CA2">
              <w:rPr>
                <w:rFonts w:ascii="Arial" w:hAnsi="Arial" w:cs="Arial"/>
                <w:lang w:val="en-GB"/>
              </w:rPr>
              <w:t>does not mean that in the future</w:t>
            </w:r>
            <w:r w:rsidR="00362349">
              <w:rPr>
                <w:rFonts w:ascii="Arial" w:hAnsi="Arial" w:cs="Arial"/>
                <w:lang w:val="en-GB"/>
              </w:rPr>
              <w:t xml:space="preserve">, </w:t>
            </w:r>
            <w:r w:rsidRPr="00A21CA2">
              <w:rPr>
                <w:rFonts w:ascii="Arial" w:hAnsi="Arial" w:cs="Arial"/>
                <w:lang w:val="en-GB"/>
              </w:rPr>
              <w:t>cooperat</w:t>
            </w:r>
            <w:r w:rsidR="00362349">
              <w:rPr>
                <w:rFonts w:ascii="Arial" w:hAnsi="Arial" w:cs="Arial"/>
                <w:lang w:val="en-GB"/>
              </w:rPr>
              <w:t>ion with entities involved in the</w:t>
            </w:r>
            <w:r w:rsidR="00120F2B" w:rsidRPr="00A21CA2">
              <w:rPr>
                <w:rFonts w:ascii="Arial" w:hAnsi="Arial" w:cs="Arial"/>
                <w:lang w:val="en-GB"/>
              </w:rPr>
              <w:t xml:space="preserve"> nuclear industry</w:t>
            </w:r>
            <w:r w:rsidRPr="00A21CA2">
              <w:rPr>
                <w:rFonts w:ascii="Arial" w:hAnsi="Arial" w:cs="Arial"/>
                <w:lang w:val="en-GB"/>
              </w:rPr>
              <w:t xml:space="preserve"> (</w:t>
            </w:r>
            <w:proofErr w:type="spellStart"/>
            <w:r w:rsidRPr="00A21CA2">
              <w:rPr>
                <w:rFonts w:ascii="Arial" w:hAnsi="Arial" w:cs="Arial"/>
                <w:lang w:val="en-GB"/>
              </w:rPr>
              <w:t>eg.</w:t>
            </w:r>
            <w:proofErr w:type="spellEnd"/>
            <w:r w:rsidRPr="00A21CA2">
              <w:rPr>
                <w:rFonts w:ascii="Arial" w:hAnsi="Arial" w:cs="Arial"/>
                <w:lang w:val="en-GB"/>
              </w:rPr>
              <w:t xml:space="preserve"> </w:t>
            </w:r>
            <w:r w:rsidR="00120F2B" w:rsidRPr="00A21CA2">
              <w:rPr>
                <w:rFonts w:ascii="Arial" w:hAnsi="Arial" w:cs="Arial"/>
                <w:lang w:val="en-GB"/>
              </w:rPr>
              <w:t>the vendor or operator</w:t>
            </w:r>
            <w:r w:rsidRPr="00A21CA2">
              <w:rPr>
                <w:rFonts w:ascii="Arial" w:hAnsi="Arial" w:cs="Arial"/>
                <w:lang w:val="en-GB"/>
              </w:rPr>
              <w:t xml:space="preserve"> )</w:t>
            </w:r>
            <w:r w:rsidR="00362349">
              <w:rPr>
                <w:rFonts w:ascii="Arial" w:hAnsi="Arial" w:cs="Arial"/>
                <w:lang w:val="en-GB"/>
              </w:rPr>
              <w:t xml:space="preserve"> will be excluded</w:t>
            </w:r>
            <w:r w:rsidRPr="00A21CA2">
              <w:rPr>
                <w:rFonts w:ascii="Arial" w:hAnsi="Arial" w:cs="Arial"/>
                <w:lang w:val="en-GB"/>
              </w:rPr>
              <w:t xml:space="preserve">. However, </w:t>
            </w:r>
            <w:r w:rsidR="00362349">
              <w:rPr>
                <w:rFonts w:ascii="Arial" w:hAnsi="Arial" w:cs="Arial"/>
                <w:lang w:val="en-GB"/>
              </w:rPr>
              <w:t>a</w:t>
            </w:r>
            <w:r w:rsidR="00653AB8" w:rsidRPr="00A21CA2">
              <w:rPr>
                <w:rFonts w:ascii="Arial" w:hAnsi="Arial" w:cs="Arial"/>
                <w:lang w:val="en-GB"/>
              </w:rPr>
              <w:t xml:space="preserve">n important element in ensuring impartiality in the advice provided is the development and implementation of adequate arrangements to avoid conflicts of interest. All situations should be analysed early in the process for potential or perceived conflicts of interest. Actual conflicts of interests should be eliminated, while potential and perceived conflicts of interest should be addressed. </w:t>
            </w:r>
          </w:p>
          <w:p w14:paraId="5815AD93" w14:textId="17F67AD4" w:rsidR="00106E73" w:rsidRPr="00A21CA2" w:rsidRDefault="00A13149" w:rsidP="00362349">
            <w:pPr>
              <w:spacing w:line="276" w:lineRule="auto"/>
              <w:jc w:val="both"/>
              <w:rPr>
                <w:rFonts w:ascii="Arial" w:hAnsi="Arial" w:cs="Arial"/>
                <w:lang w:val="en-GB"/>
              </w:rPr>
            </w:pPr>
            <w:r w:rsidRPr="00A21CA2">
              <w:rPr>
                <w:rFonts w:ascii="Arial" w:hAnsi="Arial" w:cs="Arial"/>
                <w:lang w:val="en-GB"/>
              </w:rPr>
              <w:t xml:space="preserve">Moreover, </w:t>
            </w:r>
            <w:r w:rsidR="00BF284A" w:rsidRPr="00A21CA2">
              <w:rPr>
                <w:rFonts w:ascii="Arial" w:hAnsi="Arial" w:cs="Arial"/>
                <w:lang w:val="en-GB"/>
              </w:rPr>
              <w:t>on the basis</w:t>
            </w:r>
            <w:r w:rsidRPr="00A21CA2">
              <w:rPr>
                <w:rFonts w:ascii="Arial" w:hAnsi="Arial" w:cs="Arial"/>
                <w:lang w:val="en-GB"/>
              </w:rPr>
              <w:t xml:space="preserve"> of </w:t>
            </w:r>
            <w:r w:rsidR="00362349">
              <w:rPr>
                <w:rFonts w:ascii="Arial" w:hAnsi="Arial" w:cs="Arial"/>
                <w:lang w:val="en-GB"/>
              </w:rPr>
              <w:t>the P</w:t>
            </w:r>
            <w:r w:rsidR="00BF284A" w:rsidRPr="00A21CA2">
              <w:rPr>
                <w:rFonts w:ascii="Arial" w:hAnsi="Arial" w:cs="Arial"/>
                <w:lang w:val="en-GB"/>
              </w:rPr>
              <w:t>olish „</w:t>
            </w:r>
            <w:r w:rsidR="00362349">
              <w:rPr>
                <w:rFonts w:ascii="Arial" w:hAnsi="Arial" w:cs="Arial"/>
                <w:lang w:val="en-GB"/>
              </w:rPr>
              <w:t>P</w:t>
            </w:r>
            <w:r w:rsidRPr="00A21CA2">
              <w:rPr>
                <w:rFonts w:ascii="Arial" w:hAnsi="Arial" w:cs="Arial"/>
                <w:lang w:val="en-GB"/>
              </w:rPr>
              <w:t xml:space="preserve">ublic </w:t>
            </w:r>
            <w:r w:rsidR="00362349">
              <w:rPr>
                <w:rFonts w:ascii="Arial" w:hAnsi="Arial" w:cs="Arial"/>
                <w:lang w:val="en-GB"/>
              </w:rPr>
              <w:t>P</w:t>
            </w:r>
            <w:r w:rsidRPr="00A21CA2">
              <w:rPr>
                <w:rFonts w:ascii="Arial" w:hAnsi="Arial" w:cs="Arial"/>
                <w:lang w:val="en-GB"/>
              </w:rPr>
              <w:t xml:space="preserve">rocurement </w:t>
            </w:r>
            <w:r w:rsidR="00362349">
              <w:rPr>
                <w:rFonts w:ascii="Arial" w:hAnsi="Arial" w:cs="Arial"/>
                <w:lang w:val="en-GB"/>
              </w:rPr>
              <w:t>Law</w:t>
            </w:r>
            <w:r w:rsidR="00BF284A" w:rsidRPr="00A21CA2">
              <w:rPr>
                <w:rFonts w:ascii="Arial" w:hAnsi="Arial" w:cs="Arial"/>
                <w:lang w:val="en-GB"/>
              </w:rPr>
              <w:t>”</w:t>
            </w:r>
            <w:r w:rsidRPr="00A21CA2">
              <w:rPr>
                <w:rFonts w:ascii="Arial" w:hAnsi="Arial" w:cs="Arial"/>
                <w:lang w:val="en-GB"/>
              </w:rPr>
              <w:t xml:space="preserve">, one of the conditions for participation in the </w:t>
            </w:r>
            <w:r w:rsidR="00362349">
              <w:rPr>
                <w:rFonts w:ascii="Arial" w:hAnsi="Arial" w:cs="Arial"/>
                <w:lang w:val="en-GB"/>
              </w:rPr>
              <w:t xml:space="preserve">bidding </w:t>
            </w:r>
            <w:r w:rsidRPr="00A21CA2">
              <w:rPr>
                <w:rFonts w:ascii="Arial" w:hAnsi="Arial" w:cs="Arial"/>
                <w:lang w:val="en-GB"/>
              </w:rPr>
              <w:t xml:space="preserve">procedure will be the </w:t>
            </w:r>
            <w:proofErr w:type="spellStart"/>
            <w:r w:rsidRPr="00A21CA2">
              <w:rPr>
                <w:rFonts w:ascii="Arial" w:hAnsi="Arial" w:cs="Arial"/>
                <w:lang w:val="en-GB"/>
              </w:rPr>
              <w:t>fulfillment</w:t>
            </w:r>
            <w:proofErr w:type="spellEnd"/>
            <w:r w:rsidRPr="00A21CA2">
              <w:rPr>
                <w:rFonts w:ascii="Arial" w:hAnsi="Arial" w:cs="Arial"/>
                <w:lang w:val="en-GB"/>
              </w:rPr>
              <w:t xml:space="preserve"> of the condition of impartial performance </w:t>
            </w:r>
            <w:r w:rsidR="00362349">
              <w:rPr>
                <w:rFonts w:ascii="Arial" w:hAnsi="Arial" w:cs="Arial"/>
                <w:lang w:val="en-GB"/>
              </w:rPr>
              <w:t>in</w:t>
            </w:r>
            <w:r w:rsidRPr="00A21CA2">
              <w:rPr>
                <w:rFonts w:ascii="Arial" w:hAnsi="Arial" w:cs="Arial"/>
                <w:lang w:val="en-GB"/>
              </w:rPr>
              <w:t xml:space="preserve"> the subject of the contract.</w:t>
            </w:r>
          </w:p>
        </w:tc>
      </w:tr>
    </w:tbl>
    <w:p w14:paraId="7DFC4DEA" w14:textId="77777777" w:rsidR="004E270B" w:rsidRDefault="004E270B" w:rsidP="00963C67">
      <w:pPr>
        <w:spacing w:line="276" w:lineRule="auto"/>
        <w:jc w:val="both"/>
        <w:rPr>
          <w:rStyle w:val="Wyrnienieintensywne"/>
          <w:rFonts w:ascii="Arial" w:hAnsi="Arial" w:cs="Arial"/>
          <w:b/>
          <w:lang w:val="en-GB"/>
        </w:rPr>
      </w:pPr>
    </w:p>
    <w:p w14:paraId="7899F99F" w14:textId="77777777" w:rsidR="002F46F8" w:rsidRPr="00A21CA2" w:rsidRDefault="002F46F8" w:rsidP="00963C67">
      <w:pPr>
        <w:spacing w:line="276" w:lineRule="auto"/>
        <w:jc w:val="both"/>
        <w:rPr>
          <w:rStyle w:val="Wyrnienieintensywne"/>
          <w:rFonts w:ascii="Arial" w:hAnsi="Arial" w:cs="Arial"/>
          <w:b/>
          <w:lang w:val="en-GB"/>
        </w:rPr>
      </w:pPr>
    </w:p>
    <w:tbl>
      <w:tblPr>
        <w:tblStyle w:val="Tabela-Siatka"/>
        <w:tblW w:w="0" w:type="auto"/>
        <w:tblLook w:val="04A0" w:firstRow="1" w:lastRow="0" w:firstColumn="1" w:lastColumn="0" w:noHBand="0" w:noVBand="1"/>
      </w:tblPr>
      <w:tblGrid>
        <w:gridCol w:w="9062"/>
      </w:tblGrid>
      <w:tr w:rsidR="00BB6BE2" w:rsidRPr="00E21283" w14:paraId="14E6B96B" w14:textId="77777777" w:rsidTr="00BB6BE2">
        <w:tc>
          <w:tcPr>
            <w:tcW w:w="9062" w:type="dxa"/>
            <w:shd w:val="clear" w:color="auto" w:fill="4472C4" w:themeFill="accent5"/>
          </w:tcPr>
          <w:p w14:paraId="609A2768" w14:textId="394471AD" w:rsidR="00BB6BE2" w:rsidRPr="00E21283" w:rsidRDefault="001563DE" w:rsidP="00E21283">
            <w:pPr>
              <w:spacing w:before="60" w:after="60" w:line="276" w:lineRule="auto"/>
              <w:jc w:val="both"/>
              <w:rPr>
                <w:rStyle w:val="Wyrnienieintensywne"/>
                <w:rFonts w:ascii="Arial" w:hAnsi="Arial" w:cs="Arial"/>
                <w:b/>
              </w:rPr>
            </w:pPr>
            <w:proofErr w:type="spellStart"/>
            <w:r w:rsidRPr="001563DE">
              <w:rPr>
                <w:rStyle w:val="Wyrnienieintensywne"/>
                <w:rFonts w:ascii="Arial" w:hAnsi="Arial" w:cs="Arial"/>
                <w:b/>
                <w:color w:val="FFFFFF" w:themeColor="background1"/>
              </w:rPr>
              <w:lastRenderedPageBreak/>
              <w:t>Methods</w:t>
            </w:r>
            <w:proofErr w:type="spellEnd"/>
            <w:r w:rsidRPr="001563DE">
              <w:rPr>
                <w:rStyle w:val="Wyrnienieintensywne"/>
                <w:rFonts w:ascii="Arial" w:hAnsi="Arial" w:cs="Arial"/>
                <w:b/>
                <w:color w:val="FFFFFF" w:themeColor="background1"/>
              </w:rPr>
              <w:t xml:space="preserve"> of </w:t>
            </w:r>
            <w:proofErr w:type="spellStart"/>
            <w:r w:rsidRPr="001563DE">
              <w:rPr>
                <w:rStyle w:val="Wyrnienieintensywne"/>
                <w:rFonts w:ascii="Arial" w:hAnsi="Arial" w:cs="Arial"/>
                <w:b/>
                <w:color w:val="FFFFFF" w:themeColor="background1"/>
              </w:rPr>
              <w:t>demonstrating</w:t>
            </w:r>
            <w:proofErr w:type="spellEnd"/>
            <w:r w:rsidRPr="001563DE">
              <w:rPr>
                <w:rStyle w:val="Wyrnienieintensywne"/>
                <w:rFonts w:ascii="Arial" w:hAnsi="Arial" w:cs="Arial"/>
                <w:b/>
                <w:color w:val="FFFFFF" w:themeColor="background1"/>
              </w:rPr>
              <w:t xml:space="preserve"> </w:t>
            </w:r>
            <w:proofErr w:type="spellStart"/>
            <w:r w:rsidR="00D20B59">
              <w:rPr>
                <w:rStyle w:val="Wyrnienieintensywne"/>
                <w:rFonts w:ascii="Arial" w:hAnsi="Arial" w:cs="Arial"/>
                <w:b/>
                <w:color w:val="FFFFFF" w:themeColor="background1"/>
              </w:rPr>
              <w:t>i</w:t>
            </w:r>
            <w:r w:rsidR="00D20B59" w:rsidRPr="00362349">
              <w:rPr>
                <w:rStyle w:val="Wyrnienieintensywne"/>
                <w:rFonts w:ascii="Arial" w:hAnsi="Arial" w:cs="Arial"/>
                <w:b/>
                <w:color w:val="FFFFFF" w:themeColor="background1"/>
              </w:rPr>
              <w:t>ndependence</w:t>
            </w:r>
            <w:proofErr w:type="spellEnd"/>
          </w:p>
        </w:tc>
      </w:tr>
      <w:tr w:rsidR="00BB6BE2" w:rsidRPr="002F46F8" w14:paraId="01B857C8" w14:textId="77777777" w:rsidTr="007153C0">
        <w:trPr>
          <w:trHeight w:val="2792"/>
        </w:trPr>
        <w:tc>
          <w:tcPr>
            <w:tcW w:w="9062" w:type="dxa"/>
          </w:tcPr>
          <w:p w14:paraId="24139AF6" w14:textId="7AF9E918" w:rsidR="00CE267E" w:rsidRPr="00A21CA2" w:rsidRDefault="00D20B59" w:rsidP="00D20B59">
            <w:pPr>
              <w:spacing w:before="120" w:after="120" w:line="276" w:lineRule="auto"/>
              <w:jc w:val="both"/>
              <w:rPr>
                <w:rFonts w:ascii="Arial" w:hAnsi="Arial" w:cs="Arial"/>
                <w:lang w:val="en-GB"/>
              </w:rPr>
            </w:pPr>
            <w:r w:rsidRPr="00A21CA2">
              <w:rPr>
                <w:rFonts w:ascii="Arial" w:hAnsi="Arial" w:cs="Arial"/>
                <w:lang w:val="en-GB"/>
              </w:rPr>
              <w:t xml:space="preserve">Independence of </w:t>
            </w:r>
            <w:r w:rsidR="00362349">
              <w:rPr>
                <w:rFonts w:ascii="Arial" w:hAnsi="Arial" w:cs="Arial"/>
                <w:lang w:val="en-GB"/>
              </w:rPr>
              <w:t>expertise</w:t>
            </w:r>
            <w:r w:rsidRPr="00A21CA2">
              <w:rPr>
                <w:rFonts w:ascii="Arial" w:hAnsi="Arial" w:cs="Arial"/>
                <w:lang w:val="en-GB"/>
              </w:rPr>
              <w:t xml:space="preserve"> means that the provider of external expert sup</w:t>
            </w:r>
            <w:r w:rsidR="00362349">
              <w:rPr>
                <w:rFonts w:ascii="Arial" w:hAnsi="Arial" w:cs="Arial"/>
                <w:lang w:val="en-GB"/>
              </w:rPr>
              <w:t>p</w:t>
            </w:r>
            <w:r w:rsidRPr="00A21CA2">
              <w:rPr>
                <w:rFonts w:ascii="Arial" w:hAnsi="Arial" w:cs="Arial"/>
                <w:lang w:val="en-GB"/>
              </w:rPr>
              <w:t xml:space="preserve">ort should be able to form and express a technical judgement that demonstrates integrity, and is impartial and free from commercial, financial and other pressures from interested parties. The provider of external expert support should not be bound </w:t>
            </w:r>
            <w:r w:rsidR="00362349">
              <w:rPr>
                <w:rFonts w:ascii="Arial" w:hAnsi="Arial" w:cs="Arial"/>
                <w:lang w:val="en-GB"/>
              </w:rPr>
              <w:t>by</w:t>
            </w:r>
            <w:r w:rsidRPr="00A21CA2">
              <w:rPr>
                <w:rFonts w:ascii="Arial" w:hAnsi="Arial" w:cs="Arial"/>
                <w:lang w:val="en-GB"/>
              </w:rPr>
              <w:t xml:space="preserve"> directives from any other organization regarding the results of its work. Independence should be a characteristic of the expert. Moreover, the experts’ judgement should be based solely on technical knowledge, on results of analyses and on applicable regulatory requirements and guidance and should in no case be biased owing to political opinion. Technical competence and safety culture and security awareness in the provider of external expert sup</w:t>
            </w:r>
            <w:r w:rsidR="00362349">
              <w:rPr>
                <w:rFonts w:ascii="Arial" w:hAnsi="Arial" w:cs="Arial"/>
                <w:lang w:val="en-GB"/>
              </w:rPr>
              <w:t>p</w:t>
            </w:r>
            <w:r w:rsidRPr="00A21CA2">
              <w:rPr>
                <w:rFonts w:ascii="Arial" w:hAnsi="Arial" w:cs="Arial"/>
                <w:lang w:val="en-GB"/>
              </w:rPr>
              <w:t>ort contribute to the independence of the technical advice.</w:t>
            </w:r>
          </w:p>
          <w:p w14:paraId="0C6D4A12" w14:textId="46A03642" w:rsidR="00D20B59" w:rsidRPr="00A21CA2" w:rsidRDefault="00D20B59" w:rsidP="00D20B59">
            <w:pPr>
              <w:spacing w:before="120" w:after="120" w:line="276" w:lineRule="auto"/>
              <w:jc w:val="both"/>
              <w:rPr>
                <w:rFonts w:ascii="Arial" w:hAnsi="Arial" w:cs="Arial"/>
                <w:lang w:val="en-GB"/>
              </w:rPr>
            </w:pPr>
            <w:r w:rsidRPr="00A21CA2">
              <w:rPr>
                <w:rFonts w:ascii="Arial" w:hAnsi="Arial" w:cs="Arial"/>
                <w:lang w:val="en-GB"/>
              </w:rPr>
              <w:t>An important element in ensuring effective independence is the development and implementation of adequate arrangements that avoid actual, potential or perceived conflicts of interest. All situations should be analysed for actual, potential or perceived conflicts of interest. Actual conflicts of interests should be eliminated. This should be done as soon as possible. Ways of avoiding or detecting actual conflicts of interest include:</w:t>
            </w:r>
          </w:p>
          <w:p w14:paraId="0B4E5C45" w14:textId="0EAB2646" w:rsidR="00D20B59" w:rsidRPr="00A21CA2" w:rsidRDefault="00D20B59" w:rsidP="00D20B59">
            <w:pPr>
              <w:pStyle w:val="Akapitzlist"/>
              <w:numPr>
                <w:ilvl w:val="0"/>
                <w:numId w:val="5"/>
              </w:numPr>
              <w:spacing w:before="120" w:after="120" w:line="276" w:lineRule="auto"/>
              <w:jc w:val="both"/>
              <w:rPr>
                <w:rFonts w:ascii="Arial" w:hAnsi="Arial" w:cs="Arial"/>
                <w:lang w:val="en-GB"/>
              </w:rPr>
            </w:pPr>
            <w:r w:rsidRPr="00A21CA2">
              <w:rPr>
                <w:rFonts w:ascii="Arial" w:hAnsi="Arial" w:cs="Arial"/>
                <w:lang w:val="en-GB"/>
              </w:rPr>
              <w:t>Verifying whether the provider of external expert support has mechanisms in place such as a code of ethics and an organizational structure that promotes a strong safety culture and detects and avoids conflicts of interest;</w:t>
            </w:r>
          </w:p>
          <w:p w14:paraId="56E80353" w14:textId="6B6D67B1" w:rsidR="00D20B59" w:rsidRDefault="00D20B59" w:rsidP="00D20B59">
            <w:pPr>
              <w:pStyle w:val="Akapitzlist"/>
              <w:numPr>
                <w:ilvl w:val="0"/>
                <w:numId w:val="5"/>
              </w:numPr>
              <w:spacing w:before="120" w:after="120" w:line="276" w:lineRule="auto"/>
              <w:jc w:val="both"/>
              <w:rPr>
                <w:rFonts w:ascii="Arial" w:hAnsi="Arial" w:cs="Arial"/>
              </w:rPr>
            </w:pPr>
            <w:r w:rsidRPr="00A21CA2">
              <w:rPr>
                <w:rFonts w:ascii="Arial" w:hAnsi="Arial" w:cs="Arial"/>
                <w:lang w:val="en-GB"/>
              </w:rPr>
              <w:t xml:space="preserve">Verifying whether the organizational structure of the provider of external expert support and its internal procedures provide functional and personal separation to ensure effective independence between units carrying out work for the regulatory body and units carrying out similar work for a licensee or other organization. </w:t>
            </w:r>
            <w:r w:rsidRPr="00D20B59">
              <w:rPr>
                <w:rFonts w:ascii="Arial" w:hAnsi="Arial" w:cs="Arial"/>
              </w:rPr>
              <w:t xml:space="preserve">The </w:t>
            </w:r>
            <w:proofErr w:type="spellStart"/>
            <w:r w:rsidRPr="00D20B59">
              <w:rPr>
                <w:rFonts w:ascii="Arial" w:hAnsi="Arial" w:cs="Arial"/>
              </w:rPr>
              <w:t>links</w:t>
            </w:r>
            <w:proofErr w:type="spellEnd"/>
            <w:r w:rsidRPr="00D20B59">
              <w:rPr>
                <w:rFonts w:ascii="Arial" w:hAnsi="Arial" w:cs="Arial"/>
              </w:rPr>
              <w:t xml:space="preserve"> </w:t>
            </w:r>
            <w:proofErr w:type="spellStart"/>
            <w:r w:rsidRPr="00D20B59">
              <w:rPr>
                <w:rFonts w:ascii="Arial" w:hAnsi="Arial" w:cs="Arial"/>
              </w:rPr>
              <w:t>between</w:t>
            </w:r>
            <w:proofErr w:type="spellEnd"/>
            <w:r w:rsidRPr="00D20B59">
              <w:rPr>
                <w:rFonts w:ascii="Arial" w:hAnsi="Arial" w:cs="Arial"/>
              </w:rPr>
              <w:t xml:space="preserve"> </w:t>
            </w:r>
            <w:proofErr w:type="spellStart"/>
            <w:r w:rsidRPr="00D20B59">
              <w:rPr>
                <w:rFonts w:ascii="Arial" w:hAnsi="Arial" w:cs="Arial"/>
              </w:rPr>
              <w:t>such</w:t>
            </w:r>
            <w:proofErr w:type="spellEnd"/>
            <w:r w:rsidRPr="00D20B59">
              <w:rPr>
                <w:rFonts w:ascii="Arial" w:hAnsi="Arial" w:cs="Arial"/>
              </w:rPr>
              <w:t xml:space="preserve"> </w:t>
            </w:r>
            <w:proofErr w:type="spellStart"/>
            <w:r w:rsidRPr="00D20B59">
              <w:rPr>
                <w:rFonts w:ascii="Arial" w:hAnsi="Arial" w:cs="Arial"/>
              </w:rPr>
              <w:t>units</w:t>
            </w:r>
            <w:proofErr w:type="spellEnd"/>
            <w:r w:rsidRPr="00D20B59">
              <w:rPr>
                <w:rFonts w:ascii="Arial" w:hAnsi="Arial" w:cs="Arial"/>
              </w:rPr>
              <w:t xml:space="preserve"> </w:t>
            </w:r>
            <w:proofErr w:type="spellStart"/>
            <w:r w:rsidRPr="00D20B59">
              <w:rPr>
                <w:rFonts w:ascii="Arial" w:hAnsi="Arial" w:cs="Arial"/>
              </w:rPr>
              <w:t>should</w:t>
            </w:r>
            <w:proofErr w:type="spellEnd"/>
            <w:r w:rsidRPr="00D20B59">
              <w:rPr>
                <w:rFonts w:ascii="Arial" w:hAnsi="Arial" w:cs="Arial"/>
              </w:rPr>
              <w:t xml:space="preserve"> be</w:t>
            </w:r>
            <w:r>
              <w:rPr>
                <w:rFonts w:ascii="Arial" w:hAnsi="Arial" w:cs="Arial"/>
              </w:rPr>
              <w:t xml:space="preserve"> </w:t>
            </w:r>
            <w:proofErr w:type="spellStart"/>
            <w:r w:rsidRPr="00D20B59">
              <w:rPr>
                <w:rFonts w:ascii="Arial" w:hAnsi="Arial" w:cs="Arial"/>
              </w:rPr>
              <w:t>carefully</w:t>
            </w:r>
            <w:proofErr w:type="spellEnd"/>
            <w:r w:rsidRPr="00D20B59">
              <w:rPr>
                <w:rFonts w:ascii="Arial" w:hAnsi="Arial" w:cs="Arial"/>
              </w:rPr>
              <w:t xml:space="preserve"> </w:t>
            </w:r>
            <w:proofErr w:type="spellStart"/>
            <w:r w:rsidRPr="00D20B59">
              <w:rPr>
                <w:rFonts w:ascii="Arial" w:hAnsi="Arial" w:cs="Arial"/>
              </w:rPr>
              <w:t>monitored</w:t>
            </w:r>
            <w:proofErr w:type="spellEnd"/>
            <w:r w:rsidRPr="00D20B59">
              <w:rPr>
                <w:rFonts w:ascii="Arial" w:hAnsi="Arial" w:cs="Arial"/>
              </w:rPr>
              <w:t>.</w:t>
            </w:r>
          </w:p>
          <w:p w14:paraId="72640247" w14:textId="00F4E2BF" w:rsidR="00D20B59" w:rsidRPr="00A21CA2" w:rsidRDefault="00DA459D" w:rsidP="00323764">
            <w:pPr>
              <w:spacing w:before="120" w:after="120" w:line="276" w:lineRule="auto"/>
              <w:jc w:val="both"/>
              <w:rPr>
                <w:rFonts w:ascii="Arial" w:hAnsi="Arial" w:cs="Arial"/>
                <w:lang w:val="en-GB"/>
              </w:rPr>
            </w:pPr>
            <w:r w:rsidRPr="00A21CA2">
              <w:rPr>
                <w:rFonts w:ascii="Arial" w:hAnsi="Arial" w:cs="Arial"/>
                <w:lang w:val="en-GB"/>
              </w:rPr>
              <w:t>If neither of these things can be verified, an alternative opinion from other providers should be sought. If there is any doubt, legal advice should be sought. Potential and perceived conflicts of interest should be explicitly discussed and managed.</w:t>
            </w:r>
          </w:p>
        </w:tc>
      </w:tr>
    </w:tbl>
    <w:p w14:paraId="180C3C0C" w14:textId="77777777" w:rsidR="00BB6BE2" w:rsidRPr="00A21CA2" w:rsidRDefault="00BB6BE2" w:rsidP="000D1728">
      <w:pPr>
        <w:spacing w:line="276" w:lineRule="auto"/>
        <w:jc w:val="both"/>
        <w:rPr>
          <w:rStyle w:val="Wyrnienieintensywne"/>
          <w:rFonts w:ascii="Arial" w:hAnsi="Arial" w:cs="Arial"/>
          <w:b/>
          <w:lang w:val="en-GB"/>
        </w:rPr>
      </w:pPr>
    </w:p>
    <w:tbl>
      <w:tblPr>
        <w:tblStyle w:val="Tabela-Siatka"/>
        <w:tblW w:w="0" w:type="auto"/>
        <w:tblLook w:val="04A0" w:firstRow="1" w:lastRow="0" w:firstColumn="1" w:lastColumn="0" w:noHBand="0" w:noVBand="1"/>
      </w:tblPr>
      <w:tblGrid>
        <w:gridCol w:w="9062"/>
      </w:tblGrid>
      <w:tr w:rsidR="00BB6BE2" w:rsidRPr="00E21283" w14:paraId="43A55FC1" w14:textId="77777777" w:rsidTr="00BB6BE2">
        <w:tc>
          <w:tcPr>
            <w:tcW w:w="9062" w:type="dxa"/>
            <w:shd w:val="clear" w:color="auto" w:fill="4472C4" w:themeFill="accent5"/>
          </w:tcPr>
          <w:p w14:paraId="2868482B" w14:textId="0D5CE52E" w:rsidR="00BB6BE2" w:rsidRPr="00E21283" w:rsidRDefault="001563DE" w:rsidP="00E21283">
            <w:pPr>
              <w:spacing w:before="60" w:after="60" w:line="276" w:lineRule="auto"/>
              <w:jc w:val="both"/>
              <w:rPr>
                <w:rStyle w:val="Wyrnienieintensywne"/>
                <w:rFonts w:ascii="Arial" w:hAnsi="Arial" w:cs="Arial"/>
                <w:b/>
              </w:rPr>
            </w:pPr>
            <w:proofErr w:type="spellStart"/>
            <w:r w:rsidRPr="001563DE">
              <w:rPr>
                <w:rStyle w:val="Wyrnienieintensywne"/>
                <w:rFonts w:ascii="Arial" w:hAnsi="Arial" w:cs="Arial"/>
                <w:b/>
                <w:color w:val="FFFFFF" w:themeColor="background1"/>
              </w:rPr>
              <w:t>Useful</w:t>
            </w:r>
            <w:proofErr w:type="spellEnd"/>
            <w:r w:rsidRPr="001563DE">
              <w:rPr>
                <w:rStyle w:val="Wyrnienieintensywne"/>
                <w:rFonts w:ascii="Arial" w:hAnsi="Arial" w:cs="Arial"/>
                <w:b/>
                <w:color w:val="FFFFFF" w:themeColor="background1"/>
              </w:rPr>
              <w:t xml:space="preserve"> </w:t>
            </w:r>
            <w:proofErr w:type="spellStart"/>
            <w:r w:rsidRPr="001563DE">
              <w:rPr>
                <w:rStyle w:val="Wyrnienieintensywne"/>
                <w:rFonts w:ascii="Arial" w:hAnsi="Arial" w:cs="Arial"/>
                <w:b/>
                <w:color w:val="FFFFFF" w:themeColor="background1"/>
              </w:rPr>
              <w:t>documents</w:t>
            </w:r>
            <w:proofErr w:type="spellEnd"/>
          </w:p>
        </w:tc>
      </w:tr>
      <w:tr w:rsidR="00BB6BE2" w:rsidRPr="002F46F8" w14:paraId="4A6837B2" w14:textId="77777777" w:rsidTr="0088781A">
        <w:trPr>
          <w:trHeight w:val="3348"/>
        </w:trPr>
        <w:tc>
          <w:tcPr>
            <w:tcW w:w="9062" w:type="dxa"/>
          </w:tcPr>
          <w:p w14:paraId="3A57498D" w14:textId="435BE406" w:rsidR="00BB6BE2" w:rsidRPr="002F46F8" w:rsidRDefault="001563DE" w:rsidP="002F46F8">
            <w:pPr>
              <w:jc w:val="both"/>
              <w:rPr>
                <w:rFonts w:ascii="Arial" w:hAnsi="Arial" w:cs="Arial"/>
                <w:lang w:val="en-US"/>
              </w:rPr>
            </w:pPr>
            <w:r w:rsidRPr="002F46F8">
              <w:rPr>
                <w:rFonts w:ascii="Arial" w:hAnsi="Arial" w:cs="Arial"/>
                <w:lang w:val="en-US"/>
              </w:rPr>
              <w:t>Guidelines of the International Atomic Energy Agency:</w:t>
            </w:r>
          </w:p>
          <w:p w14:paraId="41AD8947" w14:textId="77777777" w:rsidR="00BB6BE2" w:rsidRPr="00E21283" w:rsidRDefault="00BB6BE2" w:rsidP="00654147">
            <w:pPr>
              <w:pStyle w:val="Akapitzlist"/>
              <w:numPr>
                <w:ilvl w:val="0"/>
                <w:numId w:val="3"/>
              </w:numPr>
              <w:ind w:left="714" w:hanging="357"/>
              <w:jc w:val="both"/>
              <w:rPr>
                <w:rFonts w:ascii="Arial" w:hAnsi="Arial" w:cs="Arial"/>
                <w:lang w:val="en-US"/>
              </w:rPr>
            </w:pPr>
            <w:r w:rsidRPr="00E21283">
              <w:rPr>
                <w:rFonts w:ascii="Arial" w:hAnsi="Arial" w:cs="Arial"/>
                <w:lang w:val="en-US"/>
              </w:rPr>
              <w:t>"</w:t>
            </w:r>
            <w:r w:rsidRPr="00654147">
              <w:rPr>
                <w:rFonts w:ascii="Arial" w:hAnsi="Arial" w:cs="Arial"/>
                <w:lang w:val="en-US"/>
              </w:rPr>
              <w:t>Technical and Scientific Support Organizations Providing Support to Regulatory Functions</w:t>
            </w:r>
            <w:r w:rsidRPr="00E21283">
              <w:rPr>
                <w:rFonts w:ascii="Arial" w:hAnsi="Arial" w:cs="Arial"/>
                <w:lang w:val="en-US"/>
              </w:rPr>
              <w:t>"</w:t>
            </w:r>
          </w:p>
          <w:p w14:paraId="39784794" w14:textId="77777777" w:rsidR="00BB6BE2" w:rsidRPr="002F46F8" w:rsidRDefault="00CE04E9" w:rsidP="002F46F8">
            <w:pPr>
              <w:spacing w:after="120"/>
              <w:ind w:left="709"/>
              <w:jc w:val="both"/>
              <w:rPr>
                <w:rFonts w:ascii="Arial" w:hAnsi="Arial" w:cs="Arial"/>
                <w:i/>
                <w:color w:val="4472C4" w:themeColor="accent5"/>
                <w:lang w:val="en-US"/>
              </w:rPr>
            </w:pPr>
            <w:hyperlink r:id="rId7" w:history="1">
              <w:r w:rsidR="00BB6BE2" w:rsidRPr="002F46F8">
                <w:rPr>
                  <w:i/>
                  <w:color w:val="4472C4" w:themeColor="accent5"/>
                  <w:lang w:val="en-US"/>
                </w:rPr>
                <w:t>https://www.iaea.org/publications/12267/technical-and-scientific-support-organizations-providing-support-to-regulatory-functions</w:t>
              </w:r>
            </w:hyperlink>
          </w:p>
          <w:p w14:paraId="565EC9FD" w14:textId="37707B1E" w:rsidR="00BB6BE2" w:rsidRPr="00E21283" w:rsidRDefault="00BB6BE2" w:rsidP="002F46F8">
            <w:pPr>
              <w:pStyle w:val="Akapitzlist"/>
              <w:numPr>
                <w:ilvl w:val="0"/>
                <w:numId w:val="3"/>
              </w:numPr>
              <w:ind w:left="714" w:hanging="357"/>
              <w:jc w:val="both"/>
              <w:rPr>
                <w:rFonts w:ascii="Arial" w:hAnsi="Arial" w:cs="Arial"/>
                <w:lang w:val="en-US"/>
              </w:rPr>
            </w:pPr>
            <w:r w:rsidRPr="00E21283">
              <w:rPr>
                <w:rFonts w:ascii="Arial" w:hAnsi="Arial" w:cs="Arial"/>
                <w:lang w:val="en-US"/>
              </w:rPr>
              <w:t>"</w:t>
            </w:r>
            <w:r w:rsidRPr="00654147">
              <w:rPr>
                <w:rFonts w:ascii="Arial" w:hAnsi="Arial" w:cs="Arial"/>
                <w:lang w:val="en-US"/>
              </w:rPr>
              <w:t>Use of External Experts by the Regulatory Body</w:t>
            </w:r>
            <w:r w:rsidRPr="00E21283">
              <w:rPr>
                <w:rFonts w:ascii="Arial" w:hAnsi="Arial" w:cs="Arial"/>
                <w:lang w:val="en-US"/>
              </w:rPr>
              <w:t>"</w:t>
            </w:r>
          </w:p>
          <w:p w14:paraId="0D77C4DB" w14:textId="77777777" w:rsidR="00BB6BE2" w:rsidRPr="002F46F8" w:rsidRDefault="00CE04E9" w:rsidP="002F46F8">
            <w:pPr>
              <w:spacing w:after="120"/>
              <w:ind w:left="709"/>
              <w:jc w:val="both"/>
              <w:rPr>
                <w:rFonts w:ascii="Arial" w:hAnsi="Arial" w:cs="Arial"/>
                <w:i/>
                <w:color w:val="4472C4" w:themeColor="accent5"/>
                <w:lang w:val="en-US"/>
              </w:rPr>
            </w:pPr>
            <w:hyperlink r:id="rId8" w:history="1">
              <w:r w:rsidR="00BB6BE2" w:rsidRPr="002F46F8">
                <w:rPr>
                  <w:i/>
                  <w:color w:val="4472C4" w:themeColor="accent5"/>
                  <w:lang w:val="en-US"/>
                </w:rPr>
                <w:t>https://www.iaea.org/publications/8934/use-of-external-experts-by-the-regulatory-body</w:t>
              </w:r>
            </w:hyperlink>
          </w:p>
          <w:p w14:paraId="46C7C626" w14:textId="77777777" w:rsidR="00BB6BE2" w:rsidRPr="00E21283" w:rsidRDefault="00BB6BE2" w:rsidP="002F46F8">
            <w:pPr>
              <w:pStyle w:val="Akapitzlist"/>
              <w:numPr>
                <w:ilvl w:val="0"/>
                <w:numId w:val="3"/>
              </w:numPr>
              <w:ind w:left="714" w:hanging="357"/>
              <w:jc w:val="both"/>
              <w:rPr>
                <w:rFonts w:ascii="Arial" w:hAnsi="Arial" w:cs="Arial"/>
                <w:lang w:val="en-US"/>
              </w:rPr>
            </w:pPr>
            <w:r w:rsidRPr="00654147">
              <w:rPr>
                <w:rFonts w:ascii="Arial" w:hAnsi="Arial" w:cs="Arial"/>
                <w:lang w:val="en-US"/>
              </w:rPr>
              <w:t>“</w:t>
            </w:r>
            <w:r w:rsidR="009367F6" w:rsidRPr="00654147">
              <w:rPr>
                <w:rFonts w:ascii="Arial" w:hAnsi="Arial" w:cs="Arial"/>
                <w:lang w:val="en-US"/>
              </w:rPr>
              <w:t xml:space="preserve">Organization, </w:t>
            </w:r>
            <w:r w:rsidRPr="00654147">
              <w:rPr>
                <w:rFonts w:ascii="Arial" w:hAnsi="Arial" w:cs="Arial"/>
                <w:lang w:val="en-US"/>
              </w:rPr>
              <w:t>Management and Staffing of the Regulatory Body for Safety</w:t>
            </w:r>
            <w:r w:rsidRPr="00E21283">
              <w:rPr>
                <w:rFonts w:ascii="Arial" w:hAnsi="Arial" w:cs="Arial"/>
                <w:lang w:val="en-US"/>
              </w:rPr>
              <w:t xml:space="preserve"> </w:t>
            </w:r>
            <w:r w:rsidRPr="00654147">
              <w:rPr>
                <w:rFonts w:ascii="Arial" w:hAnsi="Arial" w:cs="Arial"/>
                <w:lang w:val="en-US"/>
              </w:rPr>
              <w:t>Organization</w:t>
            </w:r>
            <w:r w:rsidRPr="00E21283">
              <w:rPr>
                <w:rFonts w:ascii="Arial" w:hAnsi="Arial" w:cs="Arial"/>
                <w:lang w:val="en-US"/>
              </w:rPr>
              <w:t>”</w:t>
            </w:r>
          </w:p>
          <w:p w14:paraId="7909694E" w14:textId="77777777" w:rsidR="00BB6BE2" w:rsidRPr="002F46F8" w:rsidRDefault="00CE04E9" w:rsidP="002F46F8">
            <w:pPr>
              <w:spacing w:after="120"/>
              <w:ind w:left="709"/>
              <w:jc w:val="both"/>
              <w:rPr>
                <w:rFonts w:ascii="Arial" w:hAnsi="Arial" w:cs="Arial"/>
                <w:i/>
                <w:color w:val="4472C4" w:themeColor="accent5"/>
                <w:lang w:val="en-US"/>
              </w:rPr>
            </w:pPr>
            <w:hyperlink r:id="rId9" w:history="1">
              <w:r w:rsidR="00BB6BE2" w:rsidRPr="002F46F8">
                <w:rPr>
                  <w:i/>
                  <w:color w:val="4472C4" w:themeColor="accent5"/>
                  <w:lang w:val="en-US"/>
                </w:rPr>
                <w:t>https://www.iaea.org/publications/12272/organization-management-and-staffing-of-the-regulatory-body-for-safety</w:t>
              </w:r>
            </w:hyperlink>
          </w:p>
          <w:p w14:paraId="7919DCCE" w14:textId="1A5D316F" w:rsidR="00BB6BE2" w:rsidRPr="002F46F8" w:rsidRDefault="00DA459D" w:rsidP="002F46F8">
            <w:pPr>
              <w:jc w:val="both"/>
              <w:rPr>
                <w:rFonts w:ascii="Arial" w:hAnsi="Arial" w:cs="Arial"/>
                <w:lang w:val="en-GB"/>
              </w:rPr>
            </w:pPr>
            <w:r w:rsidRPr="002F46F8">
              <w:rPr>
                <w:rFonts w:ascii="Arial" w:hAnsi="Arial" w:cs="Arial"/>
                <w:lang w:val="en-GB"/>
              </w:rPr>
              <w:t>Examples of introduced methods of avoiding conflicts of interests</w:t>
            </w:r>
            <w:r w:rsidR="00BB6BE2" w:rsidRPr="002F46F8">
              <w:rPr>
                <w:rFonts w:ascii="Arial" w:hAnsi="Arial" w:cs="Arial"/>
                <w:lang w:val="en-GB"/>
              </w:rPr>
              <w:t>:</w:t>
            </w:r>
          </w:p>
          <w:p w14:paraId="7038B442" w14:textId="77777777" w:rsidR="00BB6BE2" w:rsidRPr="002F46F8" w:rsidRDefault="00CE04E9" w:rsidP="00654147">
            <w:pPr>
              <w:ind w:left="708"/>
              <w:jc w:val="both"/>
              <w:rPr>
                <w:rFonts w:ascii="Arial" w:hAnsi="Arial" w:cs="Arial"/>
                <w:i/>
                <w:lang w:val="en-GB"/>
              </w:rPr>
            </w:pPr>
            <w:hyperlink r:id="rId10" w:history="1">
              <w:r w:rsidR="00BB6BE2" w:rsidRPr="002F46F8">
                <w:rPr>
                  <w:i/>
                  <w:color w:val="4472C4" w:themeColor="accent5"/>
                  <w:lang w:val="en-GB"/>
                </w:rPr>
                <w:t>https://inis.iaea.org/collection/NCLCollectionStore/_Public/49/053/49053177.pdf</w:t>
              </w:r>
            </w:hyperlink>
          </w:p>
        </w:tc>
      </w:tr>
    </w:tbl>
    <w:p w14:paraId="1B2D7AE9" w14:textId="77777777" w:rsidR="00794033" w:rsidRPr="00A21CA2" w:rsidRDefault="00794033" w:rsidP="00BB6BE2">
      <w:pPr>
        <w:jc w:val="both"/>
        <w:rPr>
          <w:lang w:val="en-GB"/>
        </w:rPr>
      </w:pPr>
    </w:p>
    <w:sectPr w:rsidR="00794033" w:rsidRPr="00A21CA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B3C16" w14:textId="77777777" w:rsidR="007B65F0" w:rsidRDefault="007B65F0" w:rsidP="000A43B3">
      <w:pPr>
        <w:spacing w:after="0" w:line="240" w:lineRule="auto"/>
      </w:pPr>
      <w:r>
        <w:separator/>
      </w:r>
    </w:p>
  </w:endnote>
  <w:endnote w:type="continuationSeparator" w:id="0">
    <w:p w14:paraId="2096DD23" w14:textId="77777777" w:rsidR="007B65F0" w:rsidRDefault="007B65F0" w:rsidP="000A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F68C" w14:textId="77777777" w:rsidR="00541A96" w:rsidRDefault="00541A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792872"/>
      <w:docPartObj>
        <w:docPartGallery w:val="Page Numbers (Bottom of Page)"/>
        <w:docPartUnique/>
      </w:docPartObj>
    </w:sdtPr>
    <w:sdtEndPr/>
    <w:sdtContent>
      <w:p w14:paraId="6DB4E13D" w14:textId="70660F46" w:rsidR="000A43B3" w:rsidRPr="00541A96" w:rsidRDefault="00541A96" w:rsidP="000A43B3">
        <w:pPr>
          <w:pStyle w:val="Stopka"/>
          <w:jc w:val="right"/>
          <w:rPr>
            <w:lang w:val="en-US"/>
          </w:rPr>
        </w:pPr>
        <w:r w:rsidRPr="00D95930">
          <w:rPr>
            <w:lang w:val="en-GB"/>
          </w:rPr>
          <w:t>Comment</w:t>
        </w:r>
        <w:r>
          <w:rPr>
            <w:lang w:val="en-GB"/>
          </w:rPr>
          <w:t xml:space="preserve">s </w:t>
        </w:r>
        <w:r w:rsidRPr="00D95930">
          <w:rPr>
            <w:lang w:val="en-GB"/>
          </w:rPr>
          <w:t xml:space="preserve">on the concept of impartiality </w:t>
        </w:r>
        <w:r>
          <w:rPr>
            <w:lang w:val="en-GB"/>
          </w:rPr>
          <w:t>(</w:t>
        </w:r>
        <w:r w:rsidR="003C77E9" w:rsidRPr="00541A96">
          <w:rPr>
            <w:lang w:val="en-US"/>
          </w:rPr>
          <w:t>version</w:t>
        </w:r>
        <w:r w:rsidR="00D81D05" w:rsidRPr="00541A96">
          <w:rPr>
            <w:lang w:val="en-US"/>
          </w:rPr>
          <w:t xml:space="preserve"> </w:t>
        </w:r>
        <w:r w:rsidR="003C77E9" w:rsidRPr="00541A96">
          <w:rPr>
            <w:lang w:val="en-US"/>
          </w:rPr>
          <w:t>0</w:t>
        </w:r>
        <w:r>
          <w:rPr>
            <w:lang w:val="en-US"/>
          </w:rPr>
          <w:t>9</w:t>
        </w:r>
        <w:r w:rsidR="003C77E9" w:rsidRPr="00541A96">
          <w:rPr>
            <w:lang w:val="en-US"/>
          </w:rPr>
          <w:t>.08</w:t>
        </w:r>
        <w:r w:rsidR="00D81D05" w:rsidRPr="00541A96">
          <w:rPr>
            <w:lang w:val="en-US"/>
          </w:rPr>
          <w:t>.2021</w:t>
        </w:r>
        <w:r>
          <w:rPr>
            <w:lang w:val="en-US"/>
          </w:rPr>
          <w:t>)</w:t>
        </w:r>
        <w:r w:rsidR="00D81D05" w:rsidRPr="00541A96">
          <w:rPr>
            <w:lang w:val="en-US"/>
          </w:rPr>
          <w:t xml:space="preserve"> </w:t>
        </w:r>
        <w:r w:rsidR="00D81D05" w:rsidRPr="00541A96">
          <w:rPr>
            <w:lang w:val="en-US"/>
          </w:rPr>
          <w:tab/>
        </w:r>
        <w:r w:rsidR="000A43B3">
          <w:fldChar w:fldCharType="begin"/>
        </w:r>
        <w:r w:rsidR="000A43B3" w:rsidRPr="00541A96">
          <w:rPr>
            <w:lang w:val="en-US"/>
          </w:rPr>
          <w:instrText>PAGE   \* MERGEFORMAT</w:instrText>
        </w:r>
        <w:r w:rsidR="000A43B3">
          <w:fldChar w:fldCharType="separate"/>
        </w:r>
        <w:r w:rsidR="002F46F8">
          <w:rPr>
            <w:noProof/>
            <w:lang w:val="en-US"/>
          </w:rPr>
          <w:t>2</w:t>
        </w:r>
        <w:r w:rsidR="000A43B3">
          <w:fldChar w:fldCharType="end"/>
        </w:r>
        <w:r w:rsidR="000A43B3" w:rsidRPr="00541A96">
          <w:rPr>
            <w:lang w:val="en-US"/>
          </w:rPr>
          <w:t>/</w:t>
        </w:r>
        <w:r w:rsidR="00D72024">
          <w:rPr>
            <w:noProof/>
          </w:rPr>
          <w:fldChar w:fldCharType="begin"/>
        </w:r>
        <w:r w:rsidR="00D72024" w:rsidRPr="00541A96">
          <w:rPr>
            <w:noProof/>
            <w:lang w:val="en-US"/>
          </w:rPr>
          <w:instrText xml:space="preserve"> NUMPAGES   \* MERGEFORMAT </w:instrText>
        </w:r>
        <w:r w:rsidR="00D72024">
          <w:rPr>
            <w:noProof/>
          </w:rPr>
          <w:fldChar w:fldCharType="separate"/>
        </w:r>
        <w:r w:rsidR="002F46F8">
          <w:rPr>
            <w:noProof/>
            <w:lang w:val="en-US"/>
          </w:rPr>
          <w:t>2</w:t>
        </w:r>
        <w:r w:rsidR="00D7202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D531" w14:textId="77777777" w:rsidR="00541A96" w:rsidRDefault="00541A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84C7" w14:textId="77777777" w:rsidR="007B65F0" w:rsidRDefault="007B65F0" w:rsidP="000A43B3">
      <w:pPr>
        <w:spacing w:after="0" w:line="240" w:lineRule="auto"/>
      </w:pPr>
      <w:r>
        <w:separator/>
      </w:r>
    </w:p>
  </w:footnote>
  <w:footnote w:type="continuationSeparator" w:id="0">
    <w:p w14:paraId="3EE5F9AD" w14:textId="77777777" w:rsidR="007B65F0" w:rsidRDefault="007B65F0" w:rsidP="000A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A39A" w14:textId="77777777" w:rsidR="00541A96" w:rsidRDefault="00541A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8518" w14:textId="77777777" w:rsidR="00541A96" w:rsidRDefault="00541A9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77AF" w14:textId="77777777" w:rsidR="00541A96" w:rsidRDefault="00541A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A82"/>
    <w:multiLevelType w:val="hybridMultilevel"/>
    <w:tmpl w:val="2BB65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A082F"/>
    <w:multiLevelType w:val="hybridMultilevel"/>
    <w:tmpl w:val="501A4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8B1CD2"/>
    <w:multiLevelType w:val="hybridMultilevel"/>
    <w:tmpl w:val="0EDC7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453A68"/>
    <w:multiLevelType w:val="hybridMultilevel"/>
    <w:tmpl w:val="B98A8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766852"/>
    <w:multiLevelType w:val="hybridMultilevel"/>
    <w:tmpl w:val="DBFCD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AD"/>
    <w:rsid w:val="00004EC7"/>
    <w:rsid w:val="000A43B3"/>
    <w:rsid w:val="000C58C8"/>
    <w:rsid w:val="000D1728"/>
    <w:rsid w:val="00106E73"/>
    <w:rsid w:val="00120F2B"/>
    <w:rsid w:val="001563DE"/>
    <w:rsid w:val="001A0931"/>
    <w:rsid w:val="001B1195"/>
    <w:rsid w:val="001B3325"/>
    <w:rsid w:val="001D1319"/>
    <w:rsid w:val="001D135E"/>
    <w:rsid w:val="00247AC9"/>
    <w:rsid w:val="00284166"/>
    <w:rsid w:val="002B6E70"/>
    <w:rsid w:val="002F46F8"/>
    <w:rsid w:val="0030395D"/>
    <w:rsid w:val="00316B82"/>
    <w:rsid w:val="00323764"/>
    <w:rsid w:val="003613AD"/>
    <w:rsid w:val="00362349"/>
    <w:rsid w:val="003841E9"/>
    <w:rsid w:val="00390A80"/>
    <w:rsid w:val="003B67AD"/>
    <w:rsid w:val="003C77E9"/>
    <w:rsid w:val="004155C0"/>
    <w:rsid w:val="00417563"/>
    <w:rsid w:val="00492373"/>
    <w:rsid w:val="004A124C"/>
    <w:rsid w:val="004A3F04"/>
    <w:rsid w:val="004B3842"/>
    <w:rsid w:val="004E270B"/>
    <w:rsid w:val="004F540E"/>
    <w:rsid w:val="00537402"/>
    <w:rsid w:val="00537A02"/>
    <w:rsid w:val="00541A96"/>
    <w:rsid w:val="006120FA"/>
    <w:rsid w:val="00653AB8"/>
    <w:rsid w:val="00654147"/>
    <w:rsid w:val="00664502"/>
    <w:rsid w:val="006856D9"/>
    <w:rsid w:val="006A3D16"/>
    <w:rsid w:val="006B1FED"/>
    <w:rsid w:val="006D4A20"/>
    <w:rsid w:val="0073467B"/>
    <w:rsid w:val="00794033"/>
    <w:rsid w:val="007B65F0"/>
    <w:rsid w:val="00840131"/>
    <w:rsid w:val="008932F6"/>
    <w:rsid w:val="008A62D1"/>
    <w:rsid w:val="008B3938"/>
    <w:rsid w:val="009255DF"/>
    <w:rsid w:val="00933D8C"/>
    <w:rsid w:val="009367F6"/>
    <w:rsid w:val="00942565"/>
    <w:rsid w:val="00963C67"/>
    <w:rsid w:val="00965E6E"/>
    <w:rsid w:val="00977876"/>
    <w:rsid w:val="009A4AEB"/>
    <w:rsid w:val="009D1FF6"/>
    <w:rsid w:val="009E7C62"/>
    <w:rsid w:val="00A13149"/>
    <w:rsid w:val="00A21CA2"/>
    <w:rsid w:val="00A464AC"/>
    <w:rsid w:val="00B56B30"/>
    <w:rsid w:val="00B77E2D"/>
    <w:rsid w:val="00B8272D"/>
    <w:rsid w:val="00BA63F6"/>
    <w:rsid w:val="00BB3963"/>
    <w:rsid w:val="00BB6BE2"/>
    <w:rsid w:val="00BF284A"/>
    <w:rsid w:val="00CC4833"/>
    <w:rsid w:val="00CE04E9"/>
    <w:rsid w:val="00CE267E"/>
    <w:rsid w:val="00CE5F81"/>
    <w:rsid w:val="00D20B59"/>
    <w:rsid w:val="00D45B88"/>
    <w:rsid w:val="00D72024"/>
    <w:rsid w:val="00D81BAD"/>
    <w:rsid w:val="00D81D05"/>
    <w:rsid w:val="00DA459D"/>
    <w:rsid w:val="00DB7E82"/>
    <w:rsid w:val="00DD4C55"/>
    <w:rsid w:val="00E152A5"/>
    <w:rsid w:val="00E21283"/>
    <w:rsid w:val="00E46CB6"/>
    <w:rsid w:val="00E746E7"/>
    <w:rsid w:val="00E96BA3"/>
    <w:rsid w:val="00F26ED5"/>
    <w:rsid w:val="00F4632B"/>
    <w:rsid w:val="00F532F6"/>
    <w:rsid w:val="00F65267"/>
    <w:rsid w:val="00F6703D"/>
    <w:rsid w:val="00F70635"/>
    <w:rsid w:val="00FB1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11C9"/>
  <w15:chartTrackingRefBased/>
  <w15:docId w15:val="{84C07CB4-A29C-4E44-BB6B-A168B6E7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73467B"/>
    <w:rPr>
      <w:i/>
      <w:iCs/>
      <w:color w:val="5B9BD5" w:themeColor="accent1"/>
    </w:rPr>
  </w:style>
  <w:style w:type="paragraph" w:styleId="Akapitzlist">
    <w:name w:val="List Paragraph"/>
    <w:basedOn w:val="Normalny"/>
    <w:uiPriority w:val="34"/>
    <w:qFormat/>
    <w:rsid w:val="00D81BAD"/>
    <w:pPr>
      <w:ind w:left="720"/>
      <w:contextualSpacing/>
    </w:pPr>
  </w:style>
  <w:style w:type="character" w:styleId="Odwoaniedokomentarza">
    <w:name w:val="annotation reference"/>
    <w:basedOn w:val="Domylnaczcionkaakapitu"/>
    <w:uiPriority w:val="99"/>
    <w:semiHidden/>
    <w:unhideWhenUsed/>
    <w:rsid w:val="00D81BAD"/>
    <w:rPr>
      <w:sz w:val="16"/>
      <w:szCs w:val="16"/>
    </w:rPr>
  </w:style>
  <w:style w:type="paragraph" w:styleId="Tekstkomentarza">
    <w:name w:val="annotation text"/>
    <w:basedOn w:val="Normalny"/>
    <w:link w:val="TekstkomentarzaZnak"/>
    <w:uiPriority w:val="99"/>
    <w:semiHidden/>
    <w:unhideWhenUsed/>
    <w:rsid w:val="00D81B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1BAD"/>
    <w:rPr>
      <w:sz w:val="20"/>
      <w:szCs w:val="20"/>
    </w:rPr>
  </w:style>
  <w:style w:type="paragraph" w:styleId="Tematkomentarza">
    <w:name w:val="annotation subject"/>
    <w:basedOn w:val="Tekstkomentarza"/>
    <w:next w:val="Tekstkomentarza"/>
    <w:link w:val="TematkomentarzaZnak"/>
    <w:uiPriority w:val="99"/>
    <w:semiHidden/>
    <w:unhideWhenUsed/>
    <w:rsid w:val="00D81BAD"/>
    <w:rPr>
      <w:b/>
      <w:bCs/>
    </w:rPr>
  </w:style>
  <w:style w:type="character" w:customStyle="1" w:styleId="TematkomentarzaZnak">
    <w:name w:val="Temat komentarza Znak"/>
    <w:basedOn w:val="TekstkomentarzaZnak"/>
    <w:link w:val="Tematkomentarza"/>
    <w:uiPriority w:val="99"/>
    <w:semiHidden/>
    <w:rsid w:val="00D81BAD"/>
    <w:rPr>
      <w:b/>
      <w:bCs/>
      <w:sz w:val="20"/>
      <w:szCs w:val="20"/>
    </w:rPr>
  </w:style>
  <w:style w:type="paragraph" w:styleId="Tekstdymka">
    <w:name w:val="Balloon Text"/>
    <w:basedOn w:val="Normalny"/>
    <w:link w:val="TekstdymkaZnak"/>
    <w:uiPriority w:val="99"/>
    <w:semiHidden/>
    <w:unhideWhenUsed/>
    <w:rsid w:val="00D81B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1BAD"/>
    <w:rPr>
      <w:rFonts w:ascii="Segoe UI" w:hAnsi="Segoe UI" w:cs="Segoe UI"/>
      <w:sz w:val="18"/>
      <w:szCs w:val="18"/>
    </w:rPr>
  </w:style>
  <w:style w:type="character" w:styleId="Hipercze">
    <w:name w:val="Hyperlink"/>
    <w:basedOn w:val="Domylnaczcionkaakapitu"/>
    <w:uiPriority w:val="99"/>
    <w:unhideWhenUsed/>
    <w:rsid w:val="000D1728"/>
    <w:rPr>
      <w:color w:val="0563C1" w:themeColor="hyperlink"/>
      <w:u w:val="single"/>
    </w:rPr>
  </w:style>
  <w:style w:type="character" w:customStyle="1" w:styleId="Nierozpoznanawzmianka1">
    <w:name w:val="Nierozpoznana wzmianka1"/>
    <w:basedOn w:val="Domylnaczcionkaakapitu"/>
    <w:uiPriority w:val="99"/>
    <w:semiHidden/>
    <w:unhideWhenUsed/>
    <w:rsid w:val="000D1728"/>
    <w:rPr>
      <w:color w:val="605E5C"/>
      <w:shd w:val="clear" w:color="auto" w:fill="E1DFDD"/>
    </w:rPr>
  </w:style>
  <w:style w:type="table" w:styleId="Tabela-Siatka">
    <w:name w:val="Table Grid"/>
    <w:basedOn w:val="Standardowy"/>
    <w:uiPriority w:val="39"/>
    <w:rsid w:val="00BB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43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3B3"/>
  </w:style>
  <w:style w:type="paragraph" w:styleId="Stopka">
    <w:name w:val="footer"/>
    <w:basedOn w:val="Normalny"/>
    <w:link w:val="StopkaZnak"/>
    <w:uiPriority w:val="99"/>
    <w:unhideWhenUsed/>
    <w:rsid w:val="000A4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a.org/publications/8934/use-of-external-experts-by-the-regulatory-bod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ea.org/publications/12267/technical-and-scientific-support-organizations-providing-support-to-regulatory-func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is.iaea.org/collection/NCLCollectionStore/_Public/49/053/49053177.pdf" TargetMode="External"/><Relationship Id="rId4" Type="http://schemas.openxmlformats.org/officeDocument/2006/relationships/webSettings" Target="webSettings.xml"/><Relationship Id="rId9" Type="http://schemas.openxmlformats.org/officeDocument/2006/relationships/hyperlink" Target="https://www.iaea.org/publications/12272/organization-management-and-staffing-of-the-regulatory-body-for-safety"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5643</Characters>
  <Application>Microsoft Office Word</Application>
  <DocSecurity>4</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Dąbrowski</dc:creator>
  <cp:keywords/>
  <dc:description/>
  <cp:lastModifiedBy>Elżbieta Zalewska</cp:lastModifiedBy>
  <cp:revision>2</cp:revision>
  <cp:lastPrinted>2021-07-29T11:08:00Z</cp:lastPrinted>
  <dcterms:created xsi:type="dcterms:W3CDTF">2021-08-11T09:47:00Z</dcterms:created>
  <dcterms:modified xsi:type="dcterms:W3CDTF">2021-08-11T09:47:00Z</dcterms:modified>
</cp:coreProperties>
</file>