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11 (Apache licensed) using REFERENCE JAXB in Eclipse Adoptium Java 17.0.8.1 on Linux -->
    <w:p>
      <w:pPr>
        <w:pStyle w:val="TitleStyle"/>
      </w:pPr>
      <w:r>
        <w:t>Substancje chemiczne, ich mieszaniny, czynniki lub procesy technologiczne o działaniu rakotwórczym, mutagennym lub reprotoksycznym w środowisku pracy.</w:t>
      </w:r>
    </w:p>
    <w:p>
      <w:pPr>
        <w:pStyle w:val="NormalStyle"/>
      </w:pPr>
      <w:r>
        <w:t>Dz.U.2024.1126 z dnia 2024.07.26</w:t>
      </w:r>
    </w:p>
    <w:p>
      <w:pPr>
        <w:pStyle w:val="NormalStyle"/>
      </w:pPr>
      <w:r>
        <w:t xml:space="preserve">Status: Akt obowiązujący </w:t>
      </w:r>
    </w:p>
    <w:p>
      <w:pPr>
        <w:pStyle w:val="NormalStyle"/>
      </w:pPr>
      <w:r>
        <w:t xml:space="preserve">Wersja od: 26 lipca 2024r. </w:t>
      </w: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Wejście w życie:</w:t>
      </w:r>
    </w:p>
    <w:p>
      <w:pPr>
        <w:spacing w:after="15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28 lipca 2024 r.</w:t>
      </w:r>
    </w:p>
    <w:p>
      <w:pPr>
        <w:spacing w:after="0"/>
        <w:ind w:left="0"/>
        <w:jc w:val="left"/>
        <w:textAlignment w:val="auto"/>
      </w:pPr>
    </w:p>
    <w:p>
      <w:pPr>
        <w:numPr>
          <w:ilvl w:val="0"/>
          <w:numId w:val="1"/>
        </w:numPr>
        <w:spacing w:after="0"/>
        <w:ind w:left="0"/>
        <w:jc w:val="left"/>
        <w:textAlignment w:val="auto"/>
      </w:pPr>
    </w:p>
    <w:p>
      <w:pPr>
        <w:spacing w:after="0"/>
        <w:ind w:left="0"/>
        <w:jc w:val="left"/>
        <w:textAlignment w:val="auto"/>
      </w:pPr>
      <w:r>
        <w:br/>
      </w:r>
    </w:p>
    <w:p>
      <w:pPr>
        <w:spacing w:before="6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ROZPORZĄDZENIE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MINISTRA ZDROWIA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 dnia 26 lipca 2024 r.</w:t>
      </w:r>
    </w:p>
    <w:p>
      <w:pPr>
        <w:spacing w:before="80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 xml:space="preserve">w sprawie substancji chemicznych, ich mieszanin, czynników lub procesów technologicznych o działaniu rakotwórczym, mutagennym lub reprotoksycznym w środowisku pracy </w:t>
      </w:r>
      <w:r>
        <w:rPr>
          <w:rFonts w:ascii="Times New Roman"/>
          <w:b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/>
          <w:i w:val="false"/>
          <w:color w:val="000000"/>
          <w:sz w:val="24"/>
          <w:lang w:val="pl-PL"/>
        </w:rPr>
        <w:t xml:space="preserve"> </w:t>
      </w:r>
    </w:p>
    <w:p>
      <w:pPr>
        <w:spacing w:before="80" w:after="240"/>
        <w:ind w:left="0"/>
        <w:jc w:val="center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222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26 czerwca 1974 r. - Kodeks pracy (Dz. U. z 2023 r. poz. 1465 oraz z 2024 r. poz. 878) zarządza się, co następuje: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Rozporządzenie określa: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wykaz substancji chemicznych, ich mieszanin, czynników lub procesów technologicznych o działaniu rakotwórczym, mutagennym lub reprotoksycznym i sposób ich rejestrowania;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prowadzenia rejestru prac, których wykonywanie powoduje konieczność pozostawania w kontakcie z substancjami chemicznymi, ich mieszaninami, czynnikami lub procesami technologicznymi o działaniu rakotwórczym, mutagennym lub reprotoksycznym;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sposób prowadzenia rejestru pracowników zatrudnionych przy pracach, o których mowa w pkt 2;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wzory dokumentów dotyczących poziomu narażenia pracowników na substancje chemiczne, ich mieszaniny, czynniki lub procesy technologiczne o działaniu rakotwórczym, mutagennym lub reprotoksycznym oraz sposób przechowywania i przekazywania tych dokumentów do podmiotów właściwych do rozpoznawania lub stwierdzania chorób zawodowych;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szczegółowe warunki ochrony pracowników przed zagrożeniami spowodowanymi przez substancje chemiczne, ich mieszaniny, czynniki lub procesy technologiczne o działaniu rakotwórczym, mutagennym lub reprotoksycznym;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warunki i sposób monitorowania stanu zdrowia pracowników zatrudnionych przy pracach, których wykonywanie powoduje konieczność pozostawania w kontakcie z substancjami chemicznymi, ich mieszaninami, czynnikami lub procesami technologicznymi o działaniu rakotwórczym, mutagennym lub reprotoksycznym.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Użyte w rozporządzeniu określenia oznaczają: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 o działaniu rakotwórczym: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substancję chemiczną lub mieszaninę, która spełnia kryteria klasyfikacji jako rakotwórcza kategorii 1A lub 1B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załącznikiem 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do rozporządzenia Parlamentu Europejskiego i Rady (WE) nr 1272/2008 z dnia 16 grudnia 2008 r. w sprawie klasyfikacji, oznakowania i pakowania substancji i mieszanin, zmieniającego i uchylającego dyrektywy 67/548/EWG i 1999/45/WE oraz zmieniającego rozporządzenie (WE) nr 1907/2006 (Dz. Urz. UE L 353 z 31.12.2008, str. 1, z późn. zm.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), zwanego dalej "rozporządzeniem nr 1272/2008",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 lub proces technologiczny, o których mowa w załączniku nr 1 do rozporządzenia;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 o działaniu mutagennym: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substancję chemiczną lub mieszaninę, która spełnia kryteria klasyfikacji jako działająca mutagennie na komórki rozrodcze kategorii 1A lub 1B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załącznikiem 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do rozporządzenia nr 1272/2008,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 lub proces technologiczny, o których mowa w załączniku nr 1 do rozporządzenia;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substancja o działaniu reprotoksycznym - substancję chemiczną lub mieszaninę, która spełnia kryteria klasyfikacji jako działająca szkodliwie na rozrodczość kategorii 1A lub 1B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załącznikiem I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do rozporządzenia nr 1272/2008;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nieprogowa substancja reprotoksyczna - substancję reprotoksyczną, dla której nie istnieje bezpieczny poziom narażenia zdrowia pracowników i którą określono jako taką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228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26 czerwca 1974 r. - Kodeks pracy, zwanej dalej "Kodeksem pracy";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progowa substancja reprotoksyczna - substancję reprotoksyczną, dla której istnieje bezpieczny poziom narażenia, poniżej którego nie występuje zagrożenie dla zdrowia pracowników, i którą określono jako taką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228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Wykaz substancji chemicznych, ich mieszanin, czynników lub procesów technologicznych o działaniu rakotwórczym, mutagennym lub reprotoksycznym obejmuje: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substancje chemiczne spełniające kryteria klasyfikacji jako rakotwórcze, mutagenne lub działające szkodliwie na rozrodczość kategorii 1A lub 1B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nr 1272/2008;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mieszaniny zawierające substancje chemiczne wymienione w pkt 1 w stężeniach powodujących spełnienie kryteriów klasyfikacji mieszaniny jako rakotwórczej, mutagennej lub działającej szkodliwie na rozrodczość kategorii 1A lub 1B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nr 1272/2008;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czynniki lub procesy technologiczne związane z uwalnianiem substancji chemicznych i mieszanin o działaniu rakotwórczym lub mutagennym określone w załączniku nr 1 do rozporządzenia.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4.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Pracodawca zatrudniający pracownika przy pracach, których wykonywanie powoduje konieczność pozostawania w kontakcie z substancjami chemicznymi, ich mieszaninami, czynnikami lub procesami technologicznymi o działaniu rakotwórczym, mutagennym lub reprotoksycznym, zwany dalej "pracodawcą", wykonuje pomiary tych substancji chemicznych, mieszanin lub czynników, w trybie i z częstotliwością określonymi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227 §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w szczególności stosuje metody wczesnego wykrywania narażenia na te substancje chemiczne, mieszaniny lub czynniki podczas awarii lub w przypadku wystąpienia innych nieprzewidzianych okoliczności.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z przyczyn technicznych niemożliwe jest zastąpienie czynnika o działaniu rakotwórczym, mutagennym lub substancji reprotoksycznej substancją chemiczną, mieszaniną lub procesem technologicznym, które podczas użytkowania są bezpieczne lub są mniej niebezpieczne dla zdrowia lub bezpieczeństwa pracownika, pracodawca zapewnia, aby wytwarzanie i używanie czynnika o działaniu rakotwórczym lub mutagennym lub substancji reprotoksycznej, w miarę istnienia technicznych możliwości, odbywało się w systemie zamkniętym.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z przyczyn technicznych zastosowanie systemu zamkniętego jest niemożliwe, pracodawca zapewnia zmniejszenie narażenia pracowników na działanie czynnika o działaniu rakotwórczym, mutagennym lub nieprogowej substancji reprotoksycznej do tak niskiego poziomu, na jaki pozwalają możliwości techniczne.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Jeżeli z przyczyn technicznych używanie lub wytwarzanie progowej substancji reprotoksycznej w systemie zamkniętym jest niemożliwe, pracodawca zapewnia ograniczenie do minimum zagrożenia związanego z narażeniem pracowników na działanie tej progowej substancji reprotoksycznej.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Do substancji reprotoksycznych innych niż nieprogowe substancje reprotoksyczne i progowe substancje reprotoksyczne stosuje się ust. 4. W takim przypadku dokonując oceny ryzyka zawodowego, o której mowa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237</w:t>
      </w:r>
      <w:r>
        <w:rPr>
          <w:rFonts w:ascii="Times New Roman"/>
          <w:b w:val="false"/>
          <w:i w:val="false"/>
          <w:color w:val="1b1b1b"/>
          <w:sz w:val="24"/>
          <w:vertAlign w:val="superscript"/>
          <w:lang w:val="pl-PL"/>
        </w:rPr>
        <w:t>15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 xml:space="preserve"> §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pracodawca uwzględnia możliwość, że dla takiej substancji reprotoksycznej nie istnieje bezpieczny poziom narażenia zdrowia pracownika na działanie takiej substancji, i zapewnia wprowadzenie odpowiednich środków w tym zakresie.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używania czynników o działaniu rakotwórczym, mutagennym lub substancji reprotoksycznej, pracodawca: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ogranicza ilość czynnika o działaniu rakotwórczym, mutagennym lub substancji reprotoksycznej w miejscu pracy;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utrzymuje na jak najniższym poziomie liczbę pracowników, którzy są lub mogą być narażeni na działanie czynników o działaniu rakotwórczym, mutagennym lub substancji reprotoksycznych;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projektuje tak procesy pracy i środki kontroli technicznej, aby uniknąć powstawania czynników o działaniu rakotwórczym, mutagennym lub substancji reprotoksycznych w miejscu pracy lub ograniczyć ich powstawanie do minimum;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usuwa czynniki o działaniu rakotwórczym, mutagennym lub substancje reprotoksyczne w miejscu ich powstawania, do miejscowego wyciągu lub do ogólnego systemu wentylacji, w należyty sposób i zgodnie z wymogami ochrony zdrowia i środowiska;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stosuje właściwe metody i procedury pracy, w tym wykorzystuje istniejące procedury badań i pomiarów czynników o działaniu rakotwórczym, mutagennym lub substancji reprotoksycznych określone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227 §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w celu wczesnego wykrywania nadmiernego zagrożenia powstałego w wyniku nieprzewidywalnego zdarzenia lub wypadku;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stosuje środki ochrony zbiorowej lub - tam, gdzie nie można uniknąć narażenia na działanie czynników o działaniu rakotwórczym, mutagennym lub substancji reprotoksycznych za pomocą innych środków - środki ochrony indywidualnej;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7)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stosuje środki higieny, szczególnie regularne czyszczenie podłóg, ścian i innych powierzchni;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8)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odgranicza miejsca zagrożone i stosuje odpowiednie znaki ostrzegawcze, włącznie ze znakami ,,zakaz palenia”, w miejscach, w których pracownicy są lub mogą być narażeni na działanie czynników o działaniu rakotwórczym, mutagennym lub substancji reprotoksycznych;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9)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określa plan działania w nagłych wypadkach, które mogą wyniknąć z nadmiernego narażenia na działanie czynników o działaniu rakotwórczym, mutagennym lub substancji reprotoksycznych;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10)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stosuje sposoby bezpiecznego przechowywania, przeładunku i transportu, szczególnie przez zastosowanie pojemników szczelnie zamkniętych i oznakowanych w sposób czytelny i widoczny;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stosuje sposoby bezpiecznego gromadzenia, przechowywania i usuwania odpadów, włącznie z zastosowaniem pojemników szczelnie zamkniętych i oznakowanych w sposób czytelny i widoczny.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6.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 prowadzi rejestr prac, których wykonywanie powoduje konieczność pozostawania w kontakcie z substancjami chemicznymi, ich mieszaninami, czynnikami lub procesami technologicznymi o działaniu rakotwórczym, mutagennym lub reprotoksycznym, zawierający następujące dane: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wykaz procesów technologicznych i prac, w których substancje chemiczne i ich mieszaniny lub czynniki o działaniu rakotwórczym, mutagennym lub reprotoksycznym są stosowane, produkowane lub występują jako zanieczyszczenia bądź produkt uboczny, oraz wykaz tych substancji chemicznych i ich mieszanin oraz czynników wraz z podaniem wielkości produkcji lub stosowania;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uzasadnienie konieczności stosowania substancji chemicznych, ich mieszanin, czynników lub procesów technologicznych o działaniu rakotwórczym, mutagennym lub reprotoksycznym, o których mowa w pkt 1;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wykaz i opis stanowisk pracy, na których występuje konieczność pozostawania w kontakcie z substancjami chemicznymi, ich mieszaninami, czynnikami lub procesami technologicznymi o działaniu rakotwórczym, mutagennym lub reprotoksycznym;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liczbę pracowników zatrudnionych przy pracach, o których mowa w pkt 3, z podziałem na liczbę pracowników zatrud nionych przy pracach w stężeniach do 0,1 (włącznie) wartości najwyższego dopuszczalnego stężenia (NDS), określonego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228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i pozostałych pracowników, z uwzględnieniem płci, przy czym za pracowników zatrudnionych przy pracach w stężeniach do 0,1 (włącznie) wartości NDS uznaje się pracowników zatrudnionych w warunkach spełniających przynajmniej jedno z następujących kryteriów: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ich stanowiskach pracy występuje substancja chemiczna spełniająca kryteria, o których mowa w § 3 pkt 1, zarówno w postaci własnej, jak i jako zanieczyszczenie lub składnik innych substancji spełniających kryteria, o których mowa w § 3 pkt 1, lub jako składnik mieszanin spełniających kryteria, o których mowa w § 3 pkt 2, w przypadku której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228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 została ustalona wartość NDS w środowisku pracy i dwa kolejne pomiary stężeń tej substancji w powietrzu środowiska pracy, przeprowadzone w odstępie czasu określonym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227 §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nie wykazały stężeń powyżej 0,1 wartości NDS,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na ich stanowiskach pracy występuje wymieniony w załączniku nr 1 do rozporządzenia proces technologiczny, w przypadku którego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228 § 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 została ustalona wartość NDS w środowisku pracy czynnika chemicznego lub pyłowego wskazanego w danym procesie technologicznym i dwa kolejne pomiary stężeń tego czynnika, przeprowadzone w odstępie czasu określonym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227 §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pracy, nie wykazały stężeń powyżej 0,1 wartości NDS,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pracują przy badaniach naukowych i rozwojowych określonych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rozporządzeniu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(WE) nr 1907/2006 Parlamentu Europejskiego i Rady z dnia 18 grudnia 2006 r. w sprawie rejestracji, oceny, udzielania zezwoleń i stosowanych ograniczeń w zakresie chemikaliów (REACH), utworzenia Europejskiej Agencji Chemikaliów, zmieniającym dyrektywę 1999/45/WE oraz uchylającym rozporządzenie Rady (EWG) nr 793/93 i rozporządzenie Komisji (WE) nr 1488/94, jak również dyrektywę Rady 76/769/EWG i dyrektywy Komisji 91/155/EWG, 93/67/EWG, 93/105/WE i 2000/21/WE (Dz. Urz. UE L 396 z 30.12.2006, str. 1, z późn. zm.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), obejmujących doświadczenia naukowe, analizy lub badania chemiczne, w których substancje chemiczne o działaniu rakotwórczym, mutagennym lub reprotoksycznym występują zarówno w postaci własnej, jak i jako zanieczyszczenia lub składniki innych substancji o działaniu rakotwórczym, mutagennym lub reprotoksycznym lub mieszanin o działaniu rakotwórczym, mutagennym lub reprotoksycznym, przeprowadzane w kontrolowanych warunkach z użyciem substancji w ilości mniejszej niż 1 tona rocznie;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określenie rodzaju substancji chemicznych, ich mieszanin, czynników lub procesów technologicznych o działaniu rakotwórczym, mutagennym lub reprotoksycznym występujących na stanowisku pracy, drogi i poziomu narażenia na ich działanie oraz czasu trwania tego narażenia;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6)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rodzaje podjętych środków i działań ograniczających poziom narażenia na działanie substancji chemicznych, ich mieszanin, czynników lub procesów technologicznych o działaniu rakotwórczym, mutagennym lub reprotoksycznym.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 przekazuje informację o substancjach chemicznych, ich mieszaninach, czynnikach lub procesach technologicznych o działaniu rakotwórczym, mutagennym lub reprotoksycznym właściwemu państwowemu wojewódzkiemu inspektorowi sanitarnemu oraz właściwemu okręgowemu inspektorowi pracy niezwłocznie po rozpoczęciu działalności oraz corocznie, w terminie do dnia 15 stycznia za rok poprzedni, albo na ich wniosek. Informacja uwzględnia dane, o których mowa w ust. 1, i jest sporządzana według wzoru stanowiącego załącznik nr 2 do rozporządzenia.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danych, o których mowa w ust. 1, przekazanych przez państwowych wojewódzkich inspektorów sanitarnych Instytut Medycyny Pracy im. prof. dr. J. Nofera w Łodzi prowadzi Centralny rejestr danych o narażeniu na substancje chemiczne, ich mieszaniny, czynniki lub procesy technologiczne o działaniu rakotwórczym, mutagennym lub reprotoksycznym.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jednostek organizacyjnych podległych Ministrowi Obrony Narodowej lub przez niego nadzorowanych pracodawca przekazuje informację, o której mowa w ust. 2, komendantowi właściwego terytorialnie wojskowego ośrodka medycyny prewencyjnej w trybie i w terminach i według wzoru wskazanych w tym przepisie.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Na podstawie danych przekazanych przez komendantów właściwych terytorialnie wojskowych ośrodków medycyny prewencyjnej Wojskowy Instytut Higieny i Epidemiologii imienia Generała Karola Kaczkowskiego w Warszawie prowadzi rejestr substancji chemicznych, ich mieszanin, czynników lub procesów technologicznych o działaniu rakotwórczym, mutagennym lub reprotoksycznym występujących w jednostkach organizacyjnych podległych Ministrowi Obrony Narodowej lub przez niego nadzorowanych.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7.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 prowadzi rejestr pracowników zatrudnionych przy pracach, których wykonywanie powoduje konieczność pozostawania w kontakcie z substancjami chemicznymi, ich mieszaninami, czynnikami lub procesami technologicznymi o działaniu rakotwórczym, mutagennym lub reprotoksycznym.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Rejestr, o którym mowa w ust. 1, zawiera: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datę wpisu do rejestru;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imię i nazwisko pracownika oraz jego stanowisko pracy, o którym mowa w § 6 ust. 1 pkt 3;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numer PESEL, a w przypadku jego braku - numer dokumentu potwierdzającego tożsamość.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8.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Rejestr pracowników, o którym mowa w § 7 ust. 1, wraz z rejestrem prac, o którym mowa w § 6 ust. 1, dotyczący: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czynników o działaniu rakotwórczym lub mutagennym przechowuje się przez okres 40 lat po ustaniu narażenia na te czynniki;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substancji reprotoksycznych niebędących jednocześnie czynnikami o działaniu rakotwórczym lub mutagennym przechowuje się przez okres 5 lat po ustaniu narażenia na te substancje.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likwidacji zakładu pracy pracodawca przekazuje rejestry, o których mowa w § 6 ust. 1 i § 7 ust. 1, właściwemu państwowemu wojewódzkiemu inspektorowi sanitarnemu, a w przypadku jednostek organizacyjnych podległych Ministrowi Obrony Narodowej lub przez niego nadzorowanych - komendantowi właściwego terytorialnie wojskowego ośrodka medycyny prewencyjnej.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9.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Rejestry, o których mowa w § 6 ust. 1, 3 i 5 oraz § 7 ust. 1, prowadzi się w formie papierowej lub w postaci elektronicznej.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10.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Dane z rejestrów, o których mowa w § 6 ust. 1 i 5 oraz § 7 ust. 1, są udostępniane: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lekarzom sprawującym profilaktyczną opiekę zdrowotną nad pracownikami, których dane dotyczą;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lekarzom uprawnionym do orzekania w zakresie chorób zawodowych określonych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237 § 1 pkt 3-6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</w:t>
      </w:r>
      <w:r>
        <w:rPr>
          <w:rFonts w:ascii="Times New Roman"/>
          <w:b w:val="false"/>
          <w:i w:val="false"/>
          <w:color w:val="1b1b1b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pracownikom - w zakresie informacji, które dotyczą ich osobiście, oraz przedstawicielom pracowników - w zakresie anonimowych informacji zbiorowych;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organom Państwowej Inspekcji Sanitarnej oraz Wojskowej Inspekcji Sanitarnej w związku z postępowaniem w zakresie chorób zawodowych prowadzonym w zakresie określonym w przepisach wydanych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237 § 1 pkt 3-6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</w:t>
      </w:r>
      <w:r>
        <w:rPr>
          <w:rFonts w:ascii="Times New Roman"/>
          <w:b w:val="false"/>
          <w:i w:val="false"/>
          <w:color w:val="1b1b1b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5)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podmiotom wykonującym na podstawie odrębnych przepisów nadzór nad realizacją zadań z zakresu bezpieczeństwa pracy i ochrony zdrowia pracowników.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informuje pracownika o opakowaniu, zbiorniku i instalacji zawierających substancje chemiczne, ich mieszaniny lub czynniki o działaniu rakotwórczym, mutagennym lub reprotoksycznym, a także o wymaganiach dotyczących oznakowania i znakach ostrzegawczych;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przeprowadza okresowe szkolenia pracownika w zakresie: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a)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ryzyka dla zdrowia, jakie wynika z oceny narażenia na działanie substancji chemicznych, ich mieszanin, czynników lub procesów technologicznych o działaniu rakotwórczym, mutagennym lub reprotoksycznym, i dodatkowego ryzyka, które wynika z palenia tytoniu, oraz w zakresie środków ostrożności, które powinny być podejmowane w celu ograniczenia tego narażenia,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b)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wymagań higienicznych, które powinny być spełnione w celu ograniczenia narażenia na działanie substancji chemicznych, ich mieszanin, czynników lub procesów technologicznych o działaniu rakotwórczym, mutagennym lub reprotoksycznym,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c)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konieczności używania środków ochrony indywidualnej, w tym odzieży ochronnej,</w:t>
      </w:r>
    </w:p>
    <w:p>
      <w:pPr>
        <w:spacing w:after="0"/>
        <w:ind w:left="746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d)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działań zapobiegających wypadkom oraz działań, które powinni podjąć pracownicy, w tym pracownicy pełniący obowiązki ratownicze, podczas działań ratowniczych oraz wypadków;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zapewnia kontrolę zdrowia pracownika związaną z indywidualną oceną pracownika - w celu określenia stanu jego zdrowia w związku z narażeniem na działanie określonych czynników o działaniu rakotwórczym, mutagennym lub substancji reprotoksycznych podczas pracy, zgodnie z zasadami określonymi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ustawie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z dnia 27 czerwca 1997 r. o służbie medycyny pracy (Dz. U. z 2022 r. poz. 437) oraz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229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Kodeksu pracy;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4)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informuje pracownika, przed powierzeniem pracy z substancjami chemicznymi, ich mieszaninami lub procesami technologicznymi o działaniu rakotwórczym, mutagennym lub reprotoksycznym, w przypadku których ustalono wartość dopuszczalnego stężenia określonych substancji w materiale biologicznym, o konieczności przeprowadzania kontroli jego zdrowia związanej z tymi wartościami dopuszczalnymi.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zapewnia udział pracowników lub ich przedstawicieli w projektowaniu i realizacji działań zapobiegających narażeniu na działanie substancji chemicznych, ich mieszanin, czynników lub procesów technologicznych o działaniu rakotwórczym, mutagennym lub reprotoksycznym lub ograniczających poziom tego narażenia;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umożliwia pracownikom lub ich przedstawicielom kontrolę stosowania wymagań określonych w rozporządzeniu oraz w innych przepisach regulujących zasady bezpieczeństwa i higieny pracy;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informuje na bieżąco pracowników lub ich przedstawicieli o narażeniu na działanie substancji chemicznych, ich mieszanin, czynników lub procesów technologicznych o działaniu rakotwórczym, mutagennym lub reprotoksycznym, a w przypadkach narażenia powstałego w wyniku awarii i innych zakłóceń procesu technologicznego lub w wyniku podejmowanych prac remontowych, konserwacyjnych i w innych okolicznościach - o przyczynach powstałego narażenia oraz o środkach zapobiegawczych, jakie już zostały podjęte lub będą podjęte w celu poprawy sytuacji.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13. 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Lekarz sprawujący profilaktyczną opiekę zdrowotną nad pracownikami zapoznaje się z warunkami ich pracy i posiada udokumentowane informacje dotyczące rodzaju i wielkości narażenia na działanie substancji chemicznych, ich mieszanin, czynników lub procesów technologicznych o działaniu rakotwórczym, mutagennym lub reprotoksycznym.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Pracodawca, na wniosek lekarza, o którym mowa w ust. 1, zleca prowadzenie biologicznego monitorowania narażenia na działanie substancji chemicznych, ich mieszanin, czynników lub procesów technologicznych o działaniu rakotwórczym, mutagennym lub reprotoksycznym oraz stosuje inne metody umożliwiające wczesne wykrycie skutków tego narażenia.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Lekarz sprawujący profilaktyczną opiekę zdrowotną nad pracownikami udziela informacji: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pracownikowi - o wynikach badań i ocenie jego stanu zdrowia oraz o zakresie profilaktycznej opieki zdrowotnej, jakiej powinien się poddać po ustaniu zatrudnienia przy pracach z substancjami chemicznymi, ich mieszaninami, czynnikami lub procesami technologicznymi o działaniu rakotwórczym, mutagennym lub reprotoksycznym;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pracodawcy, przedstawicielom pracowników oraz działającej u pracodawcy komisji bezpieczeństwa i higieny pracy - o ocenie stanu zdrowia pracowników, z zachowaniem tajemnicy lekarskiej;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3)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pracodawcy - zbiorczo o przypadkach nowotworu złośliwego, niekorzystnego wpływu na funkcje seksualne i płodność u dorosłych płci męskiej i żeńskiej lub na rozwój potomstwa, jeżeli uzna to za wynik zawodowego narażenia na czynnik rakotwórczy, mutagen lub substancję reprotoksyczną, z zachowaniem tajemnicy lekarskiej.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Informację, o której mowa w ust. 3 pkt 3, pracodawca przekazuje wraz z informacją przekazywaną na podstawie § 6 ust. 2 albo 4, w terminie do dnia 15 stycznia za rok poprzedni.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14.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 przypadku rozpoznania lub podejrzenia u pracownika zmian w stanie zdrowia, co do których istnieje podejrzenie, że powstały w wyniku narażenia na działanie substancji chemicznych, ich mieszanin, czynników lub procesów technologicznych o działaniu rakotwórczym, mutagennym lub reprotoksycznym, lub w przypadku stwierdzenia przekroczenia dopuszczalnego stężenia określonych substancji w materiale biologicznym pracodawca, na wniosek lekarza, o którym mowa w § 13 ust. 1, zleca przeprowadzenie dodatkowych badań stanu zdrowia innych pracowników narażonych w podobny sposób, dokonuje weryfikacji uprzedniej oceny tego narażenia, a w razie potrzeby - stosuje odpowiednie dodatkowe środki zapobiegawcze.</w:t>
      </w:r>
    </w:p>
    <w:p>
      <w:pPr>
        <w:spacing w:before="26" w:after="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15.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Wnioski o zlecenie: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1)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prowadzenia biologicznego monitorowania narażenia na substancje chemiczne, mieszaniny, czynniki lub procesy technologiczne o działaniu rakotwórczym lub mutagennym lub zastosowania innych metod umożliwiających wykrycie wczesnych skutków tego narażenia,</w:t>
      </w:r>
    </w:p>
    <w:p>
      <w:pPr>
        <w:spacing w:before="26" w:after="0"/>
        <w:ind w:left="373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2) 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przeprowadzenia dodatkowych badań stanu zdrowia innych pracowników, którzy są narażeni zawodowo na działanie substancji chemicznych, mieszanin, czynników lub procesów technologicznych o działaniu rakotwórczym lub mutagennym, dokonania weryfikacji uprzedniej oceny narażenia zawodowego lub zastosowania odpowiednich dodatkowych środków zapobiegawczych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- złożone i nierozpatrzone przed dniem wejścia w życie niniejszego rozporządzenia podlegają rozpatrzeniu na podstawie przepisów dotychczasowych.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16.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Rejestry, o których mowa w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4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,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5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oraz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6 ust. 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Ministra Zdrowia z dnia 24 lipca 2012 r. w sprawie substancji chemicznych, ich mieszanin, czynników lub procesów technologicznych o działaniu rakotwórczym lub mutagennym w środowisku pracy (Dz. U. z 2024 r. poz. 156), stają się odpowiednio rejestrami, o których mowa w § 6 ust. 1, 3 i 5 oraz § 7 ust. 1 niniejszego rozporządzenia.</w:t>
      </w:r>
    </w:p>
    <w:p>
      <w:pPr>
        <w:spacing w:before="26" w:after="240"/>
        <w:ind w:left="0"/>
        <w:jc w:val="left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§  17. 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Rozporządzenie wchodzi w życie z dniem 28 lipca 2024 r. </w:t>
      </w: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</w:t>
      </w:r>
    </w:p>
    <w:p>
      <w:pPr>
        <w:spacing w:after="0"/>
        <w:ind w:left="0"/>
        <w:jc w:val="left"/>
        <w:textAlignment w:val="auto"/>
      </w:pPr>
    </w:p>
    <w:p>
      <w:pPr>
        <w:spacing w:before="16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ZAŁĄCZNIKI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ZAŁĄCZNIK Nr  1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WYKAZ CZYNNIKÓW ORAZ PROCESÓW TECHNOLOGICZNYCH ZWIĄZANYCH Z UWALNIANIEM SUBSTANCJI CHEMICZNYCH I MIESZANIN O DZIAŁANIU RAKOTWÓRCZYM LUB MUTAGENNYM</w:t>
      </w:r>
    </w:p>
    <w:p>
      <w:pPr>
        <w:spacing w:before="80"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I. 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Czynniki fizyczne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 Promieniowanie jonizujące.</w:t>
      </w:r>
    </w:p>
    <w:p>
      <w:pPr>
        <w:spacing w:before="80"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II. 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Procesy technologiczne, w których dochodzi do uwalniania substancji chemicznych, ich mieszanin lub czynników o działaniu rakotwórczym lub mutagennym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1. Produkcja auraminy.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2. Prace związane z narażeniem na wielopierścieniowe węglowodory aromatyczne, obecne w sadzy węglowej, smołach węglowych i pakach węglowych.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3. Prace związane z narażeniem na pyły, dymy i aerozole tworzące się podczas wypalania i elektrorafinowania surówek miedziowo-niklowych.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4. Produkcja alkoholu izopropylowego metodą mocnych kwasów.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5. Prace związane z narażeniem na pył drewna.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6. Prace związane z narażeniem na krzemionkę krystaliczną - frakcję respirabilną powstającą w trakcie pracy.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7. Prace związane z narażeniem przez skórę na działanie olejów mineralnych użytych wcześniej w silnikach spalinowych wewnętrznego spalania w celu smarowania i schładzania części ruchomych silnika.</w:t>
      </w:r>
    </w:p>
    <w:p>
      <w:pPr>
        <w:spacing w:before="25" w:after="0"/>
        <w:ind w:left="0"/>
        <w:jc w:val="both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8. Prace związane z narażeniem na spaliny emitowane z silników Diesla.</w:t>
      </w:r>
    </w:p>
    <w:p>
      <w:pPr>
        <w:spacing w:after="0"/>
        <w:ind w:left="0"/>
        <w:jc w:val="left"/>
        <w:textAlignment w:val="auto"/>
      </w:pPr>
    </w:p>
    <w:p>
      <w:pPr>
        <w:spacing w:before="89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ZAŁĄCZNIK Nr  2</w:t>
      </w:r>
    </w:p>
    <w:p>
      <w:pPr>
        <w:spacing w:before="25"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WZÓR</w:t>
      </w:r>
    </w:p>
    <w:p>
      <w:pPr>
        <w:spacing w:after="0"/>
        <w:ind w:left="0"/>
        <w:jc w:val="center"/>
        <w:textAlignment w:val="auto"/>
      </w:pPr>
      <w:r>
        <w:rPr>
          <w:rFonts w:ascii="Times New Roman"/>
          <w:b/>
          <w:i w:val="false"/>
          <w:color w:val="000000"/>
          <w:sz w:val="24"/>
          <w:lang w:val="pl-PL"/>
        </w:rPr>
        <w:t>INFORMACJA O SUBSTANCJACH CHEMICZNYCH, ICH MIESZANINACH, CZYNNIKACH LUB PROCESACH TECHNOLOGICZNYCH O DZIAŁANIU RAKOTWÓRCZYM, MUTAGENNYM LUB REPROTOKSYCZNYM</w:t>
      </w:r>
    </w:p>
    <w:p>
      <w:pPr>
        <w:spacing w:before="25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lang w:val="pl-PL"/>
        </w:rPr>
        <w:t>wzór</w:t>
      </w:r>
    </w:p>
    <w:p>
      <w:pPr>
        <w:spacing w:before="250"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1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Minister Zdrowia kieruje działem administracji rządowej - zdrowie, na podstawie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§ 1 ust.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rozporządzenia Prezesa Rady Ministrów z dnia 18 grudnia 2023 r. w sprawie szczegółowego zakresu działania Ministra Zdrowia (Dz. U. poz. 2704).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Niniejsze rozporządzenie wdraża w zakresie swojej regulacji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dyrektywę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2004/37/WE Parlamentu Europejskiego i Rady z dnia 29 kwietnia 2004 r. w sprawie ochrony pracowników przed zagrożeniem dotyczącym narażenia na działanie czynników rakotwórczych, mutagenów lub substancji reprotoksycznych podczas pracy (szósta dyrektywa szczegółowa w rozumieniu art. 16 ust. 1 dyrektywy Rady 89/391/EWG) (Dz. Urz. UE L 158 z 30.04.2004, str. 50, Dz. Urz. UE L 65 z 05.03.2014, str. 1, Dz. Urz. UE L 345 z 27.12.2017, str. 87, Dz. Urz. UE L 30 z 31.01.2019, str. 112, Dz. Urz. UE L 164 z 20.06.2019, str. 23, Dz. Urz. UE L 198 z 25.07.2019, str. 241, Dz. Urz. UE L 88 z 16.03.2022, str. 1, Dz. Urz. UE L 2023/90066 z 03.11.2023 oraz Dz. Urz. UE L 2024/869 z 19.03.2024).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Zmiany wymienionego rozporządzenia zostały ogłoszone w Dz. Urz. UE L 235 z 05.09.2009, str. 1, Dz. Urz. UE L 16 z 20.01.2011, str. 1, Dz. Urz. UE L 83 z 30.03.2011, str. 1, Dz. Urz. UE L 138 z 26.05.2011, str. 66, Dz. Urz. UE L 179 z 11.07.2012, str. 3, Dz. Urz. UE L 149 z 01.06.2013, str. 1, Dz. Urz. UE L 158 z 10.06.2013, str. 1, Dz. Urz. UE L 216 z 10.08.2013, str. 1, Dz. Urz.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UE L 261 z 03.10.2013, str. 5, Dz. Urz. UE L 167 z 06.06.2014, str. 36, Dz. Urz. UE L 350 z 06.12.2014, str. 1, Dz. Urz. UE L 197 z 25.07.2015, str. 10, Dz. Urz. UE L 156 z 14.06.2016, str. 1, Dz. Urz. UE L 195 z 20.07.2016, str. 11, Dz. Urz. UE L 349 z 21.12.2016, str. 1, Dz. Urz. UE L 78 z 23.03.2017, str. 1, Dz. Urz. UE L 116 z 05.05.2017, str. 1, Dz. Urz. UE L 115 z 04.05.2018, str. 1, Dz. Urz. UE L 251 z 05.10.2018, str. 1, Dz. Urz. UE L 86 z 28.03.2019, str. 1, Dz. Urz. UE L 117 z 03.05.2019, str. 8, Dz. Urz. UE L 198 z 25.07.2019, str. 241, Dz. Urz. UE L 6 z 10.01.2020, str. 8, Dz. Urz. UE L 44 z 18.02.2020, str. 1, Dz. Urz. UE L 261 z 11.08.2020, str. 2, Dz. Urz. UE L 326 z 08.10.2020, str. 1, Dz. Urz. UE L 379 z 13.11.2020, str. 1 i 3, Dz. Urz. UE L 133 z 20.04.2021, str. 5, Dz. Urz. UE L 176 z 19.05.2021, str. 1, Dz. Urz. UE L 188 z 28.05.2021, str. 27, Dz. Urz. UE L 214 z 17.06.2021, str. 72, Dz. Urz.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UE L 400 z 12.11.2021, str. 16, Dz. Urz. UE L 440 z 09.12.2021, str. 11, Dz. Urz. UE L 129 z 03.05.2022, str. 1, Dz. Urz. UE L 176 z 11.07.2023, str. 6 oraz Dz. Urz. UE L 2024/197 z 05.01.2024.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4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> Zmiany wymienionego rozporządzenia zostały ogłoszone w Dz. Urz. UE L 136 z 29.05.2007, str. 3, Dz. Urz. UE L 304 z 22.11.2007, str. 1, Dz. Urz. UE L 141 z 31.05.2008, str. 22, Dz. Urz. UE L 268 z 09.10.2008, str. 14, Dz. Urz. UE L 353 z 31.12.2008, str. 1, Dz. Urz. UE L 36 z 05.02.2009, str. 84, Dz. Urz. UE L 46 z 17.02.2009, str. 3, Dz. Urz. UE L 164 z 26.06.2009, str. 7, Dz. Urz. UE L 86 z 01.04.2010, str. 7, Dz. Urz. UE L 118 z 12.05.2010, str. 89, Dz. Urz. UE L 133 z 31.05.2010, str. 1, Dz. Urz. UE L 260 z 02.10.2010, str. 22, Dz. Urz. UE L 44 z 18.02.2011, str. 2, Dz. Urz. UE L 49 z 24.02.2011, str. 52, Dz. Urz. UE L 58 z 03.03.2011, str. 27, Dz. Urz. UE L 69 z 16.03.2011, str. 3 i 7, Dz. Urz. UE L 101 z 15.04.2011, str. 12, Dz. Urz. UE L 134 z 21.05.2011, str. 2, Dz. Urz. UE L 136 z 24.05.2011, str. 105, Dz. Urz. UE L 37 z 10.02.2012, str. 1, Dz. Urz. UE L 41 z 15.02.2012, str. 1, Dz. Urz. UE L 128 z 16.05.2012, str. 1, Dz. Urz. UE L 252 z 19.09.2012, str. 1 i 4, Dz. Urz. UE L 253 z 20.09.2012, str. 1 i 5, Dz. Urz. UE L 43 z 14.02.2013, str. 24, Dz. Urz. UE L 108 z 18.04.2013, str. 1, Dz. Urz. UE L 158 z 10.06.2013, str. 1, Dz. Urz. UE L 328 z 07.12.2013, str. 69, Dz. Urz. UE L 90 z 26.03.2014, str. 1, Dz. Urz. UE L 93 z 28.03.2014, str. 24, Dz. Urz. UE L 136 z 09.05.2014, str. 19, Dz. Urz. UE L 244 z 19.08.2014, str. 6, Dz. Urz. UE L 331 z 18.11.2014, str. 41, Dz. Urz. UE L 50 z 21.02.2015, str. 1, Dz. Urz. UE L 58 z 03.03.2015, str. 43, Dz. Urz. UE L 104 z 23.04.2015, str. 2, Dz. Urz. UE L 132 z 29.05.2015, str. 8, Dz. Urz. UE L 233 z 05.09.2015, str. 2, Dz. Urz. UE L 9 z 14.01.2016, str. 1, Dz. Urz. UE L 40 z 17.02.2016, str. 5, Dz. Urz. UE L 144 z 01.06.2016, str. 27, Dz. Urz. UE L 165 z 23.06.2016, str. 4, Dz. Urz. UE L 166 z 24.06.2016, str. 1, Dz. Urz. UE L 255 z 21.09.2016, str. 14, Dz. Urz. UE L 337 z 13.12.2016, str. 3, Dz. Urz. UE L 12 z 17.01.2017, str. 97, Dz. Urz. UE L 35 z 10.02.2017, str. 6, Dz. Urz. UE L 104 z 20.04.2017, str. 8, Dz. Urz. UE L 150 z 14.06.2017, str. 7 i 14, Dz. Urz. UE L 224 z 31.08.2017, str. 110, Dz. Urz. UE L 6 z 11.01.2018, str. 45, Dz. Urz. UE L 99 z 19.04.2018, str. 3 i 7, Dz. Urz. UE L 102 z 23.04.2018, str. 99, Dz. Urz. UE L 114 z 04.05.2018, str. 4, Dz. Urz. UE L 249 z 04.10.2018, str. 18 i 19, Dz. Urz. UE L 256 z 12.10.2018, str. 1, Dz. Urz. UE L 308 z 04.12.2018, str. 1, Dz. Urz. UE L 322 z 18.12.2018, str. 14, Dz. Urz. UE L 154 z 12.06.2019, str. 37, Dz. Urz. UE L 186 z 11.07.2019, str. 1, Dz. Urz. UE L 259 z 10.10.2019, str. 9, Dz. Urz. UE L 35 z 07.02.2020, str. 1, Dz. Urz. UE L 110 z 08.04.2020, str. 1, Dz. Urz. UE L 141 z 05.05.2020, str. 37, Dz. Urz. UE L 203 z 26.06.2020, str. 28, Dz. Urz. UE L 252 z 04.08.2020, str. 24, Dz. Urz. UE L 423 z 15.12.2020, str. 6, Dz. Urz. UE L 425 z 16.12.2020, str. 3, Dz. Urz. UE L 431 z 21.12.2020, str. 38, Dz. Urz. UE L 24 z 26.01.2021, str. 19, Dz. Urz. UE L 216 z 18.06.2021, str. 121, Dz. Urz. UE L 259 z 21.07.2021, str. 1, Dz. Urz. UE L 282 z 05.08.2021, str. 29, Dz. Urz. UE L 415 z 22.11.2021, str. 16, Dz. Urz. UE L 418 z 24.11.2021, str. 6, Dz. Urz. UE L 446 z 14.12.2021, str. 34, Dz. Urz. UE L 83 z 10.03.2022, str. 64, Dz. Urz. UE L 98 z 25.03.2022, str. 38, Dz. Urz. UE L 112 z 11.04.2022, str. 6, Dz. Urz. UE L 123 z 08.05.2023, str. 1, Dz. Urz. UE L 149 z 09.06.2023, str. 49, Dz. Urz. UE L 180 z 17.07.2023, str. 12, Dz. Urz. UE L 238 z 27.09.2023, str. 67, Dz. Urz. UE L 2023/2482 z 14.11.2023 oraz Dz. Urz. UE L 2024/1328 z 17.05.2024.</w:t>
      </w:r>
    </w:p>
    <w:p>
      <w:pPr>
        <w:spacing w:after="0"/>
        <w:ind w:left="0"/>
        <w:jc w:val="left"/>
        <w:textAlignment w:val="auto"/>
      </w:pPr>
      <w:r>
        <w:rPr>
          <w:rFonts w:ascii="Times New Roman"/>
          <w:b w:val="false"/>
          <w:i w:val="false"/>
          <w:color w:val="000000"/>
          <w:sz w:val="24"/>
          <w:vertAlign w:val="superscript"/>
          <w:lang w:val="pl-PL"/>
        </w:rPr>
        <w:t>5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 Niniejsze rozporządzenie było poprzedzone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rozporządzeniem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Ministra Zdrowia z dnia 24 lipca 2012 r. w sprawie substancji chemicznych, ich mieszanin, czynników lub procesów technologicznych o działaniu rakotwórczym lub mutagennym w środowisku pracy (Dz. U. z 2024 r. poz. 156), które traci moc z dniem wejścia w życie niniejszego rozporządzenia zgodnie z </w:t>
      </w:r>
      <w:r>
        <w:rPr>
          <w:rFonts w:ascii="Times New Roman"/>
          <w:b w:val="false"/>
          <w:i w:val="false"/>
          <w:color w:val="1b1b1b"/>
          <w:sz w:val="24"/>
          <w:lang w:val="pl-PL"/>
        </w:rPr>
        <w:t>art. 2</w:t>
      </w:r>
      <w:r>
        <w:rPr>
          <w:rFonts w:ascii="Times New Roman"/>
          <w:b w:val="false"/>
          <w:i w:val="false"/>
          <w:color w:val="000000"/>
          <w:sz w:val="24"/>
          <w:lang w:val="pl-PL"/>
        </w:rPr>
        <w:t xml:space="preserve"> ustawy z dnia 23 maja 2024 r. o zmianie ustawy - Kodeks pracy (Dz. U. poz. 878).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none"/>
      <w:lvlText w:val=""/>
      <w:lvlJc w:val="left"/>
      <w:pPr>
        <w:ind w:left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 w:asciiTheme="minorHAnsi" w:hAnsiTheme="minorHAnsi" w:eastAsiaTheme="minorHAnsi" w:cstheme="minorBidi"/>
        <w:sz w:val="24"/>
        <w:szCs w:val="22"/>
        <w:lang w:val="pl-PL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rFonts w:ascii="Times New Roman" w:hAnsi="Times New Roman" w:eastAsia="Times New Roman" w:cs="Times New Roman"/>
      <w:sz w:val="24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Style">
    <w:name w:val="Head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Style">
    <w:name w:val="TitleStyle"/>
    <w:pPr>
      <w:spacing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TitleCenterStyle">
    <w:name w:val="TitleCenterStyle"/>
    <w:pPr>
      <w:spacing w:line="24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</w:rPr>
  </w:style>
  <w:style w:type="paragraph" w:styleId="NormalStyle">
    <w:name w:val="NormalStyle"/>
    <w:pPr>
      <w:spacing w:after="0"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NormalSpacingStyle">
    <w:name w:val="NormalSpacingStyle"/>
    <w:pPr>
      <w:spacing w:line="240" w:lineRule="auto"/>
      <w:jc w:val="left"/>
    </w:pPr>
    <w:rPr>
      <w:rFonts w:ascii="Times New Roman" w:hAnsi="Times New Roman" w:eastAsia="Times New Roman" w:cs="Times New Roman"/>
      <w:color w:val="000000" w:themeColor="text1"/>
      <w:sz w:val="24"/>
    </w:rPr>
  </w:style>
  <w:style w:type="paragraph" w:styleId="BoldStyle">
    <w:name w:val="BoldStyle"/>
    <w:pPr>
      <w:spacing w:after="0" w:line="240" w:lineRule="auto"/>
      <w:jc w:val="left"/>
    </w:pPr>
    <w:rPr>
      <w:rFonts w:ascii="Times New Roman" w:hAnsi="Times New Roman" w:eastAsia="Times New Roman" w:cs="Times New Roman"/>
      <w:b/>
      <w:color w:val="000000" w:themeColor="text1"/>
      <w:sz w:val="24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