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21" w:rsidRPr="0064200F" w:rsidRDefault="00DB45D1" w:rsidP="0064200F">
      <w:pPr>
        <w:tabs>
          <w:tab w:val="left" w:pos="6096"/>
        </w:tabs>
        <w:jc w:val="right"/>
        <w:rPr>
          <w:rFonts w:ascii="Calibri" w:eastAsia="Calibri" w:hAnsi="Calibri" w:cs="Calibri"/>
          <w:i/>
          <w:color w:val="404040"/>
          <w:sz w:val="22"/>
          <w:szCs w:val="22"/>
        </w:rPr>
      </w:pPr>
      <w:r>
        <w:rPr>
          <w:rFonts w:ascii="Calibri" w:eastAsia="Calibri" w:hAnsi="Calibri" w:cs="Calibri"/>
          <w:i/>
          <w:color w:val="404040"/>
          <w:sz w:val="22"/>
          <w:szCs w:val="22"/>
        </w:rPr>
        <w:t>Załącznik nr 1 do Aplikacji</w:t>
      </w:r>
    </w:p>
    <w:p w:rsidR="00F73521" w:rsidRDefault="00DB45D1" w:rsidP="00160B69">
      <w:pPr>
        <w:spacing w:after="240"/>
        <w:ind w:left="-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modelu biznesowego</w:t>
      </w:r>
    </w:p>
    <w:tbl>
      <w:tblPr>
        <w:tblStyle w:val="a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1"/>
      </w:tblGrid>
      <w:tr w:rsidR="00F73521">
        <w:tc>
          <w:tcPr>
            <w:tcW w:w="9211" w:type="dxa"/>
            <w:shd w:val="clear" w:color="auto" w:fill="4A86E8"/>
          </w:tcPr>
          <w:p w:rsidR="00F73521" w:rsidRPr="0064200F" w:rsidRDefault="0064200F" w:rsidP="0064200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64200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="00DB45D1" w:rsidRPr="0064200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Segmenty klientów</w:t>
            </w:r>
          </w:p>
        </w:tc>
      </w:tr>
      <w:tr w:rsidR="00F73521">
        <w:tc>
          <w:tcPr>
            <w:tcW w:w="9211" w:type="dxa"/>
            <w:tcBorders>
              <w:bottom w:val="single" w:sz="4" w:space="0" w:color="000000"/>
            </w:tcBorders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profile klientów funkcjonujących w otoczeniu rynkowym, w którym chce działać DIH oraz zidentyfikować ich potrzeby.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2. Propozycja wartości dla klientów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zaadresować potrzeby segmentów klientów poprzez przedstawienie katalogu docelowych usług DIH-a (lista rekomendow</w:t>
            </w:r>
            <w:r w:rsidR="00160B69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anych usług stanowiąca zał. Nr 1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do Regulaminu) oraz precyzyjne określenie sposobów tworzenia korzyści (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gain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creators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) i rozwiązywania problemów (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pain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relievers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).</w:t>
            </w:r>
          </w:p>
          <w:tbl>
            <w:tblPr>
              <w:tblStyle w:val="a0"/>
              <w:tblW w:w="89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8"/>
              <w:gridCol w:w="4418"/>
            </w:tblGrid>
            <w:tr w:rsidR="00F73521">
              <w:trPr>
                <w:trHeight w:val="240"/>
              </w:trPr>
              <w:tc>
                <w:tcPr>
                  <w:tcW w:w="4568" w:type="dxa"/>
                  <w:shd w:val="clear" w:color="auto" w:fill="4A86E8"/>
                </w:tcPr>
                <w:p w:rsidR="00F73521" w:rsidRDefault="00661F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  <w:szCs w:val="22"/>
                      </w:rPr>
                      <w:id w:val="-2120981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b/>
                          <w:color w:val="FFFFFF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>Działania demonstracyjne</w:t>
                  </w:r>
                </w:p>
              </w:tc>
              <w:tc>
                <w:tcPr>
                  <w:tcW w:w="4418" w:type="dxa"/>
                  <w:shd w:val="clear" w:color="auto" w:fill="4A86E8"/>
                </w:tcPr>
                <w:p w:rsidR="00F73521" w:rsidRDefault="00661F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  <w:szCs w:val="22"/>
                      </w:rPr>
                      <w:id w:val="34937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b/>
                          <w:color w:val="FFFFFF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>Działania doradcze</w:t>
                  </w:r>
                </w:p>
              </w:tc>
            </w:tr>
            <w:tr w:rsidR="00F73521">
              <w:tc>
                <w:tcPr>
                  <w:tcW w:w="4568" w:type="dxa"/>
                  <w:tcBorders>
                    <w:bottom w:val="single" w:sz="4" w:space="0" w:color="000000"/>
                  </w:tcBorders>
                </w:tcPr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795551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62DB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Demonstracj</w:t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>e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mobiln</w:t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>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354026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>Demonstracje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w laboratoriach i na targach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625421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  <w:t>Warsztaty praktyczne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908406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Living</w:t>
                  </w:r>
                  <w:proofErr w:type="spellEnd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labs</w:t>
                  </w:r>
                  <w:proofErr w:type="spellEnd"/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358939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  <w:t>Dzień otwarty w DIH-ach demonstracyjnych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276" w:lineRule="auto"/>
                    <w:ind w:left="283" w:hanging="28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856102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  <w:t>Pilotażowa ocena w DIH-ach demonstracyjnych</w:t>
                  </w:r>
                </w:p>
                <w:p w:rsidR="00F73521" w:rsidRDefault="00160B69" w:rsidP="00160B69">
                  <w:pPr>
                    <w:spacing w:line="276" w:lineRule="auto"/>
                    <w:ind w:left="283" w:hanging="285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549646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inne </w:t>
                  </w:r>
                  <w:r w:rsidR="00DB45D1">
                    <w:rPr>
                      <w:rFonts w:ascii="Calibri" w:eastAsia="Calibri" w:hAnsi="Calibri" w:cs="Calibri"/>
                    </w:rPr>
                    <w:t>………………………………………..</w:t>
                  </w:r>
                </w:p>
                <w:p w:rsidR="00F73521" w:rsidRDefault="00F73521" w:rsidP="00160B69">
                  <w:pPr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18" w:type="dxa"/>
                  <w:tcBorders>
                    <w:bottom w:val="single" w:sz="4" w:space="0" w:color="000000"/>
                  </w:tcBorders>
                </w:tcPr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731606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Analiza potencjału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804456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Warsztaty projektowe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376190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Strategie wdrożeniowe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377969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Scenariusze transformacji cyfrowej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26406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inne </w:t>
                  </w:r>
                  <w:r w:rsidR="00160B69">
                    <w:rPr>
                      <w:rFonts w:ascii="Calibri" w:eastAsia="Calibri" w:hAnsi="Calibri" w:cs="Calibri"/>
                    </w:rPr>
                    <w:t>………………………………………..</w:t>
                  </w:r>
                </w:p>
                <w:p w:rsidR="00F73521" w:rsidRDefault="00F73521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5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73521">
              <w:tc>
                <w:tcPr>
                  <w:tcW w:w="4568" w:type="dxa"/>
                  <w:shd w:val="clear" w:color="auto" w:fill="4A86E8"/>
                </w:tcPr>
                <w:p w:rsidR="00F73521" w:rsidRDefault="00661F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i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  <w:szCs w:val="22"/>
                      </w:rPr>
                      <w:id w:val="1325548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b/>
                          <w:color w:val="FFFFFF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>Działania szkoleniowo-edukacyjne</w:t>
                  </w:r>
                </w:p>
              </w:tc>
              <w:tc>
                <w:tcPr>
                  <w:tcW w:w="4418" w:type="dxa"/>
                  <w:shd w:val="clear" w:color="auto" w:fill="4A86E8"/>
                </w:tcPr>
                <w:p w:rsidR="00F73521" w:rsidRDefault="00661FB6">
                  <w:pPr>
                    <w:rPr>
                      <w:rFonts w:ascii="Calibri" w:eastAsia="Calibri" w:hAnsi="Calibri" w:cs="Calibri"/>
                      <w:i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  <w:szCs w:val="22"/>
                      </w:rPr>
                      <w:id w:val="-954096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b/>
                          <w:color w:val="FFFFFF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>Działania implementujące</w:t>
                  </w:r>
                </w:p>
              </w:tc>
            </w:tr>
            <w:tr w:rsidR="00F73521">
              <w:tc>
                <w:tcPr>
                  <w:tcW w:w="4568" w:type="dxa"/>
                  <w:tcBorders>
                    <w:bottom w:val="single" w:sz="4" w:space="0" w:color="000000"/>
                  </w:tcBorders>
                </w:tcPr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473376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 w:rsidRPr="00E6336E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i/>
                      <w:color w:val="C00000"/>
                      <w:sz w:val="22"/>
                      <w:szCs w:val="22"/>
                    </w:rPr>
                    <w:tab/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Seminaria specjalistyczne i branżowe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511136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  <w:t xml:space="preserve">Szkolenia </w:t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inhouse</w:t>
                  </w:r>
                  <w:proofErr w:type="spellEnd"/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968433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r w:rsidR="004707B2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Mieszana metoda kształcenia (</w:t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Blended</w:t>
                  </w:r>
                  <w:proofErr w:type="spellEnd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learning</w:t>
                  </w:r>
                  <w:r w:rsidR="004707B2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54645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r w:rsidR="00E25CE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Szkolenia trenerów (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Train the </w:t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trainer</w:t>
                  </w:r>
                  <w:proofErr w:type="spellEnd"/>
                  <w:r w:rsidR="00E25CE9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077900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ab/>
                  </w:r>
                  <w:proofErr w:type="spellStart"/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Samosprawdzenie</w:t>
                  </w:r>
                  <w:proofErr w:type="spellEnd"/>
                </w:p>
                <w:p w:rsidR="00F73521" w:rsidRDefault="00160B69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473335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inne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………………………………………..</w:t>
                  </w:r>
                </w:p>
                <w:p w:rsidR="00F73521" w:rsidRDefault="00F73521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i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4418" w:type="dxa"/>
                  <w:tcBorders>
                    <w:bottom w:val="single" w:sz="4" w:space="0" w:color="000000"/>
                  </w:tcBorders>
                </w:tcPr>
                <w:p w:rsidR="00F73521" w:rsidRPr="00160B69" w:rsidRDefault="00661FB6" w:rsidP="00160B69">
                  <w:pPr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244059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 w:rsidRPr="00160B69">
                    <w:rPr>
                      <w:rFonts w:ascii="Calibri" w:eastAsia="Calibri" w:hAnsi="Calibri" w:cs="Calibri"/>
                      <w:sz w:val="22"/>
                      <w:szCs w:val="22"/>
                    </w:rPr>
                    <w:t>Działania wdrożeniowe</w:t>
                  </w:r>
                </w:p>
                <w:p w:rsidR="00F73521" w:rsidRDefault="00661FB6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479351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projekty wdrożeniowe</w:t>
                  </w:r>
                </w:p>
                <w:p w:rsidR="00F73521" w:rsidRDefault="00661FB6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682555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koncepcje inwestycyjne</w:t>
                  </w:r>
                </w:p>
                <w:p w:rsidR="00F73521" w:rsidRDefault="00661FB6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187558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Test Bed – instalacje testowe</w:t>
                  </w:r>
                </w:p>
                <w:p w:rsidR="00F73521" w:rsidRDefault="00661FB6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236205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inne </w:t>
                  </w:r>
                  <w:r w:rsidR="00160B69">
                    <w:rPr>
                      <w:rFonts w:ascii="Calibri" w:eastAsia="Calibri" w:hAnsi="Calibri" w:cs="Calibri"/>
                    </w:rPr>
                    <w:t>………………………………………..</w:t>
                  </w:r>
                </w:p>
                <w:p w:rsidR="00F73521" w:rsidRDefault="00F73521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73521" w:rsidRPr="00160B69" w:rsidRDefault="00661FB6" w:rsidP="00160B69">
                  <w:pPr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18782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 w:rsidRPr="00160B69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 w:rsidRPr="00160B69">
                    <w:rPr>
                      <w:rFonts w:ascii="Calibri" w:eastAsia="Calibri" w:hAnsi="Calibri" w:cs="Calibri"/>
                      <w:sz w:val="22"/>
                      <w:szCs w:val="22"/>
                    </w:rPr>
                    <w:t>Działania integrujące</w:t>
                  </w:r>
                </w:p>
                <w:p w:rsidR="00F73521" w:rsidRDefault="00661FB6" w:rsidP="00160B69">
                  <w:pPr>
                    <w:spacing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580138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0B69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>wymiana doświadczeń</w:t>
                  </w:r>
                </w:p>
                <w:p w:rsidR="00F73521" w:rsidRDefault="00661FB6" w:rsidP="00160B69">
                  <w:pPr>
                    <w:spacing w:after="240" w:line="276" w:lineRule="auto"/>
                    <w:ind w:left="28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29283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60B69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sz w:val="22"/>
                      <w:szCs w:val="22"/>
                    </w:rPr>
                    <w:t>sieć kompetencji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i/>
                      <w:color w:val="C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2081329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inne </w:t>
                  </w:r>
                  <w:r w:rsidR="00160B69">
                    <w:rPr>
                      <w:rFonts w:ascii="Calibri" w:eastAsia="Calibri" w:hAnsi="Calibri" w:cs="Calibri"/>
                    </w:rPr>
                    <w:t>………………………………………..</w:t>
                  </w:r>
                </w:p>
              </w:tc>
            </w:tr>
            <w:tr w:rsidR="00F73521">
              <w:tc>
                <w:tcPr>
                  <w:tcW w:w="8986" w:type="dxa"/>
                  <w:gridSpan w:val="2"/>
                  <w:shd w:val="clear" w:color="auto" w:fill="4A86E8"/>
                </w:tcPr>
                <w:p w:rsidR="00F73521" w:rsidRDefault="00160B69" w:rsidP="006420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i/>
                      <w:color w:val="E6B8AF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  <w:szCs w:val="22"/>
                      </w:rPr>
                      <w:id w:val="4333324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/>
                          <w:color w:val="FFFFFF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b/>
                      <w:color w:val="FFFFFF"/>
                      <w:sz w:val="22"/>
                      <w:szCs w:val="22"/>
                    </w:rPr>
                    <w:t xml:space="preserve">Działania informacyjno-promocyjne </w:t>
                  </w:r>
                  <w:r w:rsidR="00E6336E" w:rsidRP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>–</w:t>
                  </w:r>
                  <w:r w:rsidR="00DB45D1" w:rsidRP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 xml:space="preserve"> obligatoryjne</w:t>
                  </w:r>
                  <w:r w:rsidR="00E6336E" w:rsidRP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r w:rsid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 xml:space="preserve">należy podać/zaznaczyć </w:t>
                  </w:r>
                  <w:r w:rsidR="00E6336E" w:rsidRP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>min. 5</w:t>
                  </w:r>
                  <w:r w:rsid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 xml:space="preserve"> działań</w:t>
                  </w:r>
                  <w:r w:rsidR="00E6336E" w:rsidRPr="0064200F">
                    <w:rPr>
                      <w:rFonts w:ascii="Calibri" w:eastAsia="Calibri" w:hAnsi="Calibri" w:cs="Calibri"/>
                      <w:b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</w:tc>
            </w:tr>
            <w:tr w:rsidR="00F73521">
              <w:tc>
                <w:tcPr>
                  <w:tcW w:w="8986" w:type="dxa"/>
                  <w:gridSpan w:val="2"/>
                </w:tcPr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165805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7B2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4200F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Dedykowana prezentacja nt. możliwości wdrożenia </w:t>
                  </w:r>
                  <w:r w:rsidR="00CD4B75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cyfrowego</w:t>
                  </w:r>
                  <w:r w:rsidR="004707B2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rozwiązania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034623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4200F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Spotkania referencyjne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5157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200F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4200F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Wizyty w firmach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159660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707B2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Konferencje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/seminaria</w:t>
                  </w:r>
                </w:p>
                <w:bookmarkStart w:id="0" w:name="_gjdgxs" w:colFirst="0" w:colLast="0"/>
                <w:bookmarkEnd w:id="0"/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109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4200F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Foresight technologiczny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-837234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Badania i radar innowacji</w:t>
                  </w:r>
                </w:p>
                <w:p w:rsidR="00F73521" w:rsidRDefault="00661FB6" w:rsidP="00160B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id w:val="2095119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336E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45D1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inne ………………………………………………….</w:t>
                  </w:r>
                </w:p>
              </w:tc>
            </w:tr>
            <w:tr w:rsidR="00F73521">
              <w:tc>
                <w:tcPr>
                  <w:tcW w:w="8986" w:type="dxa"/>
                  <w:gridSpan w:val="2"/>
                </w:tcPr>
                <w:p w:rsidR="00F73521" w:rsidRDefault="00DB4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130"/>
                    </w:tabs>
                    <w:rPr>
                      <w:rFonts w:ascii="Calibri" w:eastAsia="Calibri" w:hAnsi="Calibri" w:cs="Calibri"/>
                      <w:i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Inne </w:t>
                  </w:r>
                  <w:r w:rsidRPr="00160B69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działania (jeśli dotyczy)</w:t>
                  </w:r>
                </w:p>
              </w:tc>
            </w:tr>
            <w:tr w:rsidR="00F73521">
              <w:tc>
                <w:tcPr>
                  <w:tcW w:w="8986" w:type="dxa"/>
                  <w:gridSpan w:val="2"/>
                </w:tcPr>
                <w:p w:rsidR="00F73521" w:rsidRDefault="00DB45D1" w:rsidP="00661F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360" w:lineRule="auto"/>
                    <w:ind w:left="313" w:hanging="313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661FB6">
                    <w:rPr>
                      <w:rFonts w:ascii="Calibri" w:eastAsia="Calibri" w:hAnsi="Calibri" w:cs="Calibri"/>
                      <w:i/>
                      <w:color w:val="C00000"/>
                      <w:sz w:val="20"/>
                      <w:szCs w:val="20"/>
                    </w:rPr>
                    <w:t>W tym punkcie należy wymienić inne działania, niż wymienione powyżej, które zamierza podjąć DIH.</w:t>
                  </w:r>
                </w:p>
              </w:tc>
            </w:tr>
          </w:tbl>
          <w:p w:rsidR="00F73521" w:rsidRDefault="00F73521">
            <w:pPr>
              <w:rPr>
                <w:rFonts w:ascii="Calibri" w:eastAsia="Calibri" w:hAnsi="Calibri" w:cs="Calibri"/>
              </w:rPr>
            </w:pP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3. Relacje z klientami</w:t>
            </w:r>
          </w:p>
        </w:tc>
      </w:tr>
      <w:tr w:rsidR="00F73521">
        <w:tc>
          <w:tcPr>
            <w:tcW w:w="9211" w:type="dxa"/>
          </w:tcPr>
          <w:p w:rsidR="00CD7DCE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w jaki sposób DIH będzie pozyskiwał nowych klientów, jakie działania podejmie, aby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E25CE9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zachęcić do dalszego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korzysta</w:t>
            </w:r>
            <w:r w:rsidR="00E25CE9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nia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 usług DIH-a w dłuższej perspektywie czasu. Należy opisać narzędzia używane do przyciągania i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lojalizacji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klientów.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4. Kanały dystrybucji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zdefiniować i opisać kanały, poprzez które DIH będzie kierował ofertę wartości dla segmentów klientów oraz kanały dystrybucji świadczonych przez niego usług.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5. Kluczowe zasoby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5a. Zasoby organizacyjne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>
            <w:pPr>
              <w:spacing w:after="20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DIH opisze członków konsorcjum (jeśli dotyczy) oraz procesy jakie stosuje obecnie i zamierza wdrożyć w celu realizacji usług w ramach określonego modelu biznesowego. Rekomendowane jest przedstawienie doświadczenia w ew. wspólnych projektach, realizowanych z zaprezentowanymi konsorcjantami.</w:t>
            </w:r>
          </w:p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DIH określi też szacunkową liczbę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personelu i ich profil kompetencyjny, jakim deklaruje się dysponować w momencie rozpoczęcia świadczenia usług. 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5b. Zasoby ludzkie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DIH opisze zasoby ludzkie, którymi dysponuje oraz lukę kadrową i kompetencyjną oraz sposób ich wypełnienia (np. konkretnie wskazanymi programami budowy kompetencji) w celu uzyskania gotowości do wykonywania zadania. </w:t>
            </w:r>
          </w:p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DIH zadeklaruje tutaj liczbę osób zaangażowanych bezpośrednio w świadczenie usług, którymi dysponuje w</w:t>
            </w:r>
            <w:r w:rsidR="00661FB6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 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momencie składania Aplikacji (minimum 10), a także przedstawi w formie CV informacje na temat ich:</w:t>
            </w:r>
          </w:p>
          <w:p w:rsidR="00F73521" w:rsidRPr="00661FB6" w:rsidRDefault="00DB45D1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wykształcenia, </w:t>
            </w:r>
          </w:p>
          <w:p w:rsidR="00F73521" w:rsidRPr="00661FB6" w:rsidRDefault="00DB45D1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5 najważniejszych publikacji punktowanych (jeśli dotyczy), </w:t>
            </w:r>
          </w:p>
          <w:p w:rsidR="00F73521" w:rsidRPr="00661FB6" w:rsidRDefault="00DB45D1" w:rsidP="00661FB6">
            <w:pPr>
              <w:numPr>
                <w:ilvl w:val="0"/>
                <w:numId w:val="2"/>
              </w:num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do 10 (dla każdej kategorii) najważniejszych projektów badawczych, wdrożeniowych lub doradczych, w których dana osoba brała udział.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5c. Zasoby techniczne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DIH opisze posiadane zasoby techniczne, oraz lukę infrastrukturalną, która powinna zostać uzupełniona, aby osiągnąć pełen wymiar usług zdefiniowanych w propozycji wartości dla klienta. 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6. Kluczowi partnerzy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kto jest kluczowym partnerem lub dostawcą DIH</w:t>
            </w:r>
            <w:r w:rsidR="000D7387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-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a (podmioty inne niż członkowie DIH-a), dzięki którym może on tworzyć wartość, oraz przedstawić ich charakterystykę, a także merytoryczne umotywowanie ich wyboru.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7. Kluczowe działania</w:t>
            </w:r>
          </w:p>
        </w:tc>
      </w:tr>
      <w:tr w:rsidR="00F73521">
        <w:tc>
          <w:tcPr>
            <w:tcW w:w="9211" w:type="dxa"/>
          </w:tcPr>
          <w:p w:rsidR="00CD4B75" w:rsidRPr="00661FB6" w:rsidRDefault="00DB45D1" w:rsidP="00661FB6">
            <w:pPr>
              <w:spacing w:after="240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jakie kluczowe działania DIH musi podjąć, aby jego model biznesowy sprawnie funkcjonował.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8. Struktura kosztów – harmonogram finansowy</w:t>
            </w:r>
          </w:p>
        </w:tc>
      </w:tr>
      <w:tr w:rsidR="00F73521">
        <w:tc>
          <w:tcPr>
            <w:tcW w:w="9211" w:type="dxa"/>
          </w:tcPr>
          <w:p w:rsidR="00E41F1E" w:rsidRPr="00661FB6" w:rsidRDefault="00DB45D1" w:rsidP="00661FB6">
            <w:pPr>
              <w:spacing w:after="240"/>
              <w:rPr>
                <w:rFonts w:ascii="Calibri" w:eastAsia="Calibri" w:hAnsi="Calibri" w:cs="Calibri"/>
                <w:color w:val="C0000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należy wypełnić tabelę kosztów realizacji Zadania </w:t>
            </w:r>
            <w:r w:rsidR="00661FB6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czasie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(załącznik nr 3 do Aplikacji).</w:t>
            </w:r>
            <w:bookmarkStart w:id="1" w:name="_GoBack"/>
            <w:bookmarkEnd w:id="1"/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DB45D1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9. Strumień dochodów</w:t>
            </w:r>
          </w:p>
        </w:tc>
      </w:tr>
      <w:tr w:rsidR="00F73521">
        <w:tc>
          <w:tcPr>
            <w:tcW w:w="9211" w:type="dxa"/>
          </w:tcPr>
          <w:p w:rsidR="00F73521" w:rsidRPr="00661FB6" w:rsidRDefault="004707B2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DIH oszacuje dochody wynikające ze świadczenia usług dla przedsiębiorców uwzględniając zasady</w:t>
            </w:r>
            <w:r w:rsidR="00DB45D1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udzielania pomocy publicznej w UE zgodnie z Rozporządzeniem Komisji (UE) nr 651/2014 z dnia 17 czerwca 2014 r. uznające niektóre rodzaje pomocy za zgodne z rynkiem wewnętrznym w zastosowaniu art. 107 i 108 Traktatu, </w:t>
            </w:r>
            <w:r w:rsidR="00CD4B75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oraz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CD4B75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z Rozporządzeniem Komisji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CD4B75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(UE) nr 1407/2013 z dnia 18 grudnia 2013 r. w sprawie stosowania art. 107 i 108 Traktatu o funkcjonowaniu Unii Europejskiej do pomocy de </w:t>
            </w:r>
            <w:proofErr w:type="spellStart"/>
            <w:r w:rsidR="00CD4B75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minimis</w:t>
            </w:r>
            <w:proofErr w:type="spellEnd"/>
            <w:r w:rsidR="00DB45D1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)</w:t>
            </w:r>
            <w:r w:rsidR="00CD4B75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.</w:t>
            </w:r>
          </w:p>
        </w:tc>
      </w:tr>
    </w:tbl>
    <w:p w:rsidR="00F73521" w:rsidRDefault="00F73521" w:rsidP="00CD7DCE">
      <w:pPr>
        <w:rPr>
          <w:rFonts w:ascii="Calibri" w:eastAsia="Calibri" w:hAnsi="Calibri" w:cs="Calibri"/>
        </w:rPr>
      </w:pPr>
    </w:p>
    <w:sectPr w:rsidR="00F7352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8BA"/>
    <w:multiLevelType w:val="hybridMultilevel"/>
    <w:tmpl w:val="9822ED40"/>
    <w:lvl w:ilvl="0" w:tplc="904AF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428"/>
    <w:multiLevelType w:val="hybridMultilevel"/>
    <w:tmpl w:val="D55E2768"/>
    <w:lvl w:ilvl="0" w:tplc="5906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24C4"/>
    <w:multiLevelType w:val="multilevel"/>
    <w:tmpl w:val="7AE4E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AB32217"/>
    <w:multiLevelType w:val="multilevel"/>
    <w:tmpl w:val="283E2D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E5338"/>
    <w:multiLevelType w:val="hybridMultilevel"/>
    <w:tmpl w:val="896EBA8A"/>
    <w:lvl w:ilvl="0" w:tplc="01A8F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521"/>
    <w:rsid w:val="00077E60"/>
    <w:rsid w:val="000D7387"/>
    <w:rsid w:val="00160B69"/>
    <w:rsid w:val="001B62DB"/>
    <w:rsid w:val="004707B2"/>
    <w:rsid w:val="005351EC"/>
    <w:rsid w:val="0064200F"/>
    <w:rsid w:val="00661FB6"/>
    <w:rsid w:val="008D2830"/>
    <w:rsid w:val="00CD4B75"/>
    <w:rsid w:val="00CD7DCE"/>
    <w:rsid w:val="00DB45D1"/>
    <w:rsid w:val="00E25CE9"/>
    <w:rsid w:val="00E41F1E"/>
    <w:rsid w:val="00E6336E"/>
    <w:rsid w:val="00F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3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3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Duńska</dc:creator>
  <cp:lastModifiedBy>Tomasz Pytko</cp:lastModifiedBy>
  <cp:revision>7</cp:revision>
  <cp:lastPrinted>2019-08-07T08:37:00Z</cp:lastPrinted>
  <dcterms:created xsi:type="dcterms:W3CDTF">2019-08-06T10:02:00Z</dcterms:created>
  <dcterms:modified xsi:type="dcterms:W3CDTF">2019-08-07T13:19:00Z</dcterms:modified>
</cp:coreProperties>
</file>