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Default="00922FD3" w:rsidP="00922FD3">
      <w:pPr>
        <w:autoSpaceDE w:val="0"/>
        <w:spacing w:line="360" w:lineRule="auto"/>
        <w:jc w:val="center"/>
        <w:rPr>
          <w:rFonts w:eastAsia="A"/>
          <w:b/>
          <w:bCs/>
        </w:rPr>
      </w:pPr>
      <w:r>
        <w:rPr>
          <w:rFonts w:eastAsia="A"/>
          <w:b/>
          <w:bCs/>
        </w:rPr>
        <w:t>OPIS ISTOTNYCH ZAGADNIEŃ</w:t>
      </w:r>
    </w:p>
    <w:p w:rsidR="00922FD3" w:rsidRDefault="00922FD3" w:rsidP="00922FD3">
      <w:pPr>
        <w:autoSpaceDE w:val="0"/>
        <w:spacing w:line="360" w:lineRule="auto"/>
        <w:jc w:val="center"/>
        <w:rPr>
          <w:rFonts w:eastAsia="A"/>
          <w:b/>
          <w:bCs/>
        </w:rPr>
      </w:pPr>
      <w:r>
        <w:rPr>
          <w:rFonts w:eastAsia="A"/>
          <w:b/>
          <w:bCs/>
        </w:rPr>
        <w:t xml:space="preserve">dla Komisji Egzaminacyjnej </w:t>
      </w:r>
    </w:p>
    <w:p w:rsidR="00922FD3" w:rsidRDefault="00922FD3" w:rsidP="00922FD3">
      <w:pPr>
        <w:autoSpaceDE w:val="0"/>
        <w:spacing w:line="360" w:lineRule="auto"/>
        <w:jc w:val="center"/>
        <w:rPr>
          <w:rFonts w:eastAsia="A"/>
          <w:b/>
          <w:bCs/>
        </w:rPr>
      </w:pPr>
      <w:r>
        <w:rPr>
          <w:rFonts w:eastAsia="A"/>
          <w:b/>
          <w:bCs/>
        </w:rPr>
        <w:t>do zadania z zakresu prawa karnego</w:t>
      </w:r>
    </w:p>
    <w:p w:rsidR="00922FD3" w:rsidRDefault="00922FD3" w:rsidP="00922FD3">
      <w:pPr>
        <w:autoSpaceDE w:val="0"/>
        <w:spacing w:line="360" w:lineRule="auto"/>
        <w:jc w:val="center"/>
        <w:rPr>
          <w:rFonts w:eastAsia="A"/>
        </w:rPr>
      </w:pPr>
      <w:r>
        <w:rPr>
          <w:rFonts w:eastAsia="A"/>
          <w:b/>
          <w:bCs/>
        </w:rPr>
        <w:t xml:space="preserve">egzamin radcowski - 11 marca 2015 r. </w:t>
      </w:r>
    </w:p>
    <w:p w:rsidR="001B0F41" w:rsidRPr="00BF2FEF" w:rsidRDefault="001B0F41" w:rsidP="001B0F41">
      <w:pPr>
        <w:jc w:val="center"/>
      </w:pPr>
    </w:p>
    <w:p w:rsidR="001B0F41" w:rsidRPr="001B0F41" w:rsidRDefault="005857D6" w:rsidP="00B67C4F">
      <w:pPr>
        <w:spacing w:line="348" w:lineRule="auto"/>
        <w:ind w:firstLine="360"/>
        <w:jc w:val="both"/>
      </w:pPr>
      <w:r>
        <w:t>Zdaniem Z</w:t>
      </w:r>
      <w:r w:rsidR="001B0F41" w:rsidRPr="00BF2FEF">
        <w:t>espołu</w:t>
      </w:r>
      <w:r w:rsidR="00652951">
        <w:t xml:space="preserve"> do przygotowania zadań na egzamin radcowski</w:t>
      </w:r>
      <w:r w:rsidR="001B0F41" w:rsidRPr="00BF2FEF">
        <w:t xml:space="preserve">, w przypadku zadania </w:t>
      </w:r>
      <w:r w:rsidR="00652951">
        <w:t xml:space="preserve">            </w:t>
      </w:r>
      <w:r w:rsidR="006B2A1D">
        <w:t>z zakresu prawa karnego</w:t>
      </w:r>
      <w:r w:rsidR="001B0F41" w:rsidRPr="00BF2FEF">
        <w:t xml:space="preserve"> zasadne j</w:t>
      </w:r>
      <w:bookmarkStart w:id="0" w:name="_GoBack"/>
      <w:bookmarkEnd w:id="0"/>
      <w:r w:rsidR="001B0F41" w:rsidRPr="00BF2FEF">
        <w:t>est sporządzenie apelacji.</w:t>
      </w:r>
      <w:r w:rsidR="0056614D">
        <w:t xml:space="preserve"> Przy ocenie prac</w:t>
      </w:r>
      <w:r w:rsidR="001B0F41" w:rsidRPr="00BF2FEF">
        <w:t xml:space="preserve"> należy zwrócić uwagę na następujące problemy:</w:t>
      </w:r>
    </w:p>
    <w:p w:rsidR="00E84CE1" w:rsidRDefault="00E84CE1" w:rsidP="00B67C4F">
      <w:pPr>
        <w:spacing w:line="348" w:lineRule="auto"/>
        <w:jc w:val="both"/>
      </w:pPr>
    </w:p>
    <w:p w:rsidR="007801E4" w:rsidRPr="00E84CE1" w:rsidRDefault="003467E9" w:rsidP="00B67C4F">
      <w:pPr>
        <w:tabs>
          <w:tab w:val="left" w:pos="426"/>
        </w:tabs>
        <w:spacing w:line="348" w:lineRule="auto"/>
        <w:jc w:val="both"/>
        <w:rPr>
          <w:sz w:val="28"/>
          <w:szCs w:val="28"/>
        </w:rPr>
      </w:pPr>
      <w:r>
        <w:t>1.</w:t>
      </w:r>
      <w:r>
        <w:tab/>
      </w:r>
      <w:r w:rsidR="007801E4">
        <w:t xml:space="preserve">Sąd Rejonowy błędnie  </w:t>
      </w:r>
      <w:r w:rsidR="008F5540">
        <w:t>uznał, że pierwszy z zarzucanych Michałowi Kaszubskiemu czynów stanowi wykroczenie i w efekcie niesłusznie umor</w:t>
      </w:r>
      <w:r w:rsidR="007E62B7">
        <w:t xml:space="preserve">zył w tym zakresie postępowanie </w:t>
      </w:r>
      <w:r w:rsidR="008F5540">
        <w:t>z uwagi na przedawnienie</w:t>
      </w:r>
      <w:r w:rsidR="004F11E5">
        <w:t xml:space="preserve"> karalności</w:t>
      </w:r>
      <w:r w:rsidR="008F5540">
        <w:t>. Rzecz w tym, że oskarżony dokonując kradzieży wieńca użył wobec pokrzywdzonego Jana Baranowskiego przemocy. Wykręcił mu bowiem do tyłu prawą rękę</w:t>
      </w:r>
      <w:r w:rsidR="007E62B7">
        <w:t xml:space="preserve">              </w:t>
      </w:r>
      <w:r w:rsidR="008F5540">
        <w:t xml:space="preserve"> i odginając siłą palce wyrwał wieniec. Takie zachowanie wyczerpuje znamiona przestępstwa rozboju z art. 280 </w:t>
      </w:r>
      <w:r w:rsidR="001E6AF1">
        <w:t xml:space="preserve">§ </w:t>
      </w:r>
      <w:r w:rsidR="008F5540">
        <w:t xml:space="preserve">1 k.k. Zgodnie zaś z art. 130 § 3 </w:t>
      </w:r>
      <w:proofErr w:type="spellStart"/>
      <w:r w:rsidR="008F5540">
        <w:t>k.w</w:t>
      </w:r>
      <w:proofErr w:type="spellEnd"/>
      <w:r w:rsidR="008F5540">
        <w:t xml:space="preserve">., </w:t>
      </w:r>
      <w:r w:rsidR="00F63AD9">
        <w:t xml:space="preserve">czyn ten stanowi przedmiotowe przestępstwo niezależnie od wartości skradzionego mienia, ponieważ nie znajduje do niego zastosowania art. 119 </w:t>
      </w:r>
      <w:proofErr w:type="spellStart"/>
      <w:r w:rsidR="00F63AD9">
        <w:t>k.</w:t>
      </w:r>
      <w:r w:rsidR="00AF0419">
        <w:t>w</w:t>
      </w:r>
      <w:proofErr w:type="spellEnd"/>
      <w:r w:rsidR="00AF0419">
        <w:t>. Pamiętać zarazem należy, że zgodnie z uchwałą</w:t>
      </w:r>
      <w:r w:rsidR="004E0BE8">
        <w:t xml:space="preserve"> Sądu Najwyższego </w:t>
      </w:r>
      <w:r w:rsidR="007E62B7">
        <w:t xml:space="preserve">                </w:t>
      </w:r>
      <w:r w:rsidR="00AF0419">
        <w:t xml:space="preserve">z dnia 30 czerwca 2008 r., sygn. </w:t>
      </w:r>
      <w:r w:rsidR="003451AA">
        <w:t>akt I KZP 10/</w:t>
      </w:r>
      <w:r w:rsidR="001E6AF1">
        <w:t>08, wydaną w sk</w:t>
      </w:r>
      <w:r w:rsidR="002C2A10">
        <w:t>ł</w:t>
      </w:r>
      <w:r w:rsidR="001E6AF1">
        <w:t>a</w:t>
      </w:r>
      <w:r w:rsidR="004E0BE8">
        <w:t>dzie</w:t>
      </w:r>
      <w:r w:rsidR="007E62B7">
        <w:t xml:space="preserve"> </w:t>
      </w:r>
      <w:r w:rsidR="004E0BE8">
        <w:t>7 sędziów (OSNKW 2008/7/53), jak i uchwałą Sądu Najwyższego z dnia 17 grudnia 2008 r., sygn. akt I KZP 27/08, wydaną w składzie 7 sędziów</w:t>
      </w:r>
      <w:r w:rsidR="001E6AF1">
        <w:t xml:space="preserve"> i wpisaną do księgi zasad prawnych</w:t>
      </w:r>
      <w:r w:rsidR="004E0BE8">
        <w:t xml:space="preserve"> (OSNKW 2009/1/1), znaczenie normatywne określeń „przemoc wobec osoby”, użytego w art. 280 § 1 k.k. oraz „gwałt na osobie”, użytego w art. 130 § 3 </w:t>
      </w:r>
      <w:proofErr w:type="spellStart"/>
      <w:r w:rsidR="004E0BE8">
        <w:t>k.w</w:t>
      </w:r>
      <w:proofErr w:type="spellEnd"/>
      <w:r w:rsidR="004E0BE8">
        <w:t xml:space="preserve">., jest tożsame. Na podkreślenie zasługuje jednocześnie to, iż istota egzaminu radcowskiego polega między innymi na tym, że zdający winni wykazać się znajomością orzecznictwa i umiejętnością </w:t>
      </w:r>
      <w:r w:rsidR="0092139D">
        <w:t>posłużenia się tymi poglądami, które są korzyst</w:t>
      </w:r>
      <w:r w:rsidR="00B56DFF">
        <w:t>ne dla reprezentowanej przez nich</w:t>
      </w:r>
      <w:r w:rsidR="0092139D">
        <w:t xml:space="preserve"> strony – tym bardziej, gdy przybierają one postać uchwały i to wpisanej do księgi zasad prawnych.</w:t>
      </w:r>
    </w:p>
    <w:p w:rsidR="009337F7" w:rsidRDefault="003467E9" w:rsidP="00B67C4F">
      <w:pPr>
        <w:tabs>
          <w:tab w:val="left" w:pos="284"/>
        </w:tabs>
        <w:spacing w:line="348" w:lineRule="auto"/>
        <w:jc w:val="both"/>
      </w:pPr>
      <w:r>
        <w:tab/>
      </w:r>
      <w:r w:rsidR="00F63AD9">
        <w:t xml:space="preserve">Przestępstwo z art. 280 § 1 k.k. jest zagrożone karą od 2 </w:t>
      </w:r>
      <w:r w:rsidR="001D2CA8">
        <w:t xml:space="preserve">do 12 lat pozbawienia wolności </w:t>
      </w:r>
      <w:r w:rsidR="007E62B7">
        <w:t xml:space="preserve">              </w:t>
      </w:r>
      <w:r w:rsidR="001D2CA8">
        <w:t>i</w:t>
      </w:r>
      <w:r w:rsidR="00F63AD9">
        <w:t xml:space="preserve"> w myśl art. 101 § 2a k.k.</w:t>
      </w:r>
      <w:r w:rsidR="001D2CA8">
        <w:t xml:space="preserve"> przedawnia się z upływem 15 lat od czasu jego popełnienia. Termin ten ulega wydłużeniu o kolejne 10 lat</w:t>
      </w:r>
      <w:r w:rsidR="0092139D">
        <w:t>, jeżeli we wspomnianym czasie</w:t>
      </w:r>
      <w:r w:rsidR="001D2CA8">
        <w:t xml:space="preserve"> wszczęto postępowanie przeciwko osobie (art. 102 k.k.). Nie ulega zatem wątpliwości, że karalność przedmiotowego przestępstwa nie uległa przedawnieniu.</w:t>
      </w:r>
      <w:r w:rsidR="007801E4" w:rsidRPr="006A0929">
        <w:t xml:space="preserve"> </w:t>
      </w:r>
    </w:p>
    <w:p w:rsidR="003467E9" w:rsidRDefault="003467E9" w:rsidP="00B67C4F">
      <w:pPr>
        <w:spacing w:line="348" w:lineRule="auto"/>
        <w:ind w:firstLine="708"/>
        <w:jc w:val="both"/>
      </w:pPr>
    </w:p>
    <w:p w:rsidR="003B0924" w:rsidRDefault="003467E9" w:rsidP="00B67C4F">
      <w:pPr>
        <w:tabs>
          <w:tab w:val="left" w:pos="284"/>
        </w:tabs>
        <w:spacing w:line="348" w:lineRule="auto"/>
        <w:jc w:val="both"/>
      </w:pPr>
      <w:r>
        <w:t>2.</w:t>
      </w:r>
      <w:r>
        <w:tab/>
      </w:r>
      <w:r w:rsidR="00B31D2D">
        <w:t>Sąd Rejonowy błędnie</w:t>
      </w:r>
      <w:r w:rsidR="001D2CA8">
        <w:t xml:space="preserve"> </w:t>
      </w:r>
      <w:r w:rsidR="0080069E">
        <w:t xml:space="preserve">też </w:t>
      </w:r>
      <w:r w:rsidR="001D2CA8">
        <w:t>uznał, że Piotr Dudziński jest osobą najbliższą dla Michała Kaszubskiego.</w:t>
      </w:r>
      <w:r w:rsidR="001D2CA8">
        <w:tab/>
        <w:t xml:space="preserve">W konsekwencji, </w:t>
      </w:r>
      <w:r w:rsidR="008078A1">
        <w:t xml:space="preserve">błędnie </w:t>
      </w:r>
      <w:r w:rsidR="001D2CA8">
        <w:t xml:space="preserve">pouczył go o prawie do odmowy składania zeznań, </w:t>
      </w:r>
      <w:r w:rsidR="007E62B7">
        <w:t xml:space="preserve">              </w:t>
      </w:r>
      <w:r w:rsidR="001D2CA8">
        <w:t>z którego on „skorzystał”.</w:t>
      </w:r>
    </w:p>
    <w:p w:rsidR="00957D3E" w:rsidRDefault="003467E9" w:rsidP="00B67C4F">
      <w:pPr>
        <w:tabs>
          <w:tab w:val="left" w:pos="284"/>
        </w:tabs>
        <w:spacing w:line="348" w:lineRule="auto"/>
        <w:jc w:val="both"/>
      </w:pPr>
      <w:r>
        <w:tab/>
      </w:r>
      <w:r w:rsidR="003B0924">
        <w:t>Piotr Dudziński ożenił się z siostrą żony Michała Kaszubskiego. Nie mieści</w:t>
      </w:r>
      <w:r w:rsidR="0056614D">
        <w:t xml:space="preserve"> się</w:t>
      </w:r>
      <w:r w:rsidR="00B31D2D">
        <w:t xml:space="preserve"> on</w:t>
      </w:r>
      <w:r w:rsidR="003B0924">
        <w:t xml:space="preserve"> zatem </w:t>
      </w:r>
      <w:r w:rsidR="007E62B7">
        <w:t xml:space="preserve">             </w:t>
      </w:r>
      <w:r w:rsidR="003B0924">
        <w:t xml:space="preserve">w </w:t>
      </w:r>
      <w:r w:rsidR="006726BE">
        <w:t xml:space="preserve"> </w:t>
      </w:r>
      <w:r w:rsidR="003B0924">
        <w:t>kręgu osób najbliższych dla oskarżonego, który w</w:t>
      </w:r>
      <w:r w:rsidR="007E62B7">
        <w:t xml:space="preserve">yznaczony jest treścią art. 115 </w:t>
      </w:r>
      <w:r w:rsidR="003B0924">
        <w:t xml:space="preserve">§ 11 k.k. i nie </w:t>
      </w:r>
      <w:r w:rsidR="003B0924">
        <w:lastRenderedPageBreak/>
        <w:t>przysługiwało mu prawo do odmowy zeznań na podstawie art. 182 § 1 k.</w:t>
      </w:r>
      <w:r w:rsidR="00160941">
        <w:t>p.</w:t>
      </w:r>
      <w:r w:rsidR="003B0924">
        <w:t>k.</w:t>
      </w:r>
      <w:r w:rsidR="00B31D2D">
        <w:t xml:space="preserve"> (ze zgoła odmienną sytuacją mielibyśmy do czynienia, gdyby świadek ożenił się z siostrą oskarżonego).</w:t>
      </w:r>
      <w:r>
        <w:t xml:space="preserve"> </w:t>
      </w:r>
      <w:r w:rsidR="006726BE">
        <w:t>Ni</w:t>
      </w:r>
      <w:r w:rsidR="00B31D2D">
        <w:t>esłuszn</w:t>
      </w:r>
      <w:r w:rsidR="006726BE">
        <w:t xml:space="preserve">e </w:t>
      </w:r>
      <w:r w:rsidR="0056614D">
        <w:t>uznanie Piotra Dudzińskiego</w:t>
      </w:r>
      <w:r w:rsidR="006726BE">
        <w:t xml:space="preserve"> za </w:t>
      </w:r>
      <w:r w:rsidR="0056614D">
        <w:t>osobę najbliższą dla Michała Kaszubskiego</w:t>
      </w:r>
      <w:r w:rsidR="006726BE">
        <w:t xml:space="preserve"> skutkowało </w:t>
      </w:r>
      <w:r w:rsidR="0056614D">
        <w:t>uniewinnieniem tego ostatniego od popełnienia przestępstwa z art. 288 § 1 k.k.</w:t>
      </w:r>
      <w:r w:rsidR="00B56DFF">
        <w:t xml:space="preserve"> Zeznania Piotra Dudzińskiego</w:t>
      </w:r>
      <w:r w:rsidR="0056614D">
        <w:t xml:space="preserve">, złożone w postępowaniu przygotowawczym, były bowiem jedynym dowodem bezpośrednio wskazującym na sprawstwo Michała Kaszubskiego w tym zakresie. </w:t>
      </w:r>
    </w:p>
    <w:p w:rsidR="003467E9" w:rsidRPr="003467E9" w:rsidRDefault="003467E9" w:rsidP="00B67C4F">
      <w:pPr>
        <w:spacing w:line="348" w:lineRule="auto"/>
        <w:jc w:val="both"/>
      </w:pPr>
    </w:p>
    <w:p w:rsidR="00B07E0C" w:rsidRDefault="003467E9" w:rsidP="00B67C4F">
      <w:pPr>
        <w:tabs>
          <w:tab w:val="left" w:pos="284"/>
        </w:tabs>
        <w:spacing w:line="348" w:lineRule="auto"/>
        <w:jc w:val="both"/>
        <w:rPr>
          <w:rFonts w:cs="A"/>
        </w:rPr>
      </w:pPr>
      <w:r>
        <w:rPr>
          <w:rFonts w:cs="A"/>
        </w:rPr>
        <w:t>3.</w:t>
      </w:r>
      <w:r>
        <w:rPr>
          <w:rFonts w:cs="A"/>
        </w:rPr>
        <w:tab/>
      </w:r>
      <w:r w:rsidR="0080069E">
        <w:rPr>
          <w:rFonts w:cs="A"/>
        </w:rPr>
        <w:t>Nietrafne jest stanowisko Sądu Rejonowego</w:t>
      </w:r>
      <w:r w:rsidR="00B31D2D">
        <w:rPr>
          <w:rFonts w:cs="A"/>
        </w:rPr>
        <w:t xml:space="preserve">, że wniosek pokrzywdzonego Jana Baranowskiego </w:t>
      </w:r>
      <w:r w:rsidR="007E62B7">
        <w:rPr>
          <w:rFonts w:cs="A"/>
        </w:rPr>
        <w:t xml:space="preserve"> </w:t>
      </w:r>
      <w:r w:rsidR="00B31D2D">
        <w:rPr>
          <w:rFonts w:cs="A"/>
        </w:rPr>
        <w:t>o nałożenie na oskarżonego, na podstawie art. 46 § 1 k.k., obowiązku naprawienia szkody, związanej z poniesionymi przez niego kosztami wstawienia zębów, jest spóźniony.</w:t>
      </w:r>
      <w:r w:rsidR="00D752F5">
        <w:rPr>
          <w:rFonts w:cs="A"/>
        </w:rPr>
        <w:t xml:space="preserve"> Zgodnie </w:t>
      </w:r>
      <w:r w:rsidR="00B67C4F">
        <w:rPr>
          <w:rFonts w:cs="A"/>
        </w:rPr>
        <w:t xml:space="preserve">            </w:t>
      </w:r>
      <w:r w:rsidR="00D752F5">
        <w:rPr>
          <w:rFonts w:cs="A"/>
        </w:rPr>
        <w:t>z art. 49a k.p.k., wniosek ten pokrzywdzony mógł złożyć aż do zakończenia pierwszego przesłuchania go na rozprawie głównej, a nie do rozpoczęcia przewodu sądowego, jak przyjął Sąd.</w:t>
      </w:r>
      <w:r>
        <w:rPr>
          <w:rFonts w:cs="A"/>
        </w:rPr>
        <w:t xml:space="preserve"> </w:t>
      </w:r>
      <w:r w:rsidR="00D752F5">
        <w:rPr>
          <w:rFonts w:cs="A"/>
        </w:rPr>
        <w:t xml:space="preserve">Jan Baranowski złożył omawiany wniosek w trakcie składania zeznań na rozprawie, a więc </w:t>
      </w:r>
      <w:r w:rsidR="00B67C4F">
        <w:rPr>
          <w:rFonts w:cs="A"/>
        </w:rPr>
        <w:t xml:space="preserve">            </w:t>
      </w:r>
      <w:r w:rsidR="00D752F5">
        <w:rPr>
          <w:rFonts w:cs="A"/>
        </w:rPr>
        <w:t>w terminie przewidzianym w art. 49a k.p.k.</w:t>
      </w:r>
      <w:r w:rsidR="000A3C02">
        <w:rPr>
          <w:rFonts w:cs="A"/>
        </w:rPr>
        <w:t xml:space="preserve"> </w:t>
      </w:r>
    </w:p>
    <w:p w:rsidR="003467E9" w:rsidRDefault="003467E9" w:rsidP="00B67C4F">
      <w:pPr>
        <w:spacing w:line="348" w:lineRule="auto"/>
        <w:jc w:val="both"/>
        <w:rPr>
          <w:rFonts w:cs="A"/>
        </w:rPr>
      </w:pPr>
    </w:p>
    <w:p w:rsidR="009E5B9D" w:rsidRDefault="00B67C4F" w:rsidP="00B67C4F">
      <w:pPr>
        <w:tabs>
          <w:tab w:val="left" w:pos="284"/>
        </w:tabs>
        <w:spacing w:line="348" w:lineRule="auto"/>
        <w:jc w:val="both"/>
      </w:pPr>
      <w:r>
        <w:t>4.</w:t>
      </w:r>
      <w:r>
        <w:tab/>
      </w:r>
      <w:r w:rsidR="00456C7D">
        <w:t xml:space="preserve">Sąd Rejonowy nie </w:t>
      </w:r>
      <w:r w:rsidR="00D752F5">
        <w:t>uwzględnił wniosku Jana Baranowskiego o zasądzen</w:t>
      </w:r>
      <w:r w:rsidR="0080069E">
        <w:t xml:space="preserve">ie na jego rzecz </w:t>
      </w:r>
      <w:r w:rsidR="00D752F5">
        <w:t>zadośćuczynienia za krzywdę, jakiej doznał</w:t>
      </w:r>
      <w:r w:rsidR="0080069E">
        <w:t xml:space="preserve"> w wyniku spowodowania</w:t>
      </w:r>
      <w:r w:rsidR="009E5B9D">
        <w:t xml:space="preserve"> u niego </w:t>
      </w:r>
      <w:r w:rsidR="0080069E">
        <w:t xml:space="preserve">przez oskarżonego </w:t>
      </w:r>
      <w:r w:rsidR="009E5B9D">
        <w:t>obrażeń ciała. Uzasadniają</w:t>
      </w:r>
      <w:r w:rsidR="00B56DFF">
        <w:t>c</w:t>
      </w:r>
      <w:r w:rsidR="009E5B9D">
        <w:t xml:space="preserve"> swoje rozstrzygnięcie Sąd stwierdził, że sytuacja majątkowa pokrzywdzonego jest o wiele lepsza aniżeli Michała Kaszubskiego. </w:t>
      </w:r>
    </w:p>
    <w:p w:rsidR="00994369" w:rsidRDefault="00B67C4F" w:rsidP="00B67C4F">
      <w:pPr>
        <w:tabs>
          <w:tab w:val="left" w:pos="284"/>
        </w:tabs>
        <w:spacing w:line="348" w:lineRule="auto"/>
        <w:jc w:val="both"/>
      </w:pPr>
      <w:r>
        <w:tab/>
      </w:r>
      <w:r w:rsidR="009E5B9D">
        <w:t xml:space="preserve">Stanowisko Sądu Rejonowego jest błędne. Po pierwsze, treść art. 46 § 1 k.k. nie pozostawia wątpliwości, że w przypadku złożenia przez pokrzywdzonego wniosku </w:t>
      </w:r>
      <w:r w:rsidR="00994369">
        <w:t>Sąd orzeka obowiązek zadośću</w:t>
      </w:r>
      <w:r w:rsidR="00423E87">
        <w:t>czynienia za doznaną krzywdę. Co istotne,</w:t>
      </w:r>
      <w:r w:rsidR="00994369">
        <w:t xml:space="preserve"> Jan Baranowski złożył wniosek </w:t>
      </w:r>
      <w:r w:rsidR="007E62B7">
        <w:t xml:space="preserve">                          </w:t>
      </w:r>
      <w:r w:rsidR="00994369">
        <w:t xml:space="preserve">w przewidzianym ustawą terminie, a Michał Kaszubski został skazany za przestępstwo z art. 157 </w:t>
      </w:r>
      <w:r w:rsidR="007E62B7">
        <w:t xml:space="preserve">     </w:t>
      </w:r>
      <w:r w:rsidR="00994369">
        <w:t>§ 1 k.k., czyli za spowodowanie u pokrzywdzonego obrażeń ciała. Po drugie, zgodnie z u</w:t>
      </w:r>
      <w:r w:rsidR="0092139D">
        <w:t>trwalonym już orzecznictwem,</w:t>
      </w:r>
      <w:r w:rsidR="00423E87">
        <w:t xml:space="preserve"> w przypadku środka karnego z art. 46 § 1 k.k., „miarkowanie odszkodowania </w:t>
      </w:r>
      <w:r w:rsidR="007E62B7">
        <w:t xml:space="preserve">           </w:t>
      </w:r>
      <w:r w:rsidR="00423E87">
        <w:t xml:space="preserve">z tytułu zadośćuczynienia za doznaną krzywdę sytuacją majątkową sprawcy jest sprzeczne z istotą tej instytucji” (por. postanowienie Sądu Najwyższego z dnia 10 października 2013 r., sygn. akt </w:t>
      </w:r>
      <w:r>
        <w:t xml:space="preserve">            </w:t>
      </w:r>
      <w:r w:rsidR="00423E87">
        <w:t>V KK 130/13, LEX nr 1402695; wyrok</w:t>
      </w:r>
      <w:r w:rsidR="005857D6">
        <w:t xml:space="preserve"> Sądu Apelacyjnego w Łodzi z dnia 25 lutego 2014 r., sygn. akt II Aka 15/14, LEX nr 1461094 i wyrok Sądu Apelacyjnego w Warszawie z dnia 4 listopada 2013 r., sygn. akt II Aka 328/13, LEX nr 1392067</w:t>
      </w:r>
      <w:r w:rsidR="00423E87">
        <w:t>).</w:t>
      </w:r>
    </w:p>
    <w:p w:rsidR="00B67C4F" w:rsidRDefault="00B67C4F" w:rsidP="00B67C4F">
      <w:pPr>
        <w:tabs>
          <w:tab w:val="left" w:pos="284"/>
        </w:tabs>
        <w:spacing w:line="348" w:lineRule="auto"/>
        <w:jc w:val="both"/>
      </w:pPr>
    </w:p>
    <w:p w:rsidR="00E22AD5" w:rsidRPr="00652951" w:rsidRDefault="00994369" w:rsidP="00B67C4F">
      <w:pPr>
        <w:spacing w:line="348" w:lineRule="auto"/>
        <w:jc w:val="both"/>
      </w:pPr>
      <w:r>
        <w:t xml:space="preserve">5. Nie można wykluczyć podniesienia zarzutu rażącej niewspółmierności kary – oczywiście </w:t>
      </w:r>
      <w:r w:rsidR="007E62B7">
        <w:t xml:space="preserve">                   </w:t>
      </w:r>
      <w:r>
        <w:t xml:space="preserve">w części, w jakiej oskarżony został skazany. W szczególności kwestionowane może być rozstrzygnięcie o warunkowym zawieszeniu wykonania kary pozbawienia wolności wymierzonej Michałowi Kaszubskiemu. Zasadność takiego zarzutu, będącego wszak wysoce </w:t>
      </w:r>
      <w:proofErr w:type="spellStart"/>
      <w:r>
        <w:t>ocennym</w:t>
      </w:r>
      <w:proofErr w:type="spellEnd"/>
      <w:r>
        <w:t>, winna być oceniona przez pryzmat „siły” argumentów przytoczonych przez osobę zdającą.</w:t>
      </w:r>
    </w:p>
    <w:sectPr w:rsidR="00E22AD5" w:rsidRPr="00652951" w:rsidSect="006F3EF6">
      <w:headerReference w:type="default" r:id="rId8"/>
      <w:footerReference w:type="default" r:id="rId9"/>
      <w:footerReference w:type="first" r:id="rId10"/>
      <w:pgSz w:w="11906" w:h="16838"/>
      <w:pgMar w:top="68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35" w:rsidRDefault="00533335" w:rsidP="005857D6">
      <w:r>
        <w:separator/>
      </w:r>
    </w:p>
  </w:endnote>
  <w:endnote w:type="continuationSeparator" w:id="0">
    <w:p w:rsidR="00533335" w:rsidRDefault="00533335" w:rsidP="0058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45259"/>
      <w:docPartObj>
        <w:docPartGallery w:val="Page Numbers (Bottom of Page)"/>
        <w:docPartUnique/>
      </w:docPartObj>
    </w:sdtPr>
    <w:sdtEndPr/>
    <w:sdtContent>
      <w:p w:rsidR="00652951" w:rsidRDefault="006529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1D">
          <w:rPr>
            <w:noProof/>
          </w:rPr>
          <w:t>2</w:t>
        </w:r>
        <w:r>
          <w:fldChar w:fldCharType="end"/>
        </w:r>
      </w:p>
    </w:sdtContent>
  </w:sdt>
  <w:p w:rsidR="00652951" w:rsidRDefault="006529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103869"/>
      <w:docPartObj>
        <w:docPartGallery w:val="Page Numbers (Bottom of Page)"/>
        <w:docPartUnique/>
      </w:docPartObj>
    </w:sdtPr>
    <w:sdtContent>
      <w:p w:rsidR="006F3EF6" w:rsidRDefault="006F3E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1D">
          <w:rPr>
            <w:noProof/>
          </w:rPr>
          <w:t>1</w:t>
        </w:r>
        <w:r>
          <w:fldChar w:fldCharType="end"/>
        </w:r>
      </w:p>
    </w:sdtContent>
  </w:sdt>
  <w:p w:rsidR="006F3EF6" w:rsidRDefault="006F3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35" w:rsidRDefault="00533335" w:rsidP="005857D6">
      <w:r>
        <w:separator/>
      </w:r>
    </w:p>
  </w:footnote>
  <w:footnote w:type="continuationSeparator" w:id="0">
    <w:p w:rsidR="00533335" w:rsidRDefault="00533335" w:rsidP="0058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D6" w:rsidRDefault="005857D6">
    <w:pPr>
      <w:pStyle w:val="Nagwek"/>
      <w:jc w:val="center"/>
    </w:pPr>
  </w:p>
  <w:p w:rsidR="005857D6" w:rsidRDefault="005857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206"/>
    <w:multiLevelType w:val="hybridMultilevel"/>
    <w:tmpl w:val="A3EC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49E7"/>
    <w:multiLevelType w:val="hybridMultilevel"/>
    <w:tmpl w:val="3F96DD98"/>
    <w:lvl w:ilvl="0" w:tplc="F3E2D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5901"/>
    <w:multiLevelType w:val="hybridMultilevel"/>
    <w:tmpl w:val="64F0B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3">
    <w:nsid w:val="22C16F99"/>
    <w:multiLevelType w:val="hybridMultilevel"/>
    <w:tmpl w:val="27B0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A5BFD"/>
    <w:multiLevelType w:val="hybridMultilevel"/>
    <w:tmpl w:val="9AE2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B356A"/>
    <w:multiLevelType w:val="hybridMultilevel"/>
    <w:tmpl w:val="C370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10D75"/>
    <w:multiLevelType w:val="hybridMultilevel"/>
    <w:tmpl w:val="0302C39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41"/>
    <w:rsid w:val="0004710F"/>
    <w:rsid w:val="00097C18"/>
    <w:rsid w:val="000A3C02"/>
    <w:rsid w:val="000E0FF0"/>
    <w:rsid w:val="000E2053"/>
    <w:rsid w:val="00160941"/>
    <w:rsid w:val="001B0F41"/>
    <w:rsid w:val="001D2CA8"/>
    <w:rsid w:val="001E5B4C"/>
    <w:rsid w:val="001E6AF1"/>
    <w:rsid w:val="001F68D1"/>
    <w:rsid w:val="002116CD"/>
    <w:rsid w:val="00211A3F"/>
    <w:rsid w:val="0027320A"/>
    <w:rsid w:val="002C2A10"/>
    <w:rsid w:val="002F62D1"/>
    <w:rsid w:val="003059ED"/>
    <w:rsid w:val="00342EAB"/>
    <w:rsid w:val="003451AA"/>
    <w:rsid w:val="003467E9"/>
    <w:rsid w:val="00350344"/>
    <w:rsid w:val="003B0924"/>
    <w:rsid w:val="00423E87"/>
    <w:rsid w:val="0045230F"/>
    <w:rsid w:val="00456C7D"/>
    <w:rsid w:val="00480AC2"/>
    <w:rsid w:val="0048706C"/>
    <w:rsid w:val="0049157A"/>
    <w:rsid w:val="004A6C49"/>
    <w:rsid w:val="004C7A30"/>
    <w:rsid w:val="004E0BE8"/>
    <w:rsid w:val="004F11E5"/>
    <w:rsid w:val="00520CBE"/>
    <w:rsid w:val="00533335"/>
    <w:rsid w:val="00561B76"/>
    <w:rsid w:val="0056614D"/>
    <w:rsid w:val="005857D6"/>
    <w:rsid w:val="00595526"/>
    <w:rsid w:val="00621A64"/>
    <w:rsid w:val="00652951"/>
    <w:rsid w:val="006726BE"/>
    <w:rsid w:val="00693FEA"/>
    <w:rsid w:val="006B2A1D"/>
    <w:rsid w:val="006E03F0"/>
    <w:rsid w:val="006F3EF6"/>
    <w:rsid w:val="007226C8"/>
    <w:rsid w:val="007801E4"/>
    <w:rsid w:val="00785BAD"/>
    <w:rsid w:val="007A16B1"/>
    <w:rsid w:val="007C074F"/>
    <w:rsid w:val="007E29B8"/>
    <w:rsid w:val="007E62B7"/>
    <w:rsid w:val="0080069E"/>
    <w:rsid w:val="00800CFE"/>
    <w:rsid w:val="008078A1"/>
    <w:rsid w:val="008465B6"/>
    <w:rsid w:val="008B5DFE"/>
    <w:rsid w:val="008F5540"/>
    <w:rsid w:val="0092139D"/>
    <w:rsid w:val="00922FD3"/>
    <w:rsid w:val="009337F7"/>
    <w:rsid w:val="00957D3E"/>
    <w:rsid w:val="00960902"/>
    <w:rsid w:val="00994369"/>
    <w:rsid w:val="009B6C1C"/>
    <w:rsid w:val="009E5B9D"/>
    <w:rsid w:val="00A45CC8"/>
    <w:rsid w:val="00A95D67"/>
    <w:rsid w:val="00AF0419"/>
    <w:rsid w:val="00B07E0C"/>
    <w:rsid w:val="00B31D2D"/>
    <w:rsid w:val="00B56DFF"/>
    <w:rsid w:val="00B67C4F"/>
    <w:rsid w:val="00BA589F"/>
    <w:rsid w:val="00BA79BD"/>
    <w:rsid w:val="00BB432A"/>
    <w:rsid w:val="00C43E5F"/>
    <w:rsid w:val="00CC7222"/>
    <w:rsid w:val="00CD2CC3"/>
    <w:rsid w:val="00D53116"/>
    <w:rsid w:val="00D64473"/>
    <w:rsid w:val="00D752F5"/>
    <w:rsid w:val="00DA584C"/>
    <w:rsid w:val="00DC77D1"/>
    <w:rsid w:val="00DF461A"/>
    <w:rsid w:val="00E22AD5"/>
    <w:rsid w:val="00E231EA"/>
    <w:rsid w:val="00E84CE1"/>
    <w:rsid w:val="00E96C91"/>
    <w:rsid w:val="00EB7087"/>
    <w:rsid w:val="00EF3675"/>
    <w:rsid w:val="00F243DE"/>
    <w:rsid w:val="00F63AD9"/>
    <w:rsid w:val="00FB2425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7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7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egzamin radcowski</cp:lastModifiedBy>
  <cp:revision>29</cp:revision>
  <cp:lastPrinted>2015-02-23T09:50:00Z</cp:lastPrinted>
  <dcterms:created xsi:type="dcterms:W3CDTF">2014-01-22T14:44:00Z</dcterms:created>
  <dcterms:modified xsi:type="dcterms:W3CDTF">2015-02-23T09:51:00Z</dcterms:modified>
</cp:coreProperties>
</file>