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EC" w:rsidRPr="00F32543" w:rsidRDefault="00194FEC" w:rsidP="00194FEC">
      <w:pPr>
        <w:suppressAutoHyphens/>
        <w:spacing w:line="360" w:lineRule="auto"/>
        <w:ind w:left="3538" w:firstLine="709"/>
        <w:jc w:val="right"/>
        <w:rPr>
          <w:rFonts w:ascii="Calibri" w:hAnsi="Calibri" w:cs="Calibri"/>
          <w:color w:val="FF0000"/>
          <w:lang w:eastAsia="ar-SA"/>
        </w:rPr>
      </w:pPr>
      <w:r w:rsidRPr="00F32543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0273F" wp14:editId="786E72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470" cy="810260"/>
                <wp:effectExtent l="0" t="0" r="0" b="381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FEC" w:rsidRPr="005C626A" w:rsidRDefault="00194FEC" w:rsidP="00194F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00DC447" wp14:editId="2B2F8D98">
                                  <wp:extent cx="523875" cy="54292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4FEC" w:rsidRPr="00381704" w:rsidRDefault="00194FEC" w:rsidP="00194F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78E9">
                              <w:rPr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0273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6.1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" filled="f" stroked="f">
                <v:textbox style="mso-fit-shape-to-text:t">
                  <w:txbxContent>
                    <w:p w:rsidR="00194FEC" w:rsidRPr="005C626A" w:rsidRDefault="00194FEC" w:rsidP="00194FE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00DC447" wp14:editId="2B2F8D98">
                            <wp:extent cx="523875" cy="542925"/>
                            <wp:effectExtent l="0" t="0" r="9525" b="952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4FEC" w:rsidRPr="00381704" w:rsidRDefault="00194FEC" w:rsidP="00194FE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8978E9">
                        <w:rPr>
                          <w:b/>
                          <w:color w:val="000000"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2543">
        <w:rPr>
          <w:rFonts w:ascii="Calibri" w:hAnsi="Calibri" w:cs="Calibri"/>
          <w:lang w:eastAsia="ar-SA"/>
        </w:rPr>
        <w:t xml:space="preserve">Warszawa, </w:t>
      </w:r>
      <w:r w:rsidR="005F6160">
        <w:rPr>
          <w:rFonts w:ascii="Calibri" w:hAnsi="Calibri" w:cs="Calibri"/>
          <w:lang w:eastAsia="ar-SA"/>
        </w:rPr>
        <w:t xml:space="preserve">30 </w:t>
      </w:r>
      <w:r w:rsidR="008C38B4">
        <w:rPr>
          <w:rFonts w:ascii="Calibri" w:hAnsi="Calibri" w:cs="Calibri"/>
          <w:lang w:eastAsia="ar-SA"/>
        </w:rPr>
        <w:t>września</w:t>
      </w:r>
      <w:r w:rsidRPr="00F32543">
        <w:rPr>
          <w:rFonts w:ascii="Calibri" w:hAnsi="Calibri" w:cs="Calibri"/>
          <w:color w:val="FF0000"/>
          <w:lang w:eastAsia="ar-SA"/>
        </w:rPr>
        <w:t xml:space="preserve"> </w:t>
      </w:r>
      <w:r w:rsidRPr="00F32543">
        <w:rPr>
          <w:rFonts w:ascii="Calibri" w:hAnsi="Calibri" w:cs="Calibri"/>
          <w:lang w:eastAsia="ar-SA"/>
        </w:rPr>
        <w:t>2020 r.</w:t>
      </w:r>
    </w:p>
    <w:p w:rsidR="00194FEC" w:rsidRPr="00F32543" w:rsidRDefault="00194FEC" w:rsidP="00194FEC">
      <w:pPr>
        <w:keepNext/>
        <w:suppressAutoHyphens/>
        <w:spacing w:before="240" w:after="0" w:line="360" w:lineRule="auto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194FEC" w:rsidRPr="00F32543" w:rsidRDefault="00194FEC" w:rsidP="00194FEC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  <w:r w:rsidRPr="00F32543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</w:t>
      </w:r>
    </w:p>
    <w:p w:rsidR="00194FEC" w:rsidRPr="00F32543" w:rsidRDefault="00194FEC" w:rsidP="00194FEC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194FEC" w:rsidRPr="00F32543" w:rsidRDefault="002B2A3F" w:rsidP="00194FEC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bookmarkStart w:id="0" w:name="_GoBack"/>
      <w:r>
        <w:rPr>
          <w:rFonts w:ascii="Calibri" w:eastAsia="Times New Roman" w:hAnsi="Calibri" w:cs="Calibri"/>
          <w:sz w:val="24"/>
          <w:szCs w:val="24"/>
          <w:lang w:eastAsia="pl-PL"/>
        </w:rPr>
        <w:t>WNP-I.4131.145</w:t>
      </w:r>
      <w:r w:rsidR="00194FEC" w:rsidRPr="00F32543"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  <w:bookmarkEnd w:id="0"/>
    </w:p>
    <w:p w:rsidR="00194FEC" w:rsidRPr="00F32543" w:rsidRDefault="00194FEC" w:rsidP="00194FE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194FEC" w:rsidRPr="00F32543" w:rsidRDefault="00194FEC" w:rsidP="001764A0">
      <w:pPr>
        <w:autoSpaceDE w:val="0"/>
        <w:autoSpaceDN w:val="0"/>
        <w:adjustRightInd w:val="0"/>
        <w:spacing w:after="0" w:line="36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Rada Powiatu </w:t>
      </w:r>
    </w:p>
    <w:p w:rsidR="00194FEC" w:rsidRPr="00F32543" w:rsidRDefault="00194FEC" w:rsidP="001764A0">
      <w:pPr>
        <w:autoSpaceDE w:val="0"/>
        <w:autoSpaceDN w:val="0"/>
        <w:adjustRightInd w:val="0"/>
        <w:spacing w:after="0" w:line="36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>Piaseczyńskiego</w:t>
      </w:r>
    </w:p>
    <w:p w:rsidR="00194FEC" w:rsidRPr="00F32543" w:rsidRDefault="00194FEC" w:rsidP="001764A0">
      <w:pPr>
        <w:autoSpaceDE w:val="0"/>
        <w:autoSpaceDN w:val="0"/>
        <w:adjustRightInd w:val="0"/>
        <w:spacing w:after="0" w:line="36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ul. </w:t>
      </w:r>
      <w:proofErr w:type="spellStart"/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>Chyliczkowska</w:t>
      </w:r>
      <w:proofErr w:type="spellEnd"/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14</w:t>
      </w:r>
    </w:p>
    <w:p w:rsidR="00194FEC" w:rsidRPr="00F32543" w:rsidRDefault="00194FEC" w:rsidP="001764A0">
      <w:pPr>
        <w:autoSpaceDE w:val="0"/>
        <w:autoSpaceDN w:val="0"/>
        <w:adjustRightInd w:val="0"/>
        <w:spacing w:after="0" w:line="36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>05-500 Piaseczno</w:t>
      </w:r>
    </w:p>
    <w:p w:rsidR="00194FEC" w:rsidRPr="00F32543" w:rsidRDefault="00194FEC" w:rsidP="00194FEC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194FEC" w:rsidRPr="00F32543" w:rsidRDefault="00194FEC" w:rsidP="00194FE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94FEC" w:rsidRPr="002B610B" w:rsidRDefault="00194FEC" w:rsidP="002B610B">
      <w:pPr>
        <w:keepNext/>
        <w:spacing w:after="0" w:line="360" w:lineRule="auto"/>
        <w:ind w:left="-284" w:right="-468" w:firstLine="284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194FEC" w:rsidRPr="002B610B" w:rsidRDefault="00194FEC" w:rsidP="00542863">
      <w:pPr>
        <w:suppressAutoHyphens/>
        <w:spacing w:after="0" w:line="360" w:lineRule="auto"/>
        <w:ind w:left="-284" w:right="-426" w:firstLine="851"/>
        <w:jc w:val="both"/>
        <w:rPr>
          <w:rFonts w:eastAsia="Times New Roman" w:cstheme="minorHAnsi"/>
          <w:sz w:val="24"/>
          <w:szCs w:val="24"/>
          <w:lang w:eastAsia="ar-SA"/>
        </w:rPr>
      </w:pPr>
      <w:r w:rsidRPr="002B610B">
        <w:rPr>
          <w:rFonts w:eastAsia="Times New Roman" w:cstheme="minorHAnsi"/>
          <w:sz w:val="24"/>
          <w:szCs w:val="24"/>
          <w:lang w:eastAsia="ar-SA"/>
        </w:rPr>
        <w:t>Na podstawie art. 79 ust. 1 ustawy z dnia 5 czerwca 1998 r. o samorządzie powiatowym</w:t>
      </w:r>
      <w:r w:rsidRPr="002B610B">
        <w:rPr>
          <w:rFonts w:eastAsia="Times New Roman" w:cstheme="minorHAnsi"/>
          <w:sz w:val="24"/>
          <w:szCs w:val="24"/>
          <w:lang w:eastAsia="ar-SA"/>
        </w:rPr>
        <w:br/>
        <w:t>(Dz. U. z 2020 r. poz. 920)</w:t>
      </w:r>
    </w:p>
    <w:p w:rsidR="00194FEC" w:rsidRPr="002B610B" w:rsidRDefault="00194FEC" w:rsidP="002B610B">
      <w:pPr>
        <w:suppressAutoHyphens/>
        <w:spacing w:after="0" w:line="360" w:lineRule="auto"/>
        <w:ind w:left="-284" w:right="-426" w:firstLine="28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B610B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194FEC" w:rsidRPr="002B610B" w:rsidRDefault="00194FEC" w:rsidP="002B610B">
      <w:pPr>
        <w:spacing w:after="0" w:line="360" w:lineRule="auto"/>
        <w:ind w:left="-426" w:right="-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610B">
        <w:rPr>
          <w:rFonts w:eastAsia="Times New Roman" w:cstheme="minorHAnsi"/>
          <w:sz w:val="24"/>
          <w:szCs w:val="24"/>
          <w:lang w:eastAsia="pl-PL"/>
        </w:rPr>
        <w:t xml:space="preserve">uchwały </w:t>
      </w:r>
      <w:r w:rsidRPr="002B610B">
        <w:rPr>
          <w:rFonts w:ascii="Calibri" w:eastAsia="Calibri" w:hAnsi="Calibri" w:cs="Calibri"/>
          <w:sz w:val="24"/>
          <w:szCs w:val="24"/>
          <w:lang w:eastAsia="pl-PL"/>
        </w:rPr>
        <w:t xml:space="preserve">Nr XXIV/8/20 Rady Powiatu Piaseczyńskiego z dnia 27 sierpnia 2020 r. </w:t>
      </w:r>
      <w:r w:rsidRPr="002B610B">
        <w:rPr>
          <w:rFonts w:ascii="Calibri" w:eastAsia="Calibri" w:hAnsi="Calibri" w:cs="Calibri"/>
          <w:i/>
          <w:sz w:val="24"/>
          <w:szCs w:val="24"/>
          <w:lang w:eastAsia="pl-PL"/>
        </w:rPr>
        <w:t>w sprawie ustanowienia Odznaki Honorowej Powiatu Piaseczyńskiego, ustalenia jej wzoru oraz zasad i trybu nadawania.</w:t>
      </w:r>
    </w:p>
    <w:p w:rsidR="00FF5C68" w:rsidRPr="002B610B" w:rsidRDefault="00FF5C68" w:rsidP="002B610B">
      <w:pPr>
        <w:spacing w:after="0" w:line="360" w:lineRule="auto"/>
        <w:ind w:right="-426"/>
        <w:rPr>
          <w:rFonts w:eastAsia="Times New Roman" w:cstheme="minorHAnsi"/>
          <w:sz w:val="24"/>
          <w:szCs w:val="24"/>
          <w:lang w:eastAsia="ar-SA"/>
        </w:rPr>
      </w:pPr>
    </w:p>
    <w:p w:rsidR="00194FEC" w:rsidRPr="002B610B" w:rsidRDefault="00194FEC" w:rsidP="002B610B">
      <w:pPr>
        <w:spacing w:after="0" w:line="360" w:lineRule="auto"/>
        <w:ind w:right="-426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194FEC" w:rsidRPr="002B610B" w:rsidRDefault="00194FEC" w:rsidP="002B610B">
      <w:pPr>
        <w:autoSpaceDE w:val="0"/>
        <w:autoSpaceDN w:val="0"/>
        <w:adjustRightInd w:val="0"/>
        <w:spacing w:after="0" w:line="360" w:lineRule="auto"/>
        <w:ind w:left="-360"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764A0" w:rsidRPr="002B610B" w:rsidRDefault="00194FEC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27 sierpnia 2020 r. Rada Powiatu Piaseczyńskiego podjęła uchwałę </w:t>
      </w:r>
      <w:r w:rsidR="001764A0" w:rsidRPr="002B610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Nr XXIV/8/20 </w:t>
      </w:r>
      <w:r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>w sprawie ustanowienia Odznaki Honorowej Powiatu Piaseczyńskiego, ustalenia jej wzoru oraz zasad i trybu nadawania</w:t>
      </w:r>
      <w:r w:rsidRPr="002B610B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. </w:t>
      </w:r>
      <w:r w:rsidRPr="002B610B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2B610B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2B61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została doręczona organowi nadzoru </w:t>
      </w:r>
      <w:r w:rsidR="001764A0" w:rsidRPr="002B610B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2B61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dniu 7 września 2020 r. </w:t>
      </w:r>
    </w:p>
    <w:p w:rsidR="001764A0" w:rsidRPr="002B610B" w:rsidRDefault="00194FEC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stanowi art. 12 pkt 11 ustawy </w:t>
      </w:r>
      <w:r w:rsidRPr="002B610B">
        <w:rPr>
          <w:rFonts w:eastAsia="Times New Roman" w:cstheme="minorHAnsi"/>
          <w:sz w:val="24"/>
          <w:szCs w:val="24"/>
          <w:lang w:eastAsia="ar-SA"/>
        </w:rPr>
        <w:t>o samorządzie powiatowym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, zwanej dalej </w:t>
      </w:r>
      <w:r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proofErr w:type="spellStart"/>
      <w:r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>u.s.p</w:t>
      </w:r>
      <w:proofErr w:type="spellEnd"/>
      <w:r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.” 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art. 4 ust. 3 ustawy z dnia 21 grudnia 1978 r. </w:t>
      </w:r>
      <w:r w:rsidR="002B2A3F" w:rsidRPr="002B610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o odznakach i mundurach (Dz. U. </w:t>
      </w:r>
      <w:r w:rsidR="00D958D9" w:rsidRPr="002B610B">
        <w:rPr>
          <w:rFonts w:ascii="Calibri" w:eastAsia="Times New Roman" w:hAnsi="Calibri" w:cs="Calibri"/>
          <w:sz w:val="24"/>
          <w:szCs w:val="24"/>
          <w:lang w:eastAsia="pl-PL"/>
        </w:rPr>
        <w:t>z 2016 r. poz. 38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D958D9" w:rsidRPr="002B610B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1764A0" w:rsidRPr="002B610B" w:rsidRDefault="00BC0B4D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>Rada uchwaliła w formie załączników do ww. uchwały: wzór Odznaki Honorowej Powiatu Piaseczyńskiego (załącznik Nr 1), regulamin pracy Ko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ar-SA"/>
        </w:rPr>
        <w:t>legium Honorowego oraz kryteria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 oceny wniosków o przyznanie Odznaki Honorowej Powiatu Piaseczyńskiego (załącznik N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r 2), 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wzór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dyplomu nadania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lastRenderedPageBreak/>
        <w:t xml:space="preserve">Odznaki Honorowej Powiatu Piaseczyńskiego (załącznik Nr 3) ora wzór 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wniosku o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dla osoby fizycznej oraz osoby prawnej 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(załącznik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>Nr 4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>).</w:t>
      </w:r>
    </w:p>
    <w:p w:rsidR="001764A0" w:rsidRPr="002B610B" w:rsidRDefault="00BC0B4D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>W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 § 10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 uchwały Rada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>Powiatu Piaseczyńskiego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 postanowiła, że </w:t>
      </w:r>
      <w:r w:rsidRPr="002B610B">
        <w:rPr>
          <w:rFonts w:ascii="Calibri" w:eastAsia="Calibri" w:hAnsi="Calibri" w:cs="Times New Roman"/>
          <w:i/>
          <w:sz w:val="24"/>
          <w:szCs w:val="24"/>
          <w:lang w:eastAsia="ar-SA"/>
        </w:rPr>
        <w:t xml:space="preserve">,,Uchwała wchodzi w życie </w:t>
      </w:r>
      <w:r w:rsidR="008C38B4">
        <w:rPr>
          <w:rFonts w:ascii="Calibri" w:eastAsia="Calibri" w:hAnsi="Calibri" w:cs="Times New Roman"/>
          <w:i/>
          <w:sz w:val="24"/>
          <w:szCs w:val="24"/>
          <w:lang w:eastAsia="ar-SA"/>
        </w:rPr>
        <w:br/>
      </w:r>
      <w:r w:rsidRPr="002B610B">
        <w:rPr>
          <w:rFonts w:ascii="Calibri" w:eastAsia="Calibri" w:hAnsi="Calibri" w:cs="Times New Roman"/>
          <w:i/>
          <w:sz w:val="24"/>
          <w:szCs w:val="24"/>
          <w:lang w:eastAsia="ar-SA"/>
        </w:rPr>
        <w:t>z dniem podjęcia”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. Stanowiąc o takim trybie wejścia w życie uchwały, Rada nie uznała przedmiotowej uchwały za akt prawa miejscowego, co stanowi istotne naruszenie </w:t>
      </w:r>
      <w:r w:rsidR="001D69C5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art. 4 ustawy z dnia 20 lipca 2000 r. </w:t>
      </w:r>
      <w:r w:rsidR="002B2A3F" w:rsidRPr="002B610B">
        <w:rPr>
          <w:rFonts w:ascii="Calibri" w:eastAsia="Calibri" w:hAnsi="Calibri" w:cs="Times New Roman"/>
          <w:sz w:val="24"/>
          <w:szCs w:val="24"/>
          <w:lang w:eastAsia="ar-SA"/>
        </w:rPr>
        <w:br/>
      </w:r>
      <w:r w:rsidR="001D69C5" w:rsidRPr="002B610B">
        <w:rPr>
          <w:rFonts w:ascii="Calibri" w:eastAsia="Calibri" w:hAnsi="Calibri" w:cs="Times New Roman"/>
          <w:sz w:val="24"/>
          <w:szCs w:val="24"/>
          <w:lang w:eastAsia="ar-SA"/>
        </w:rPr>
        <w:t>o ogłaszaniu aktów normatywnych i niektórych innych aktów (Dz. U. z 201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ar-SA"/>
        </w:rPr>
        <w:t>9</w:t>
      </w:r>
      <w:r w:rsidR="001D69C5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 r. poz. 1461) . Ponadto brak postanowienia o ogłoszeniu uchwały we właściwym dzienniku urzędowym stoi w sprzecz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ności </w:t>
      </w:r>
      <w:r w:rsidR="001764A0" w:rsidRPr="002B610B">
        <w:rPr>
          <w:rFonts w:ascii="Calibri" w:eastAsia="Calibri" w:hAnsi="Calibri" w:cs="Times New Roman"/>
          <w:sz w:val="24"/>
          <w:szCs w:val="24"/>
          <w:lang w:eastAsia="ar-SA"/>
        </w:rPr>
        <w:br/>
      </w:r>
      <w:r w:rsidR="00FF5C68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z art. 2 ust. 1 i art. 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13 pkt 2 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ar-SA"/>
        </w:rPr>
        <w:t>w</w:t>
      </w:r>
      <w:r w:rsidR="001D69C5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ar-SA"/>
        </w:rPr>
        <w:t>w. ustawy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ar-SA"/>
        </w:rPr>
        <w:t xml:space="preserve"> związku z art. 88 ust. 1 i 2 Konstytucji RP.</w:t>
      </w:r>
    </w:p>
    <w:p w:rsidR="001764A0" w:rsidRPr="002B610B" w:rsidRDefault="00BC0B4D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>W ocenie organu nadzoru, uchwała w pr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ar-SA"/>
        </w:rPr>
        <w:t>zedmiocie ustanowienia odznaki honorowej</w:t>
      </w:r>
      <w:r w:rsidR="002B2A3F"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 stanowi </w:t>
      </w:r>
      <w:r w:rsidRPr="002B610B">
        <w:rPr>
          <w:rFonts w:ascii="Calibri" w:eastAsia="Calibri" w:hAnsi="Calibri" w:cs="Times New Roman"/>
          <w:sz w:val="24"/>
          <w:szCs w:val="24"/>
          <w:lang w:eastAsia="ar-SA"/>
        </w:rPr>
        <w:t xml:space="preserve">akt prawa miejscowego. </w:t>
      </w:r>
    </w:p>
    <w:p w:rsidR="001764A0" w:rsidRPr="002B610B" w:rsidRDefault="00BC0B4D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Konsekwencją takiej kwalifikacji uchwały jest konieczność skierowania </w:t>
      </w:r>
      <w:r w:rsidR="004F3576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jej 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do publikacji </w:t>
      </w:r>
      <w:r w:rsidR="00126C4D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br/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>(jest to warunek sine qua non jej wejścia w ży</w:t>
      </w:r>
      <w:r w:rsidR="00FF5C68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cie), bowiem zgodnie z art. 88 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ust. 1 Konstytucji RP warunkiem wejścia w życie aktów prawa miejscowego jest ich ogłoszenie. Zasady i tryb ogłaszania aktów normatywnych określa ustawa (art. 88 ust. 2 Konstytucji RP). Ustawa o ogłaszaniu aktów normatywnych i niektórych innych aktów prawnych stanowi zaś, że ogłoszenie aktu normatywnego </w:t>
      </w:r>
      <w:r w:rsidR="001764A0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br/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w dzienniku urzędowym jest obowiązkowe (art. 2 ust. 1) i wskazuje, że akty prawa miejscowego ustanowione przez organ gminy ogłasza się w wojewódzkim </w:t>
      </w:r>
      <w:r w:rsidR="00FF5C68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>dzienniku urzędowym (art. 13 pkt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 2). Ponadto akty normatywne, zawierające przepisy powszechnie obowiązujące, ogłaszane w dziennikach urzędowych wchodzą w życie po upływie czternastu dni</w:t>
      </w:r>
      <w:r w:rsidR="004F3576"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 od dnia ich ogłoszenia, chyba 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>że dany akt normatywny określi termin dłuższy (art. 4 ust. 1)</w:t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>.</w:t>
      </w:r>
      <w:r w:rsidRPr="002B610B">
        <w:rPr>
          <w:rFonts w:ascii="Calibri" w:eastAsia="Calibri" w:hAnsi="Calibri" w:cs="Arial"/>
          <w:color w:val="222222"/>
          <w:sz w:val="24"/>
          <w:szCs w:val="24"/>
          <w:shd w:val="clear" w:color="auto" w:fill="FFFFFF"/>
          <w:lang w:eastAsia="pl-PL"/>
        </w:rPr>
        <w:t xml:space="preserve"> Oznacza to, że </w:t>
      </w:r>
      <w:r w:rsidR="004F3576"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przypadku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uchwały stanowiącej akt prawa miejscowego niespełnienie wymagań formalnych w zakresie należytej publikacji, jak </w:t>
      </w:r>
      <w:r w:rsidR="001764A0" w:rsidRPr="002B610B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>i zachowania odpowiedniego vacatio legis, jest istotnym naruszeniem prawa powodującym stwierdzenie jej nieważności. Nie promulgowany akt prawa miejscowego nie może wejść w życie, zatem nie wiąż</w:t>
      </w:r>
      <w:r w:rsidR="004F3576"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 podmiotów, do których został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on skierowany </w:t>
      </w:r>
      <w:r w:rsidR="004F3576" w:rsidRPr="002B610B"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="008C38B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wyrok NSA w Warszawie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dnia </w:t>
      </w:r>
      <w:r w:rsidR="008C38B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>3 listopada 2010 r. sygn. akt I OSK 1213/10).</w:t>
      </w:r>
    </w:p>
    <w:p w:rsidR="001764A0" w:rsidRPr="002B610B" w:rsidRDefault="00BC0B4D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Zgodnie zaś z art. 87 ust. 2 Konstytucji RP akty prawa miejscowego są źródłami powszechnie obowiązującego prawa obszarze działania organów, które je ustanowiły. Ponadto Konstytucja wskazuje również, że organy samorządu terytorialnego ustanawiają akty prawa miejscowego </w:t>
      </w:r>
      <w:r w:rsidR="001764A0" w:rsidRPr="002B610B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na podstawie i w granicach upoważnień zawartych w ustawie. Zaliczenie aktu prawa miejscowego </w:t>
      </w:r>
      <w:r w:rsidR="001764A0" w:rsidRPr="002B610B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do źródeł prawa powszechnie obowiązującego skutkuje koniecznością odnoszenia do takiego aktu wszystkich zasad charakteryzujących 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tworzenie </w:t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>i obowiązywanie systemu źródeł prawa powszechnie obowiązującego. Do zasadniczych cech aktów prawa miejscowego zalicza się: ich terytorialn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y zasięg 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lastRenderedPageBreak/>
        <w:t xml:space="preserve">(obowiązują wyłącznie </w:t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na obszarze działania organów, które je ustanowiły), oraz charakter norm zawartych w takich aktach: normatywny (tzn. zawierają sformułowania wyznaczające adresatom tych norm określony sposób zachowania się) oraz generalny i abstrakcyjny.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>W orzecznictwie sądów administracyjnych ugruntowane jest stanowisko, że akt prawa miejscowego to taki akt, który zawiera co najmniej jedną normę o charakterze general</w:t>
      </w:r>
      <w:r w:rsidR="002B232F"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nym i abstrakcyjnym (wyrok NSA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>z dnia 18 lipca 2006 r. sygn. akt I OSK 669/06). Charakter generalny posiadają normy, które określają adresata poprzez wskazanie jego cech, nie zaś poprzez wymienienie ich z imienia (nazwy). Z kolei abstrakcyjność normy polega na tym, że jej dyspozycja określająca postępowanie adresata ma zastosowanie w wielu, powtarza</w:t>
      </w:r>
      <w:r w:rsidR="002B232F"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lnych okolicznościach, nie zaś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jednej konkretnej sytuacji (wyrok WSA w Białymstoku z dnia 2 lutego 2006 r. sygn. akt SA/BK 681/05). </w:t>
      </w:r>
    </w:p>
    <w:p w:rsidR="001764A0" w:rsidRPr="002B610B" w:rsidRDefault="00BC0B4D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Oceniając przedmiotową uchwałę w kontekście zaprezentowanych wyżej kryteriów, stwierdzić należy, że stanowi ona akt prawa miejscowego. Wywieść można z niej normy skierowane </w:t>
      </w:r>
      <w:r w:rsidR="002B232F" w:rsidRPr="002B610B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>do niezindywidualizowanego</w:t>
      </w:r>
      <w:r w:rsidR="004F3576"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kręgu adresatów zewnętrznych, </w:t>
      </w:r>
      <w:r w:rsidR="00FF5C68" w:rsidRPr="002B610B">
        <w:rPr>
          <w:rFonts w:ascii="Calibri" w:eastAsia="Times New Roman" w:hAnsi="Calibri" w:cs="Times New Roman"/>
          <w:sz w:val="24"/>
          <w:szCs w:val="24"/>
          <w:lang w:eastAsia="pl-PL"/>
        </w:rPr>
        <w:t>czyli</w:t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osób fizycznych oraz prawnych, </w:t>
      </w:r>
      <w:r w:rsidR="002B232F" w:rsidRPr="002B610B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t>a także osób nie mających</w:t>
      </w:r>
      <w:r w:rsidR="004351F2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 obywate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t>lstwa polskiego oraz instytucji</w:t>
      </w:r>
      <w:r w:rsidR="004351F2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FF5C68" w:rsidRPr="002B610B">
        <w:rPr>
          <w:rFonts w:ascii="Calibri" w:eastAsia="Calibri" w:hAnsi="Calibri" w:cs="Times New Roman"/>
          <w:sz w:val="24"/>
          <w:szCs w:val="24"/>
          <w:lang w:eastAsia="pl-PL"/>
        </w:rPr>
        <w:t>i organizacji zagranicznych</w:t>
      </w:r>
      <w:r w:rsidR="004351F2" w:rsidRPr="002B610B">
        <w:rPr>
          <w:rFonts w:ascii="Calibri" w:eastAsia="Calibri" w:hAnsi="Calibri" w:cs="Times New Roman"/>
          <w:sz w:val="24"/>
          <w:szCs w:val="24"/>
          <w:lang w:eastAsia="pl-PL"/>
        </w:rPr>
        <w:t>, zgodnie</w:t>
      </w:r>
      <w:r w:rsidR="001764A0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4351F2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z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pl-PL"/>
        </w:rPr>
        <w:t>§</w:t>
      </w:r>
      <w:r w:rsidR="0094458A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4F3576" w:rsidRPr="002B610B">
        <w:rPr>
          <w:rFonts w:ascii="Calibri" w:eastAsia="Calibri" w:hAnsi="Calibri" w:cs="Times New Roman"/>
          <w:sz w:val="24"/>
          <w:szCs w:val="24"/>
          <w:lang w:eastAsia="pl-PL"/>
        </w:rPr>
        <w:t>2</w:t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4351F2"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kwestionowanej uchwały, </w:t>
      </w:r>
      <w:r w:rsidR="00FF5C68" w:rsidRPr="002B610B">
        <w:rPr>
          <w:rFonts w:ascii="Calibri" w:eastAsia="Times New Roman" w:hAnsi="Calibri" w:cs="Times New Roman"/>
          <w:sz w:val="24"/>
          <w:szCs w:val="24"/>
          <w:lang w:eastAsia="pl-PL"/>
        </w:rPr>
        <w:t>a</w:t>
      </w:r>
      <w:r w:rsidR="001D69C5"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zatem przedmiotowa uchwała </w:t>
      </w:r>
      <w:r w:rsidRPr="002B610B">
        <w:rPr>
          <w:rFonts w:ascii="Calibri" w:eastAsia="Calibri" w:hAnsi="Calibri" w:cs="Times New Roman"/>
          <w:sz w:val="24"/>
          <w:szCs w:val="24"/>
          <w:lang w:eastAsia="pl-PL"/>
        </w:rPr>
        <w:t xml:space="preserve">ma charakter generalny. </w:t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Ponadto normy te nie są „konsumowane” poprzez jednokrotne zastosowanie, lecz mogą zostać wykorzystane </w:t>
      </w:r>
      <w:r w:rsidR="0094458A" w:rsidRPr="002B610B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2B610B">
        <w:rPr>
          <w:rFonts w:ascii="Calibri" w:eastAsia="Times New Roman" w:hAnsi="Calibri" w:cs="Times New Roman"/>
          <w:sz w:val="24"/>
          <w:szCs w:val="24"/>
          <w:lang w:eastAsia="pl-PL"/>
        </w:rPr>
        <w:t>w nieograniczonej liczbie przypadków w przyszłoś</w:t>
      </w:r>
      <w:r w:rsidR="001921DF" w:rsidRPr="002B610B">
        <w:rPr>
          <w:rFonts w:ascii="Calibri" w:eastAsia="Times New Roman" w:hAnsi="Calibri" w:cs="Times New Roman"/>
          <w:sz w:val="24"/>
          <w:szCs w:val="24"/>
          <w:lang w:eastAsia="pl-PL"/>
        </w:rPr>
        <w:t>ci.</w:t>
      </w:r>
    </w:p>
    <w:p w:rsidR="001764A0" w:rsidRPr="002B610B" w:rsidRDefault="00194FEC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ar-SA"/>
        </w:rPr>
        <w:t xml:space="preserve">Powyższe stanowisko organu nadzoru znajduje potwierdzenie w wyroku </w:t>
      </w:r>
      <w:r w:rsidR="001764A0" w:rsidRPr="002B610B">
        <w:rPr>
          <w:rFonts w:ascii="Calibri" w:eastAsia="Times New Roman" w:hAnsi="Calibri" w:cs="Calibri"/>
          <w:sz w:val="24"/>
          <w:szCs w:val="24"/>
          <w:lang w:eastAsia="ar-SA"/>
        </w:rPr>
        <w:t>Naczelnego Są</w:t>
      </w:r>
      <w:r w:rsidR="001921DF" w:rsidRPr="002B610B">
        <w:rPr>
          <w:rFonts w:ascii="Calibri" w:eastAsia="Times New Roman" w:hAnsi="Calibri" w:cs="Calibri"/>
          <w:sz w:val="24"/>
          <w:szCs w:val="24"/>
          <w:lang w:eastAsia="ar-SA"/>
        </w:rPr>
        <w:t>du Administracyjnego z dnia 27 czerwca 20</w:t>
      </w:r>
      <w:r w:rsidR="00FF5C68" w:rsidRPr="002B610B">
        <w:rPr>
          <w:rFonts w:ascii="Calibri" w:eastAsia="Times New Roman" w:hAnsi="Calibri" w:cs="Calibri"/>
          <w:sz w:val="24"/>
          <w:szCs w:val="24"/>
          <w:lang w:eastAsia="ar-SA"/>
        </w:rPr>
        <w:t>17 r. sygn. akt II OSK 1862/16</w:t>
      </w:r>
      <w:r w:rsidRPr="002B610B">
        <w:rPr>
          <w:rFonts w:ascii="Calibri" w:eastAsia="Times New Roman" w:hAnsi="Calibri" w:cs="Calibri"/>
          <w:sz w:val="24"/>
          <w:szCs w:val="24"/>
          <w:lang w:eastAsia="ar-SA"/>
        </w:rPr>
        <w:t xml:space="preserve">, </w:t>
      </w:r>
      <w:r w:rsidR="001921DF" w:rsidRPr="002B610B">
        <w:rPr>
          <w:rFonts w:ascii="Calibri" w:eastAsia="Times New Roman" w:hAnsi="Calibri" w:cs="Calibri"/>
          <w:sz w:val="24"/>
          <w:szCs w:val="24"/>
          <w:lang w:eastAsia="ar-SA"/>
        </w:rPr>
        <w:t xml:space="preserve">dotyczącego uchwał podejmowanych przez rady gmin w sprawie ustanowienia </w:t>
      </w:r>
      <w:r w:rsidR="00631F75" w:rsidRPr="002B610B">
        <w:rPr>
          <w:rFonts w:ascii="Calibri" w:eastAsia="Times New Roman" w:hAnsi="Calibri" w:cs="Calibri"/>
          <w:sz w:val="24"/>
          <w:szCs w:val="24"/>
          <w:lang w:eastAsia="ar-SA"/>
        </w:rPr>
        <w:t>odznak honorowych. W wymienionym wyroku Sąd</w:t>
      </w:r>
      <w:r w:rsidRPr="002B610B">
        <w:rPr>
          <w:rFonts w:ascii="Calibri" w:eastAsia="Times New Roman" w:hAnsi="Calibri" w:cs="Calibri"/>
          <w:sz w:val="24"/>
          <w:szCs w:val="24"/>
          <w:lang w:eastAsia="ar-SA"/>
        </w:rPr>
        <w:t xml:space="preserve"> postanowił, że: ,,</w:t>
      </w:r>
      <w:r w:rsidR="001921DF" w:rsidRPr="002B610B">
        <w:rPr>
          <w:i/>
          <w:sz w:val="24"/>
          <w:szCs w:val="24"/>
        </w:rPr>
        <w:t xml:space="preserve">Za prawidłową Naczelny Sąd Administracyjny uznaje natomiast ocenę Sądu I instancji co do kwalifikacji kontrolowanej przez ten Sąd uchwały jako aktu prawa </w:t>
      </w:r>
      <w:r w:rsidR="001921DF" w:rsidRPr="002B610B">
        <w:rPr>
          <w:i/>
          <w:iCs/>
          <w:sz w:val="24"/>
          <w:szCs w:val="24"/>
        </w:rPr>
        <w:t>miejscowego</w:t>
      </w:r>
      <w:r w:rsidR="001921DF" w:rsidRPr="002B610B">
        <w:rPr>
          <w:i/>
          <w:sz w:val="24"/>
          <w:szCs w:val="24"/>
        </w:rPr>
        <w:t>. Materia odnosząca się do relacji pomiędzy jednostką samorządu terytorialnego</w:t>
      </w:r>
      <w:r w:rsidR="00631F75" w:rsidRPr="002B610B">
        <w:rPr>
          <w:i/>
          <w:sz w:val="24"/>
          <w:szCs w:val="24"/>
        </w:rPr>
        <w:t>,</w:t>
      </w:r>
      <w:r w:rsidR="001921DF" w:rsidRPr="002B610B">
        <w:rPr>
          <w:i/>
          <w:sz w:val="24"/>
          <w:szCs w:val="24"/>
        </w:rPr>
        <w:t xml:space="preserve"> a jej członkami </w:t>
      </w:r>
      <w:r w:rsidR="001764A0" w:rsidRPr="002B610B">
        <w:rPr>
          <w:i/>
          <w:sz w:val="24"/>
          <w:szCs w:val="24"/>
        </w:rPr>
        <w:br/>
      </w:r>
      <w:r w:rsidR="001921DF" w:rsidRPr="002B610B">
        <w:rPr>
          <w:i/>
          <w:sz w:val="24"/>
          <w:szCs w:val="24"/>
        </w:rPr>
        <w:t xml:space="preserve">ma bowiem niewątpliwie statutowy charakter, dotyczy jej wewnętrznego ustroju </w:t>
      </w:r>
      <w:r w:rsidR="00631F75" w:rsidRPr="002B610B">
        <w:rPr>
          <w:i/>
          <w:sz w:val="24"/>
          <w:szCs w:val="24"/>
        </w:rPr>
        <w:t xml:space="preserve">a sam statut </w:t>
      </w:r>
      <w:r w:rsidR="001764A0" w:rsidRPr="002B610B">
        <w:rPr>
          <w:i/>
          <w:sz w:val="24"/>
          <w:szCs w:val="24"/>
        </w:rPr>
        <w:br/>
      </w:r>
      <w:r w:rsidR="00631F75" w:rsidRPr="002B610B">
        <w:rPr>
          <w:i/>
          <w:sz w:val="24"/>
          <w:szCs w:val="24"/>
        </w:rPr>
        <w:t>ma</w:t>
      </w:r>
      <w:r w:rsidR="001921DF" w:rsidRPr="002B610B">
        <w:rPr>
          <w:i/>
          <w:sz w:val="24"/>
          <w:szCs w:val="24"/>
        </w:rPr>
        <w:t xml:space="preserve"> m.in. z uwagi na zewnętrzny charakter wielu niezbędnych w nim postanowień, charakter aktu prawa </w:t>
      </w:r>
      <w:r w:rsidR="001921DF" w:rsidRPr="002B610B">
        <w:rPr>
          <w:i/>
          <w:iCs/>
          <w:sz w:val="24"/>
          <w:szCs w:val="24"/>
        </w:rPr>
        <w:t>miejscowego</w:t>
      </w:r>
      <w:r w:rsidR="001921DF" w:rsidRPr="002B610B">
        <w:rPr>
          <w:i/>
          <w:sz w:val="24"/>
          <w:szCs w:val="24"/>
        </w:rPr>
        <w:t xml:space="preserve">. Potwierdza to przepis </w:t>
      </w:r>
      <w:hyperlink r:id="rId8" w:anchor="/document/16793509?unitId=art(40)ust(2)pkt(1)&amp;cm=DOCUMENT" w:history="1">
        <w:r w:rsidR="001921DF" w:rsidRPr="002B610B">
          <w:rPr>
            <w:i/>
            <w:sz w:val="24"/>
            <w:szCs w:val="24"/>
          </w:rPr>
          <w:t>art. 40 ust. 2 pkt 1</w:t>
        </w:r>
      </w:hyperlink>
      <w:r w:rsidR="001921DF" w:rsidRPr="002B610B">
        <w:rPr>
          <w:i/>
          <w:sz w:val="24"/>
          <w:szCs w:val="24"/>
        </w:rPr>
        <w:t xml:space="preserve"> </w:t>
      </w:r>
      <w:proofErr w:type="spellStart"/>
      <w:r w:rsidR="001921DF" w:rsidRPr="002B610B">
        <w:rPr>
          <w:i/>
          <w:sz w:val="24"/>
          <w:szCs w:val="24"/>
        </w:rPr>
        <w:t>u.s.g</w:t>
      </w:r>
      <w:proofErr w:type="spellEnd"/>
      <w:r w:rsidR="001921DF" w:rsidRPr="002B610B">
        <w:rPr>
          <w:i/>
          <w:sz w:val="24"/>
          <w:szCs w:val="24"/>
        </w:rPr>
        <w:t xml:space="preserve">. stanowiący, iż na podstawie niniejszej ustawy organy gminy mogą wydawać akty prawa </w:t>
      </w:r>
      <w:r w:rsidR="001921DF" w:rsidRPr="002B610B">
        <w:rPr>
          <w:i/>
          <w:iCs/>
          <w:sz w:val="24"/>
          <w:szCs w:val="24"/>
        </w:rPr>
        <w:t>miejscowego</w:t>
      </w:r>
      <w:r w:rsidR="001921DF" w:rsidRPr="002B610B">
        <w:rPr>
          <w:i/>
          <w:sz w:val="24"/>
          <w:szCs w:val="24"/>
        </w:rPr>
        <w:t xml:space="preserve"> m.in. w zakresie wewnętrznego ustroju gminy. Te</w:t>
      </w:r>
      <w:r w:rsidR="0094458A" w:rsidRPr="002B610B">
        <w:rPr>
          <w:i/>
          <w:sz w:val="24"/>
          <w:szCs w:val="24"/>
        </w:rPr>
        <w:t>j ,,statutowej”</w:t>
      </w:r>
      <w:r w:rsidR="001921DF" w:rsidRPr="002B610B">
        <w:rPr>
          <w:i/>
          <w:sz w:val="24"/>
          <w:szCs w:val="24"/>
        </w:rPr>
        <w:t xml:space="preserve"> materii dotyczy również kompetencja do wyróżniania zasłużonych, zdaniem rady gminy, osób w tym także jej członków - mieszkańców gminy i to nie tylko poprzez instytucję honorowego obywatelstwa, którą można pozostawić dla osób zasłużonych dla gminy i kraju, niebędących jej mieszkańcami, ale także poprzez nadawanie innych tytułów honorowych, podkreślających zasługi </w:t>
      </w:r>
      <w:r w:rsidR="0094458A" w:rsidRPr="002B610B">
        <w:rPr>
          <w:i/>
          <w:sz w:val="24"/>
          <w:szCs w:val="24"/>
        </w:rPr>
        <w:t>jej mieszkańców ,,obywateli gminy”</w:t>
      </w:r>
      <w:r w:rsidR="001921DF" w:rsidRPr="002B610B">
        <w:rPr>
          <w:i/>
          <w:sz w:val="24"/>
          <w:szCs w:val="24"/>
        </w:rPr>
        <w:t xml:space="preserve"> dla konkretnej jednostk</w:t>
      </w:r>
      <w:r w:rsidR="00631F75" w:rsidRPr="002B610B">
        <w:rPr>
          <w:i/>
          <w:sz w:val="24"/>
          <w:szCs w:val="24"/>
        </w:rPr>
        <w:t xml:space="preserve">i samorządowej. </w:t>
      </w:r>
      <w:r w:rsidR="001921DF" w:rsidRPr="002B610B">
        <w:rPr>
          <w:i/>
          <w:sz w:val="24"/>
          <w:szCs w:val="24"/>
        </w:rPr>
        <w:lastRenderedPageBreak/>
        <w:t xml:space="preserve">Taki sam charakter mają uchwały w sprawie ustanowienia odznaki honorowej, które od </w:t>
      </w:r>
      <w:r w:rsidR="008C38B4">
        <w:rPr>
          <w:i/>
          <w:sz w:val="24"/>
          <w:szCs w:val="24"/>
        </w:rPr>
        <w:t xml:space="preserve">                                  </w:t>
      </w:r>
      <w:r w:rsidR="001921DF" w:rsidRPr="002B610B">
        <w:rPr>
          <w:i/>
          <w:sz w:val="24"/>
          <w:szCs w:val="24"/>
        </w:rPr>
        <w:t>1 sierpnia</w:t>
      </w:r>
      <w:r w:rsidR="008C38B4">
        <w:rPr>
          <w:i/>
          <w:sz w:val="24"/>
          <w:szCs w:val="24"/>
        </w:rPr>
        <w:t xml:space="preserve"> </w:t>
      </w:r>
      <w:r w:rsidR="001921DF" w:rsidRPr="002B610B">
        <w:rPr>
          <w:i/>
          <w:sz w:val="24"/>
          <w:szCs w:val="24"/>
        </w:rPr>
        <w:t xml:space="preserve">2009 r. mogą być podejmowane także przez rady gmin na podstawie art. 4 ust. 3 ustawy </w:t>
      </w:r>
      <w:r w:rsidR="008C38B4">
        <w:rPr>
          <w:i/>
          <w:sz w:val="24"/>
          <w:szCs w:val="24"/>
        </w:rPr>
        <w:t xml:space="preserve">                      </w:t>
      </w:r>
      <w:r w:rsidR="001921DF" w:rsidRPr="002B610B">
        <w:rPr>
          <w:i/>
          <w:sz w:val="24"/>
          <w:szCs w:val="24"/>
        </w:rPr>
        <w:t>z dnia</w:t>
      </w:r>
      <w:r w:rsidR="008C38B4">
        <w:rPr>
          <w:i/>
          <w:sz w:val="24"/>
          <w:szCs w:val="24"/>
        </w:rPr>
        <w:t xml:space="preserve"> </w:t>
      </w:r>
      <w:r w:rsidR="002B232F" w:rsidRPr="002B610B">
        <w:rPr>
          <w:i/>
          <w:sz w:val="24"/>
          <w:szCs w:val="24"/>
        </w:rPr>
        <w:t xml:space="preserve">21 grudnia 1978 r. o odznakach i </w:t>
      </w:r>
      <w:r w:rsidR="001921DF" w:rsidRPr="002B610B">
        <w:rPr>
          <w:i/>
          <w:sz w:val="24"/>
          <w:szCs w:val="24"/>
        </w:rPr>
        <w:t xml:space="preserve">mundurach. W świetle powyższego, nieuprawnione jest stawianie Sądowi I instancji zarzutu naruszenia </w:t>
      </w:r>
      <w:hyperlink r:id="rId9" w:anchor="/document/16793509?unitId=art(40)ust(2)&amp;cm=DOCUMENT" w:history="1">
        <w:r w:rsidR="001921DF" w:rsidRPr="002B610B">
          <w:rPr>
            <w:i/>
            <w:sz w:val="24"/>
            <w:szCs w:val="24"/>
          </w:rPr>
          <w:t>art. 40 ust. 2</w:t>
        </w:r>
      </w:hyperlink>
      <w:r w:rsidR="001921DF" w:rsidRPr="002B610B">
        <w:rPr>
          <w:i/>
          <w:sz w:val="24"/>
          <w:szCs w:val="24"/>
        </w:rPr>
        <w:t xml:space="preserve"> </w:t>
      </w:r>
      <w:proofErr w:type="spellStart"/>
      <w:r w:rsidR="001921DF" w:rsidRPr="002B610B">
        <w:rPr>
          <w:i/>
          <w:sz w:val="24"/>
          <w:szCs w:val="24"/>
        </w:rPr>
        <w:t>u.s.g</w:t>
      </w:r>
      <w:proofErr w:type="spellEnd"/>
      <w:r w:rsidR="001921DF" w:rsidRPr="002B610B">
        <w:rPr>
          <w:i/>
          <w:sz w:val="24"/>
          <w:szCs w:val="24"/>
        </w:rPr>
        <w:t xml:space="preserve">. i art. 13 ustawy z dnia </w:t>
      </w:r>
      <w:r w:rsidR="008C38B4">
        <w:rPr>
          <w:i/>
          <w:sz w:val="24"/>
          <w:szCs w:val="24"/>
        </w:rPr>
        <w:t xml:space="preserve">                                          </w:t>
      </w:r>
      <w:r w:rsidR="001921DF" w:rsidRPr="002B610B">
        <w:rPr>
          <w:i/>
          <w:sz w:val="24"/>
          <w:szCs w:val="24"/>
        </w:rPr>
        <w:t>20 lipca 2000 r.</w:t>
      </w:r>
      <w:r w:rsidR="008C38B4">
        <w:rPr>
          <w:i/>
          <w:sz w:val="24"/>
          <w:szCs w:val="24"/>
        </w:rPr>
        <w:t xml:space="preserve"> </w:t>
      </w:r>
      <w:r w:rsidR="001921DF" w:rsidRPr="002B610B">
        <w:rPr>
          <w:i/>
          <w:sz w:val="24"/>
          <w:szCs w:val="24"/>
        </w:rPr>
        <w:t xml:space="preserve">o ogłaszaniu aktów normatywnych i niektórych innych aktów prawnych. W związku </w:t>
      </w:r>
      <w:r w:rsidR="008C38B4">
        <w:rPr>
          <w:i/>
          <w:sz w:val="24"/>
          <w:szCs w:val="24"/>
        </w:rPr>
        <w:t xml:space="preserve">       </w:t>
      </w:r>
      <w:r w:rsidR="001921DF" w:rsidRPr="002B610B">
        <w:rPr>
          <w:i/>
          <w:sz w:val="24"/>
          <w:szCs w:val="24"/>
        </w:rPr>
        <w:t xml:space="preserve">z prawidłową kwalifikacją przez Sąd I instancji zaskarżonej uchwały jako aktu prawa </w:t>
      </w:r>
      <w:r w:rsidR="001921DF" w:rsidRPr="002B610B">
        <w:rPr>
          <w:i/>
          <w:iCs/>
          <w:sz w:val="24"/>
          <w:szCs w:val="24"/>
        </w:rPr>
        <w:t>miejscowego</w:t>
      </w:r>
      <w:r w:rsidR="00631F75" w:rsidRPr="002B610B">
        <w:rPr>
          <w:i/>
          <w:iCs/>
          <w:sz w:val="24"/>
          <w:szCs w:val="24"/>
        </w:rPr>
        <w:t>”</w:t>
      </w:r>
      <w:r w:rsidRPr="002B610B">
        <w:rPr>
          <w:i/>
          <w:sz w:val="24"/>
          <w:szCs w:val="24"/>
        </w:rPr>
        <w:t>.</w:t>
      </w:r>
    </w:p>
    <w:p w:rsidR="001764A0" w:rsidRPr="002B610B" w:rsidRDefault="0037432A" w:rsidP="002B610B">
      <w:pPr>
        <w:spacing w:after="0" w:line="360" w:lineRule="auto"/>
        <w:ind w:left="-357" w:right="-471" w:firstLine="924"/>
        <w:jc w:val="both"/>
        <w:rPr>
          <w:rFonts w:ascii="Calibri" w:hAnsi="Calibri" w:cs="Calibri"/>
          <w:sz w:val="24"/>
          <w:szCs w:val="24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Ponadto w załączniku Nr 4 do kwest</w:t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>ionowanej uchwały w przyjętym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 wniosku pn. </w:t>
      </w:r>
      <w:r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r w:rsidR="00126C4D"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A. </w:t>
      </w:r>
      <w:r w:rsidRPr="002B610B">
        <w:rPr>
          <w:rFonts w:ascii="Calibri" w:eastAsia="Times New Roman" w:hAnsi="Calibri" w:cs="Calibri"/>
          <w:i/>
          <w:sz w:val="24"/>
          <w:szCs w:val="24"/>
          <w:lang w:eastAsia="pl-PL"/>
        </w:rPr>
        <w:t>Wzór wniosku dla osoby fizycznej”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, Rada </w:t>
      </w:r>
      <w:r w:rsidR="001764A0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nałożyła </w:t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obowiązek podania </w:t>
      </w:r>
      <w:r w:rsidR="00B5709F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numeru telefonu oraz adresu e-mail. </w:t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Należy wskazać, że </w:t>
      </w:r>
      <w:r w:rsidR="00B84985" w:rsidRPr="002B610B">
        <w:rPr>
          <w:rFonts w:ascii="Calibri" w:hAnsi="Calibri" w:cs="Calibri"/>
          <w:sz w:val="24"/>
          <w:szCs w:val="24"/>
        </w:rPr>
        <w:t>zgodnie z art. 6 ust. 1 lit. c i e oraz ust. 3 rozporządzenia Parlamentu Europejskiego i  Rady (UE) 2016/679 z dnia 27 kwietnia 2016 r. w sprawie ochrony osób fizycznych w związku z  przetwarzaniem danych osobowych i w sprawie swobodnego przepływu takich danych oraz uchylenia dyrektywy 95/46/WE (Dz. U. UE. L. z 2016 r. 119.1)</w:t>
      </w:r>
      <w:r w:rsidR="0094458A" w:rsidRPr="002B610B">
        <w:rPr>
          <w:rFonts w:ascii="Calibri" w:hAnsi="Calibri" w:cs="Calibri"/>
          <w:sz w:val="24"/>
          <w:szCs w:val="24"/>
        </w:rPr>
        <w:t>,</w:t>
      </w:r>
      <w:r w:rsidR="00B84985" w:rsidRPr="002B610B">
        <w:rPr>
          <w:rFonts w:ascii="Calibri" w:hAnsi="Calibri" w:cs="Calibri"/>
          <w:sz w:val="24"/>
          <w:szCs w:val="24"/>
        </w:rPr>
        <w:t xml:space="preserve"> p</w:t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rzetwarzanie jest zgodne z prawem wyłącznie w  przypadkach, gdy - i w takim zakresie, w jakim - spełniony jest </w:t>
      </w:r>
      <w:r w:rsidR="00126C4D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co najmniej jeden z  poniższych </w:t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warunków: przetwarzanie jest niezbędne do wypełnienia obowiązku prawnego ciążącego </w:t>
      </w:r>
      <w:r w:rsidR="00126C4D" w:rsidRPr="002B610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na administratorze lub </w:t>
      </w:r>
      <w:r w:rsidR="00B84985" w:rsidRPr="002B61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przetwarzanie jest niezbędne do wykonania zadania realizowanego </w:t>
      </w:r>
      <w:r w:rsidR="001764A0" w:rsidRPr="002B61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B84985" w:rsidRPr="002B610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 interesie publicznym lub w ramach sprawowania władzy publicznej powierzonej administratorowi.</w:t>
      </w:r>
      <w:r w:rsidR="00B8498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84985" w:rsidRPr="002B610B">
        <w:rPr>
          <w:rFonts w:ascii="Calibri" w:hAnsi="Calibri" w:cs="Calibri"/>
          <w:sz w:val="24"/>
          <w:szCs w:val="24"/>
        </w:rPr>
        <w:t>W ocenie organu nadzoru przedmiotowa regulacja ,,przymusza” wnioskodawcę do posiadania</w:t>
      </w:r>
      <w:r w:rsidR="001764A0" w:rsidRPr="002B610B">
        <w:rPr>
          <w:rFonts w:ascii="Calibri" w:hAnsi="Calibri" w:cs="Calibri"/>
          <w:sz w:val="24"/>
          <w:szCs w:val="24"/>
        </w:rPr>
        <w:t xml:space="preserve"> i podania</w:t>
      </w:r>
      <w:r w:rsidR="00B84985" w:rsidRPr="002B610B">
        <w:rPr>
          <w:rFonts w:ascii="Calibri" w:hAnsi="Calibri" w:cs="Calibri"/>
          <w:sz w:val="24"/>
          <w:szCs w:val="24"/>
        </w:rPr>
        <w:t xml:space="preserve"> </w:t>
      </w:r>
      <w:r w:rsidR="001764A0" w:rsidRPr="002B610B">
        <w:rPr>
          <w:rFonts w:ascii="Calibri" w:hAnsi="Calibri" w:cs="Calibri"/>
          <w:sz w:val="24"/>
          <w:szCs w:val="24"/>
        </w:rPr>
        <w:t xml:space="preserve">numeru </w:t>
      </w:r>
      <w:r w:rsidR="0094458A" w:rsidRPr="002B610B">
        <w:rPr>
          <w:rFonts w:ascii="Calibri" w:hAnsi="Calibri" w:cs="Calibri"/>
          <w:sz w:val="24"/>
          <w:szCs w:val="24"/>
        </w:rPr>
        <w:t xml:space="preserve">telefonu </w:t>
      </w:r>
      <w:r w:rsidR="00B84985" w:rsidRPr="002B610B">
        <w:rPr>
          <w:rFonts w:ascii="Calibri" w:hAnsi="Calibri" w:cs="Calibri"/>
          <w:sz w:val="24"/>
          <w:szCs w:val="24"/>
        </w:rPr>
        <w:t xml:space="preserve">oraz adresu e-mail. </w:t>
      </w:r>
    </w:p>
    <w:p w:rsidR="001764A0" w:rsidRPr="002B610B" w:rsidRDefault="00B84985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Okoliczność, że kwestionowana uchwała stanowi akt prawa miejscowego, i w konsekw</w:t>
      </w:r>
      <w:r w:rsidR="0094458A" w:rsidRPr="002B610B">
        <w:rPr>
          <w:rFonts w:ascii="Calibri" w:eastAsia="Times New Roman" w:hAnsi="Calibri" w:cs="Calibri"/>
          <w:sz w:val="24"/>
          <w:szCs w:val="24"/>
          <w:lang w:eastAsia="pl-PL"/>
        </w:rPr>
        <w:t>encji normatywny akt wykonawczy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 oznacza</w:t>
      </w:r>
      <w:r w:rsidR="0094458A" w:rsidRPr="002B610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 że zawarte w niej postanowienia nie mogą wykraczać poza granice upoważnienia określone w art. </w:t>
      </w:r>
      <w:r w:rsidR="00A466D3" w:rsidRPr="002B610B">
        <w:rPr>
          <w:rFonts w:ascii="Calibri" w:eastAsia="Times New Roman" w:hAnsi="Calibri" w:cs="Calibri"/>
          <w:sz w:val="24"/>
          <w:szCs w:val="24"/>
          <w:lang w:eastAsia="pl-PL"/>
        </w:rPr>
        <w:t>art. 4 ust. 3 ustawy o odznakach i mundurach.</w:t>
      </w:r>
      <w:r w:rsidR="001764A0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1764A0" w:rsidRPr="002B610B" w:rsidRDefault="00194FEC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Mając powyższe na uwadze należy uznać, iż zarzuty podniesione przez organ nadzoru bezsprzecznie stanowią podstawę do stwierdzenia nieważności uchwały Nr</w:t>
      </w:r>
      <w:r w:rsidR="00631F75"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 XXIV/8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/20</w:t>
      </w:r>
      <w:r w:rsidRPr="002B610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Rady Powiatu Piaseczyńskiego z dnia 27 sierpnia 2020 r. </w:t>
      </w:r>
      <w:r w:rsidRPr="002B610B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w </w:t>
      </w:r>
      <w:r w:rsidR="00631F75" w:rsidRPr="002B610B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sprawie ustanowienia Odznaki Honorowej Powiatu Piaseczyńskiego, ustalenia jej wzoru oraz zasad i trybu nadawania</w:t>
      </w:r>
      <w:r w:rsidRPr="002B610B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:rsidR="001764A0" w:rsidRPr="002B610B" w:rsidRDefault="00194FEC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Na niniejsze rozstrzygnięcie nadzorcze Powiatowi przysługuje skarga do Wojewódzkiego Sądu Administracyjnego w Warszawie w terminie 30 dni od daty doręczenia, wnoszona za pośrednictwem organu, który skarżone orzeczenie wydał.</w:t>
      </w:r>
    </w:p>
    <w:p w:rsidR="00194FEC" w:rsidRPr="002B610B" w:rsidRDefault="00194FEC" w:rsidP="002B610B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>Informuję również, że stwierdzenie przez organ nadzoru nieważności uchwały Rady Po</w:t>
      </w:r>
      <w:r w:rsidR="0037432A" w:rsidRPr="002B610B">
        <w:rPr>
          <w:rFonts w:ascii="Calibri" w:eastAsia="Times New Roman" w:hAnsi="Calibri" w:cs="Calibri"/>
          <w:sz w:val="24"/>
          <w:szCs w:val="24"/>
          <w:lang w:eastAsia="pl-PL"/>
        </w:rPr>
        <w:t>wiatu wstrzymuje jej wykonanie</w:t>
      </w:r>
      <w:r w:rsidRPr="002B610B">
        <w:rPr>
          <w:rFonts w:ascii="Calibri" w:eastAsia="Times New Roman" w:hAnsi="Calibri" w:cs="Calibri"/>
          <w:sz w:val="24"/>
          <w:szCs w:val="24"/>
          <w:lang w:eastAsia="pl-PL"/>
        </w:rPr>
        <w:t xml:space="preserve">, z dniem jego doręczenia. </w:t>
      </w:r>
    </w:p>
    <w:p w:rsidR="00385E48" w:rsidRPr="002B610B" w:rsidRDefault="00385E48" w:rsidP="002B610B">
      <w:pPr>
        <w:spacing w:after="0" w:line="360" w:lineRule="auto"/>
        <w:rPr>
          <w:sz w:val="24"/>
          <w:szCs w:val="24"/>
        </w:rPr>
      </w:pPr>
    </w:p>
    <w:sectPr w:rsidR="00385E48" w:rsidRPr="002B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E6" w:rsidRDefault="00CF03E6" w:rsidP="00631F75">
      <w:pPr>
        <w:spacing w:after="0" w:line="240" w:lineRule="auto"/>
      </w:pPr>
      <w:r>
        <w:separator/>
      </w:r>
    </w:p>
  </w:endnote>
  <w:endnote w:type="continuationSeparator" w:id="0">
    <w:p w:rsidR="00CF03E6" w:rsidRDefault="00CF03E6" w:rsidP="006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E6" w:rsidRDefault="00CF03E6" w:rsidP="00631F75">
      <w:pPr>
        <w:spacing w:after="0" w:line="240" w:lineRule="auto"/>
      </w:pPr>
      <w:r>
        <w:separator/>
      </w:r>
    </w:p>
  </w:footnote>
  <w:footnote w:type="continuationSeparator" w:id="0">
    <w:p w:rsidR="00CF03E6" w:rsidRDefault="00CF03E6" w:rsidP="00631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EC"/>
    <w:rsid w:val="001040DD"/>
    <w:rsid w:val="00126C4D"/>
    <w:rsid w:val="001764A0"/>
    <w:rsid w:val="001921DF"/>
    <w:rsid w:val="00194FEC"/>
    <w:rsid w:val="001D69C5"/>
    <w:rsid w:val="002B232F"/>
    <w:rsid w:val="002B2A3F"/>
    <w:rsid w:val="002B610B"/>
    <w:rsid w:val="002F2F37"/>
    <w:rsid w:val="0037432A"/>
    <w:rsid w:val="00385E48"/>
    <w:rsid w:val="004351F2"/>
    <w:rsid w:val="00443068"/>
    <w:rsid w:val="004F3576"/>
    <w:rsid w:val="00542863"/>
    <w:rsid w:val="00570EA1"/>
    <w:rsid w:val="005F6160"/>
    <w:rsid w:val="00631F75"/>
    <w:rsid w:val="008723FD"/>
    <w:rsid w:val="008C38B4"/>
    <w:rsid w:val="00942966"/>
    <w:rsid w:val="0094458A"/>
    <w:rsid w:val="00A466D3"/>
    <w:rsid w:val="00A80114"/>
    <w:rsid w:val="00AD1B81"/>
    <w:rsid w:val="00B5709F"/>
    <w:rsid w:val="00B84985"/>
    <w:rsid w:val="00BC0B4D"/>
    <w:rsid w:val="00CF03E6"/>
    <w:rsid w:val="00D266FE"/>
    <w:rsid w:val="00D958D9"/>
    <w:rsid w:val="00ED1958"/>
    <w:rsid w:val="00F77247"/>
    <w:rsid w:val="00F9723B"/>
    <w:rsid w:val="00FF5C6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3FA8"/>
  <w15:chartTrackingRefBased/>
  <w15:docId w15:val="{96A7551D-0283-4570-AA9E-56ED0EA4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4FE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0B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0B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F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Sioch-Suchecka</dc:creator>
  <cp:keywords/>
  <dc:description/>
  <cp:lastModifiedBy>Beata Darnowska</cp:lastModifiedBy>
  <cp:revision>2</cp:revision>
  <cp:lastPrinted>2020-09-28T07:23:00Z</cp:lastPrinted>
  <dcterms:created xsi:type="dcterms:W3CDTF">2020-09-30T08:26:00Z</dcterms:created>
  <dcterms:modified xsi:type="dcterms:W3CDTF">2020-09-30T08:26:00Z</dcterms:modified>
</cp:coreProperties>
</file>