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4B" w:rsidRDefault="003B7F4B" w:rsidP="003B7F4B">
      <w:pPr>
        <w:pStyle w:val="Style9"/>
        <w:widowControl/>
        <w:spacing w:line="240" w:lineRule="auto"/>
        <w:ind w:firstLine="713"/>
        <w:rPr>
          <w:rStyle w:val="FontStyle28"/>
        </w:rPr>
      </w:pPr>
      <w:r>
        <w:rPr>
          <w:rStyle w:val="FontStyle28"/>
        </w:rPr>
        <w:t xml:space="preserve">Załącznik nr </w:t>
      </w:r>
      <w:r w:rsidR="001325A2">
        <w:rPr>
          <w:rStyle w:val="FontStyle28"/>
        </w:rPr>
        <w:t>22</w:t>
      </w:r>
      <w:r w:rsidR="00B17C05">
        <w:rPr>
          <w:rStyle w:val="FontStyle28"/>
        </w:rPr>
        <w:t xml:space="preserve"> </w:t>
      </w:r>
    </w:p>
    <w:p w:rsidR="003B7F4B" w:rsidRDefault="003B7F4B" w:rsidP="003B7F4B">
      <w:pPr>
        <w:pStyle w:val="Style9"/>
        <w:widowControl/>
        <w:spacing w:line="240" w:lineRule="auto"/>
        <w:ind w:firstLine="713"/>
        <w:rPr>
          <w:rStyle w:val="FontStyle28"/>
        </w:rPr>
      </w:pPr>
    </w:p>
    <w:p w:rsidR="003B7F4B" w:rsidRPr="003B7F4B" w:rsidRDefault="003B7F4B" w:rsidP="003B7F4B">
      <w:pPr>
        <w:pStyle w:val="Style9"/>
        <w:widowControl/>
        <w:spacing w:line="240" w:lineRule="auto"/>
        <w:ind w:firstLine="713"/>
        <w:rPr>
          <w:rStyle w:val="FontStyle28"/>
        </w:rPr>
      </w:pPr>
      <w:r w:rsidRPr="003B7F4B">
        <w:rPr>
          <w:rStyle w:val="FontStyle28"/>
        </w:rPr>
        <w:t>Wśród wprowadzonych wspomnianą ustawą zmian w k.k. istotne znaczenie ma zmiana przepisów definiujących nowe typy przestępstw, stanowiących odpowiedź na działania tak zwanych zagranicznych bojowników, związane z konfliktem w Syrii i Iraku oraz dostosowanie krajowych rozwiązań do podpisanego przez Polskę Protokołu dodatkowego do sporządzonej w dniu 16 maja 2005 r. w Warszawie Konwencji Rady Europy o Zapobieganiu Terroryzmowi.</w:t>
      </w:r>
    </w:p>
    <w:p w:rsidR="003B7F4B" w:rsidRPr="003B7F4B" w:rsidRDefault="003B7F4B" w:rsidP="003B7F4B">
      <w:pPr>
        <w:pStyle w:val="Style9"/>
        <w:widowControl/>
        <w:spacing w:line="240" w:lineRule="auto"/>
        <w:ind w:firstLine="709"/>
        <w:rPr>
          <w:rStyle w:val="FontStyle28"/>
        </w:rPr>
      </w:pPr>
      <w:r w:rsidRPr="003B7F4B">
        <w:rPr>
          <w:rStyle w:val="FontStyle28"/>
        </w:rPr>
        <w:t xml:space="preserve">Ustawa wprowadza przepis przewidujący karalne stadium przygotowania do popełnienia przestępstw przeciwko pokojowi, ludzkości oraz przestępstw wojennych, w tym także związanych z działalnością organizacji terrorystycznych </w:t>
      </w:r>
      <w:r w:rsidRPr="003B7F4B">
        <w:rPr>
          <w:rStyle w:val="Odwoanieprzypisudolnego"/>
          <w:sz w:val="22"/>
          <w:szCs w:val="22"/>
        </w:rPr>
        <w:footnoteReference w:id="1"/>
      </w:r>
      <w:r w:rsidRPr="003B7F4B">
        <w:rPr>
          <w:rStyle w:val="FontStyle28"/>
        </w:rPr>
        <w:t>. San</w:t>
      </w:r>
      <w:bookmarkStart w:id="0" w:name="_GoBack"/>
      <w:bookmarkEnd w:id="0"/>
      <w:r w:rsidRPr="003B7F4B">
        <w:rPr>
          <w:rStyle w:val="FontStyle28"/>
        </w:rPr>
        <w:t>kcje karne za przygotowanie do popełnienia tych przestępstw ustalono na poziomie proporcjonalnym do sankcji przewidzianych za popełnienie przestępstwa bazowego. Usankcjonowanie czynów osób podejmujących działania logistyczne i organizacyjne pozwala z większą skutecznością rozbijać organizacje terrorystyczne i przeciwdziałać zagrożeniom o charakterze terrorystycznym.</w:t>
      </w:r>
    </w:p>
    <w:p w:rsidR="003B7F4B" w:rsidRPr="003B7F4B" w:rsidRDefault="003B7F4B" w:rsidP="003B7F4B">
      <w:pPr>
        <w:pStyle w:val="Style9"/>
        <w:widowControl/>
        <w:spacing w:line="240" w:lineRule="auto"/>
        <w:ind w:firstLine="709"/>
        <w:rPr>
          <w:rStyle w:val="FontStyle28"/>
        </w:rPr>
      </w:pPr>
      <w:r w:rsidRPr="003B7F4B">
        <w:rPr>
          <w:rStyle w:val="FontStyle28"/>
        </w:rPr>
        <w:t>Ponadto dodano art. 224b, w którym określa się nawiązkę na rzecz Skarbu Państwa w wysokości co najmniej 10.000 zł oraz środek karny w formie świadczenia pieniężnego w wysokości co najmniej 10.000 zł orzekane przez sąd w razie skazania za przestępstwo określone w art. 224a</w:t>
      </w:r>
      <w:r w:rsidRPr="003B7F4B">
        <w:rPr>
          <w:rStyle w:val="Odwoanieprzypisudolnego"/>
          <w:sz w:val="22"/>
          <w:szCs w:val="22"/>
        </w:rPr>
        <w:footnoteReference w:id="2"/>
      </w:r>
      <w:r w:rsidRPr="003B7F4B">
        <w:rPr>
          <w:rStyle w:val="FontStyle28"/>
        </w:rPr>
        <w:t>, Rozwiązanie to ma na celu zwiększenie dotkliwości kary w przypadku czynów związanych w szczególności z fałszywymi powiadomieniami o podłożeniu ładunków wybuchowych, których efektem jest dezorganizacja funkcjonowania podmiotów objętych powiadomieniami, w tym instytucji publicznych i obiektów użyteczności publicznej oraz straty finansowe.</w:t>
      </w:r>
    </w:p>
    <w:p w:rsidR="003B7F4B" w:rsidRPr="003B7F4B" w:rsidRDefault="003B7F4B" w:rsidP="003B7F4B">
      <w:pPr>
        <w:pStyle w:val="Style9"/>
        <w:widowControl/>
        <w:spacing w:line="240" w:lineRule="auto"/>
        <w:ind w:firstLine="696"/>
        <w:rPr>
          <w:rStyle w:val="FontStyle28"/>
        </w:rPr>
      </w:pPr>
      <w:r w:rsidRPr="003B7F4B">
        <w:rPr>
          <w:rStyle w:val="FontStyle28"/>
        </w:rPr>
        <w:t>Ustawa wprowadza również przepisy karne wynikające z podpisanego przez Polskę Protokołu dodatkowego do sporządzonej w dniu 16 maja 2005 r. w Warszawie Konwencji Rady Europy o Zapobieganiu Terroryzmowi (Dz. U. z 2008 r. Nr 161, poz. 998).W tym zakresie w k.k. wprowadza się nowe typy czynów zabronionych dotyczących prowadzenia działalności przez tzw. zagranicznych bojowników.</w:t>
      </w:r>
    </w:p>
    <w:p w:rsidR="003B7F4B" w:rsidRPr="003B7F4B" w:rsidRDefault="003B7F4B" w:rsidP="003B7F4B">
      <w:pPr>
        <w:pStyle w:val="Style9"/>
        <w:widowControl/>
        <w:spacing w:line="240" w:lineRule="auto"/>
        <w:ind w:firstLine="710"/>
        <w:rPr>
          <w:rStyle w:val="FontStyle28"/>
        </w:rPr>
      </w:pPr>
      <w:r w:rsidRPr="003B7F4B">
        <w:rPr>
          <w:rStyle w:val="FontStyle28"/>
        </w:rPr>
        <w:t>Pierwszy ze wskazanych typów przestępstw, określony w art. 255a § 2, penalizuje uczestniczenie - w celu popełnienia przestępstwa o charakterze terrorystycznym - w szkoleniu mogącym ułatwić popełnienie takiego przestępstwa. Za popełnienie ww. czynu przewiduje się karę pozbawienia wolności od 3 miesięcy do lat 5.</w:t>
      </w:r>
    </w:p>
    <w:p w:rsidR="003B7F4B" w:rsidRPr="003B7F4B" w:rsidRDefault="003B7F4B" w:rsidP="003B7F4B">
      <w:pPr>
        <w:pStyle w:val="Style9"/>
        <w:widowControl/>
        <w:spacing w:line="240" w:lineRule="auto"/>
        <w:ind w:firstLine="706"/>
        <w:rPr>
          <w:rStyle w:val="FontStyle28"/>
        </w:rPr>
      </w:pPr>
      <w:r w:rsidRPr="003B7F4B">
        <w:rPr>
          <w:rStyle w:val="FontStyle28"/>
        </w:rPr>
        <w:t>Ponadto po art. 259 dodaje się art. 259a penalizujący przekroczenie granicy Rzeczpospolitej Polskiej, w celu popełnienia na terytorium innego państwa przestępstwa o charakterze terrorystycznym lub czynów określonych w:</w:t>
      </w:r>
    </w:p>
    <w:p w:rsidR="003B7F4B" w:rsidRPr="003B7F4B" w:rsidRDefault="003B7F4B" w:rsidP="003B7F4B">
      <w:pPr>
        <w:pStyle w:val="Style20"/>
        <w:widowControl/>
        <w:numPr>
          <w:ilvl w:val="0"/>
          <w:numId w:val="1"/>
        </w:numPr>
        <w:tabs>
          <w:tab w:val="left" w:pos="403"/>
        </w:tabs>
        <w:spacing w:line="240" w:lineRule="auto"/>
        <w:ind w:hanging="403"/>
        <w:rPr>
          <w:rStyle w:val="FontStyle28"/>
        </w:rPr>
      </w:pPr>
      <w:r w:rsidRPr="003B7F4B">
        <w:rPr>
          <w:rStyle w:val="FontStyle28"/>
        </w:rPr>
        <w:t>art. 255a § 1 (rozpowszechnianie lub publiczne prezentowanie treści mogących ułatwić popełnienie przestępstwa o charakterze terrorystycznym albo w celu uzyskiwania do nich dostępu w zamiarze, aby przestępstwo takie zostało popełnione);</w:t>
      </w:r>
    </w:p>
    <w:p w:rsidR="003B7F4B" w:rsidRPr="003B7F4B" w:rsidRDefault="003B7F4B" w:rsidP="003B7F4B">
      <w:pPr>
        <w:pStyle w:val="Style20"/>
        <w:widowControl/>
        <w:numPr>
          <w:ilvl w:val="0"/>
          <w:numId w:val="1"/>
        </w:numPr>
        <w:tabs>
          <w:tab w:val="left" w:pos="403"/>
        </w:tabs>
        <w:spacing w:line="240" w:lineRule="auto"/>
        <w:ind w:hanging="403"/>
        <w:rPr>
          <w:rStyle w:val="FontStyle28"/>
        </w:rPr>
      </w:pPr>
      <w:r w:rsidRPr="003B7F4B">
        <w:rPr>
          <w:rStyle w:val="FontStyle28"/>
        </w:rPr>
        <w:t>art. 258 § 2 (udział w zorganizowanej grupie lub związku mających charakter zbrojny lub mających na celu popełnienie przestępstwa o charakterze terrorystycznym);</w:t>
      </w:r>
    </w:p>
    <w:p w:rsidR="003B7F4B" w:rsidRPr="003B7F4B" w:rsidRDefault="003B7F4B" w:rsidP="003B7F4B">
      <w:pPr>
        <w:pStyle w:val="Style12"/>
        <w:widowControl/>
        <w:spacing w:line="240" w:lineRule="auto"/>
        <w:rPr>
          <w:rStyle w:val="FontStyle28"/>
        </w:rPr>
      </w:pPr>
      <w:r w:rsidRPr="003B7F4B">
        <w:rPr>
          <w:rStyle w:val="FontStyle28"/>
        </w:rPr>
        <w:t>-   art. 258 § 4 (zakładanie lub kierowanie zorganizowaną grupą lub związkiem mającym na celu popełnienie przestępstwa o charakterze terrorystycznym).</w:t>
      </w:r>
    </w:p>
    <w:p w:rsidR="003B7F4B" w:rsidRPr="003B7F4B" w:rsidRDefault="003B7F4B" w:rsidP="003B7F4B">
      <w:pPr>
        <w:pStyle w:val="Style12"/>
        <w:widowControl/>
        <w:spacing w:line="240" w:lineRule="auto"/>
        <w:ind w:firstLine="0"/>
        <w:rPr>
          <w:sz w:val="22"/>
          <w:szCs w:val="22"/>
        </w:rPr>
      </w:pPr>
    </w:p>
    <w:p w:rsidR="003B7F4B" w:rsidRPr="003B7F4B" w:rsidRDefault="003B7F4B" w:rsidP="003B7F4B">
      <w:pPr>
        <w:pStyle w:val="Style12"/>
        <w:widowControl/>
        <w:spacing w:line="240" w:lineRule="auto"/>
        <w:ind w:firstLine="0"/>
        <w:rPr>
          <w:rStyle w:val="FontStyle28"/>
        </w:rPr>
      </w:pPr>
      <w:r w:rsidRPr="003B7F4B">
        <w:rPr>
          <w:rStyle w:val="FontStyle28"/>
        </w:rPr>
        <w:t>Za popełnienie ww. czynu wprowadzono karę pozbawienia wolności od 3 miesięcy do lat 5.</w:t>
      </w:r>
    </w:p>
    <w:p w:rsidR="003B7F4B" w:rsidRPr="003B7F4B" w:rsidRDefault="003B7F4B" w:rsidP="003B7F4B">
      <w:pPr>
        <w:pStyle w:val="Style9"/>
        <w:widowControl/>
        <w:spacing w:line="240" w:lineRule="auto"/>
        <w:ind w:firstLine="706"/>
        <w:rPr>
          <w:rStyle w:val="FontStyle28"/>
        </w:rPr>
      </w:pPr>
      <w:r w:rsidRPr="003B7F4B">
        <w:rPr>
          <w:rStyle w:val="FontStyle28"/>
        </w:rPr>
        <w:t xml:space="preserve">Jednocześnie dodano art. 259b, zgodnie z którym na wniosek prokuratora sąd stosuje nadzwyczajne złagodzenie kary, a może nawet warunkowo zawiesić jej wykonanie w stosunku do sprawcy przestępstwa określonego w art. 259a, który dobrowolnie odstąpił od popełnienia na terytorium innego państwa przestępstwa o charakterze terrorystycznym lub przestępstwa określonego w art. 255a, art. 258 § 2 lub § 4 i ujawnił przed organem powołanym do ścigania przestępstw </w:t>
      </w:r>
      <w:r w:rsidRPr="003B7F4B">
        <w:rPr>
          <w:rStyle w:val="FontStyle28"/>
        </w:rPr>
        <w:lastRenderedPageBreak/>
        <w:t>wszystkie istotne okoliczności popełnienia czynu lub zapobiegł popełnieniu zamierzonego przestępstwa. Przepis ma zastosowanie także do sprawcy, który dobrowolnie odstąpił od pomocnictwa w popełnieniu przestępstwa określonego w art. 259a i ujawnił przed organem powołanym do ścigania przestępstw wszystkie istotne okoliczności popełnienia czynu, w szczególności informacje o osobach, które popełniły przestępstwa, określone w art. 259a.</w:t>
      </w:r>
    </w:p>
    <w:p w:rsidR="004D7759" w:rsidRDefault="004D7759"/>
    <w:sectPr w:rsidR="004D7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17" w:rsidRDefault="00921017" w:rsidP="003B7F4B">
      <w:pPr>
        <w:spacing w:after="0" w:line="240" w:lineRule="auto"/>
      </w:pPr>
      <w:r>
        <w:separator/>
      </w:r>
    </w:p>
  </w:endnote>
  <w:endnote w:type="continuationSeparator" w:id="0">
    <w:p w:rsidR="00921017" w:rsidRDefault="00921017" w:rsidP="003B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17" w:rsidRDefault="00921017" w:rsidP="003B7F4B">
      <w:pPr>
        <w:spacing w:after="0" w:line="240" w:lineRule="auto"/>
      </w:pPr>
      <w:r>
        <w:separator/>
      </w:r>
    </w:p>
  </w:footnote>
  <w:footnote w:type="continuationSeparator" w:id="0">
    <w:p w:rsidR="00921017" w:rsidRDefault="00921017" w:rsidP="003B7F4B">
      <w:pPr>
        <w:spacing w:after="0" w:line="240" w:lineRule="auto"/>
      </w:pPr>
      <w:r>
        <w:continuationSeparator/>
      </w:r>
    </w:p>
  </w:footnote>
  <w:footnote w:id="1">
    <w:p w:rsidR="003B7F4B" w:rsidRPr="00271544" w:rsidRDefault="003B7F4B" w:rsidP="003B7F4B">
      <w:pPr>
        <w:pStyle w:val="Style9"/>
        <w:widowControl/>
        <w:spacing w:line="240" w:lineRule="auto"/>
        <w:ind w:firstLine="0"/>
        <w:rPr>
          <w:sz w:val="16"/>
          <w:szCs w:val="16"/>
        </w:rPr>
      </w:pPr>
      <w:r w:rsidRPr="0075437D">
        <w:rPr>
          <w:rStyle w:val="Odwoanieprzypisudolnego"/>
          <w:sz w:val="16"/>
          <w:szCs w:val="16"/>
        </w:rPr>
        <w:footnoteRef/>
      </w:r>
      <w:r w:rsidRPr="0075437D">
        <w:rPr>
          <w:sz w:val="16"/>
          <w:szCs w:val="16"/>
        </w:rPr>
        <w:t xml:space="preserve"> </w:t>
      </w:r>
      <w:r w:rsidRPr="0075437D">
        <w:rPr>
          <w:rStyle w:val="FontStyle28"/>
          <w:sz w:val="16"/>
          <w:szCs w:val="16"/>
        </w:rPr>
        <w:t>Określonych w: art. 117 k.k. (wszczęcie lub prowadzenie wojny napastniczej), art. 118 k.k. (ludobójstwo), art. 118a k.k. (udział w masowym zamachu przeciwko grupie ludności), art. 120 k.k. (stosowanie środków masowej zagłady), art. 122 k.k. (prowadzenie działań</w:t>
      </w:r>
      <w:r w:rsidRPr="00B34704">
        <w:rPr>
          <w:rStyle w:val="FontStyle28"/>
          <w:sz w:val="16"/>
          <w:szCs w:val="16"/>
        </w:rPr>
        <w:t xml:space="preserve"> wojennych w sposób niezgodny z prawem międzynarodowym), art. 123 k.k. (zbrodnie wojenne przeciwko jeńcom wojennym lub ludności cywilnej), art. 124 k.k. (inne przypadki naruszenia prawa międzynarodowego podczas prowadzenia działań zbrojnych) oraz art. 125 k.k. (uszkadzanie lub przywłaszczenie dóbr kultury).</w:t>
      </w:r>
    </w:p>
  </w:footnote>
  <w:footnote w:id="2">
    <w:p w:rsidR="003B7F4B" w:rsidRDefault="003B7F4B" w:rsidP="003B7F4B">
      <w:pPr>
        <w:pStyle w:val="Tekstprzypisudolnego"/>
      </w:pPr>
      <w:r>
        <w:rPr>
          <w:rStyle w:val="Odwoanieprzypisudolnego"/>
        </w:rPr>
        <w:footnoteRef/>
      </w:r>
      <w:r>
        <w:t xml:space="preserve"> </w:t>
      </w:r>
      <w:r w:rsidRPr="00271544">
        <w:rPr>
          <w:rStyle w:val="FontStyle28"/>
          <w:sz w:val="16"/>
          <w:szCs w:val="16"/>
        </w:rPr>
        <w:t>Penalizuje on czyn polegający na powiadamianiu przez sprawcę o nieistniejącym zagrożeniu dla życia lub zdrowia wielu osób lub mienia w znacznych rozmiarach lub stwarzaniu sytuacji mającej wywołać przekonanie o istnieniu takiego zagrożenia, co skutkuje czynnościami instytucji użyteczności publicznej lub organu ochrony bezpieczeństwa, porządku publicznego lub zdrowia mającymi na celu uchylenie zagrożenia.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084BA6"/>
    <w:lvl w:ilvl="0">
      <w:numFmt w:val="bullet"/>
      <w:lvlText w:val="*"/>
      <w:lvlJc w:val="left"/>
    </w:lvl>
  </w:abstractNum>
  <w:num w:numId="1">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4B"/>
    <w:rsid w:val="001325A2"/>
    <w:rsid w:val="003B7F4B"/>
    <w:rsid w:val="00494F2E"/>
    <w:rsid w:val="004B7DAD"/>
    <w:rsid w:val="004D7759"/>
    <w:rsid w:val="006A0067"/>
    <w:rsid w:val="00921017"/>
    <w:rsid w:val="00B17C05"/>
    <w:rsid w:val="00CB52EE"/>
    <w:rsid w:val="00FA0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3B7F4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3B7F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3B7F4B"/>
    <w:rPr>
      <w:rFonts w:ascii="Times New Roman" w:eastAsia="Times New Roman" w:hAnsi="Times New Roman" w:cs="Times New Roman"/>
      <w:sz w:val="20"/>
      <w:szCs w:val="20"/>
      <w:lang w:eastAsia="pl-PL"/>
    </w:rPr>
  </w:style>
  <w:style w:type="paragraph" w:customStyle="1" w:styleId="Style20">
    <w:name w:val="Style20"/>
    <w:basedOn w:val="Normalny"/>
    <w:uiPriority w:val="99"/>
    <w:rsid w:val="003B7F4B"/>
    <w:pPr>
      <w:widowControl w:val="0"/>
      <w:autoSpaceDE w:val="0"/>
      <w:autoSpaceDN w:val="0"/>
      <w:adjustRightInd w:val="0"/>
      <w:spacing w:after="0" w:line="408" w:lineRule="exact"/>
      <w:ind w:firstLine="346"/>
      <w:jc w:val="both"/>
    </w:pPr>
    <w:rPr>
      <w:rFonts w:ascii="Courier New" w:eastAsia="Times New Roman" w:hAnsi="Courier New" w:cs="Times New Roman"/>
      <w:sz w:val="24"/>
      <w:szCs w:val="24"/>
      <w:lang w:eastAsia="pl-PL"/>
    </w:rPr>
  </w:style>
  <w:style w:type="paragraph" w:customStyle="1" w:styleId="Style9">
    <w:name w:val="Style9"/>
    <w:basedOn w:val="Normalny"/>
    <w:uiPriority w:val="99"/>
    <w:rsid w:val="003B7F4B"/>
    <w:pPr>
      <w:widowControl w:val="0"/>
      <w:autoSpaceDE w:val="0"/>
      <w:autoSpaceDN w:val="0"/>
      <w:adjustRightInd w:val="0"/>
      <w:spacing w:after="0" w:line="418" w:lineRule="exact"/>
      <w:ind w:firstLine="701"/>
      <w:jc w:val="both"/>
    </w:pPr>
    <w:rPr>
      <w:rFonts w:ascii="Times New Roman" w:eastAsia="Times New Roman" w:hAnsi="Times New Roman" w:cs="Times New Roman"/>
      <w:sz w:val="24"/>
      <w:szCs w:val="24"/>
      <w:lang w:eastAsia="pl-PL"/>
    </w:rPr>
  </w:style>
  <w:style w:type="character" w:customStyle="1" w:styleId="FontStyle28">
    <w:name w:val="Font Style28"/>
    <w:uiPriority w:val="99"/>
    <w:rsid w:val="003B7F4B"/>
    <w:rPr>
      <w:rFonts w:ascii="Times New Roman" w:hAnsi="Times New Roman" w:cs="Times New Roman"/>
      <w:sz w:val="22"/>
      <w:szCs w:val="22"/>
    </w:rPr>
  </w:style>
  <w:style w:type="paragraph" w:customStyle="1" w:styleId="Style12">
    <w:name w:val="Style12"/>
    <w:basedOn w:val="Normalny"/>
    <w:uiPriority w:val="99"/>
    <w:rsid w:val="003B7F4B"/>
    <w:pPr>
      <w:widowControl w:val="0"/>
      <w:autoSpaceDE w:val="0"/>
      <w:autoSpaceDN w:val="0"/>
      <w:adjustRightInd w:val="0"/>
      <w:spacing w:after="0" w:line="415" w:lineRule="exact"/>
      <w:ind w:firstLine="706"/>
      <w:jc w:val="both"/>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Footnote Refernece,BVI fnr,Footnote symbol,SUPERS,(Footnote Reference),Footnote,Voetnootverwijzing,Times 10 Point,Exposant 3 Point,Footnote reference number,note TESI,EN Footnote Reference"/>
    <w:rsid w:val="003B7F4B"/>
    <w:rPr>
      <w:vertAlign w:val="superscript"/>
    </w:rPr>
  </w:style>
  <w:style w:type="paragraph" w:styleId="Tekstprzypisudolnego">
    <w:name w:val="footnote text"/>
    <w:aliases w:val="Footnote Text1,footnotes,Podrozdział,Tekst przypisu,stile 1,Tekst przypisu dolnego Znak Znak Znak Znak Znak Znak,FOOTNOTES,Podrozdzia3,-E Fuﬂnotentext,Fuﬂnotentext Ursprung,Fußnotentext Ursprung,-E Fußnotentext,Fußnote"/>
    <w:basedOn w:val="Normalny"/>
    <w:link w:val="TekstprzypisudolnegoZnak"/>
    <w:rsid w:val="003B7F4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Text1 Znak,footnotes Znak,Podrozdział Znak,Tekst przypisu Znak,stile 1 Znak,Tekst przypisu dolnego Znak Znak Znak Znak Znak Znak Znak,FOOTNOTES Znak,Podrozdzia3 Znak,-E Fuﬂnotentext Znak,Fuﬂnotentext Ursprung Znak"/>
    <w:basedOn w:val="Domylnaczcionkaakapitu"/>
    <w:link w:val="Tekstprzypisudolnego"/>
    <w:rsid w:val="003B7F4B"/>
    <w:rPr>
      <w:rFonts w:ascii="Times New Roman" w:eastAsia="Times New Roman" w:hAnsi="Times New Roman" w:cs="Times New Roman"/>
      <w:sz w:val="20"/>
      <w:szCs w:val="20"/>
      <w:lang w:eastAsia="pl-PL"/>
    </w:rPr>
  </w:style>
  <w:style w:type="paragraph" w:customStyle="1" w:styleId="Style20">
    <w:name w:val="Style20"/>
    <w:basedOn w:val="Normalny"/>
    <w:uiPriority w:val="99"/>
    <w:rsid w:val="003B7F4B"/>
    <w:pPr>
      <w:widowControl w:val="0"/>
      <w:autoSpaceDE w:val="0"/>
      <w:autoSpaceDN w:val="0"/>
      <w:adjustRightInd w:val="0"/>
      <w:spacing w:after="0" w:line="408" w:lineRule="exact"/>
      <w:ind w:firstLine="346"/>
      <w:jc w:val="both"/>
    </w:pPr>
    <w:rPr>
      <w:rFonts w:ascii="Courier New" w:eastAsia="Times New Roman" w:hAnsi="Courier New" w:cs="Times New Roman"/>
      <w:sz w:val="24"/>
      <w:szCs w:val="24"/>
      <w:lang w:eastAsia="pl-PL"/>
    </w:rPr>
  </w:style>
  <w:style w:type="paragraph" w:customStyle="1" w:styleId="Style9">
    <w:name w:val="Style9"/>
    <w:basedOn w:val="Normalny"/>
    <w:uiPriority w:val="99"/>
    <w:rsid w:val="003B7F4B"/>
    <w:pPr>
      <w:widowControl w:val="0"/>
      <w:autoSpaceDE w:val="0"/>
      <w:autoSpaceDN w:val="0"/>
      <w:adjustRightInd w:val="0"/>
      <w:spacing w:after="0" w:line="418" w:lineRule="exact"/>
      <w:ind w:firstLine="701"/>
      <w:jc w:val="both"/>
    </w:pPr>
    <w:rPr>
      <w:rFonts w:ascii="Times New Roman" w:eastAsia="Times New Roman" w:hAnsi="Times New Roman" w:cs="Times New Roman"/>
      <w:sz w:val="24"/>
      <w:szCs w:val="24"/>
      <w:lang w:eastAsia="pl-PL"/>
    </w:rPr>
  </w:style>
  <w:style w:type="character" w:customStyle="1" w:styleId="FontStyle28">
    <w:name w:val="Font Style28"/>
    <w:uiPriority w:val="99"/>
    <w:rsid w:val="003B7F4B"/>
    <w:rPr>
      <w:rFonts w:ascii="Times New Roman" w:hAnsi="Times New Roman" w:cs="Times New Roman"/>
      <w:sz w:val="22"/>
      <w:szCs w:val="22"/>
    </w:rPr>
  </w:style>
  <w:style w:type="paragraph" w:customStyle="1" w:styleId="Style12">
    <w:name w:val="Style12"/>
    <w:basedOn w:val="Normalny"/>
    <w:uiPriority w:val="99"/>
    <w:rsid w:val="003B7F4B"/>
    <w:pPr>
      <w:widowControl w:val="0"/>
      <w:autoSpaceDE w:val="0"/>
      <w:autoSpaceDN w:val="0"/>
      <w:adjustRightInd w:val="0"/>
      <w:spacing w:after="0" w:line="415" w:lineRule="exact"/>
      <w:ind w:firstLine="706"/>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Kaczor Paweł  (DWMPC)</dc:creator>
  <cp:lastModifiedBy>Kaczor Paweł  (DWMPC)</cp:lastModifiedBy>
  <cp:revision>4</cp:revision>
  <cp:lastPrinted>2017-09-25T07:13:00Z</cp:lastPrinted>
  <dcterms:created xsi:type="dcterms:W3CDTF">2017-09-11T13:49:00Z</dcterms:created>
  <dcterms:modified xsi:type="dcterms:W3CDTF">2017-09-25T07:13:00Z</dcterms:modified>
</cp:coreProperties>
</file>