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19444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701"/>
        <w:gridCol w:w="2127"/>
        <w:gridCol w:w="4819"/>
        <w:gridCol w:w="4820"/>
        <w:gridCol w:w="1359"/>
      </w:tblGrid>
      <w:tr w:rsidR="00A06425" w:rsidRPr="00A06425" w14:paraId="41E78474" w14:textId="77777777" w:rsidTr="007A4506">
        <w:tc>
          <w:tcPr>
            <w:tcW w:w="15388" w:type="dxa"/>
            <w:gridSpan w:val="6"/>
            <w:shd w:val="clear" w:color="auto" w:fill="auto"/>
            <w:vAlign w:val="center"/>
          </w:tcPr>
          <w:p w14:paraId="0781BBBD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A450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Opis założeń projektu informatycznego – Elektroniczny Krajowy Rejestr Sądowy (</w:t>
            </w:r>
            <w:proofErr w:type="spellStart"/>
            <w:r w:rsidR="007A450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eKRS</w:t>
            </w:r>
            <w:proofErr w:type="spellEnd"/>
            <w:r w:rsidR="007A450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)</w:t>
            </w:r>
          </w:p>
          <w:p w14:paraId="170BFCA2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7DDA3B37" w14:textId="77777777" w:rsidTr="008D73BC">
        <w:tc>
          <w:tcPr>
            <w:tcW w:w="562" w:type="dxa"/>
            <w:shd w:val="clear" w:color="auto" w:fill="auto"/>
            <w:vAlign w:val="center"/>
          </w:tcPr>
          <w:p w14:paraId="69D1396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94B19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56CA62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42FBD0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674781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6D30A296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52AA60BF" w14:textId="77777777" w:rsidTr="008D73BC">
        <w:tc>
          <w:tcPr>
            <w:tcW w:w="562" w:type="dxa"/>
            <w:shd w:val="clear" w:color="auto" w:fill="auto"/>
          </w:tcPr>
          <w:p w14:paraId="381EAE62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1140B7E7" w14:textId="0A9B64D0" w:rsidR="00047F75" w:rsidRPr="00A06425" w:rsidRDefault="007A4506" w:rsidP="00031C2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2127" w:type="dxa"/>
            <w:shd w:val="clear" w:color="auto" w:fill="auto"/>
          </w:tcPr>
          <w:p w14:paraId="7ADBC2A6" w14:textId="77777777" w:rsidR="00A06425" w:rsidRPr="00A06425" w:rsidRDefault="007A4506" w:rsidP="00047F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Lista Przepływów lp. 1</w:t>
            </w:r>
            <w:r w:rsidR="008B05F3">
              <w:rPr>
                <w:rFonts w:asciiTheme="minorHAnsi" w:hAnsiTheme="minorHAnsi" w:cstheme="minorHAnsi"/>
                <w:sz w:val="22"/>
                <w:szCs w:val="22"/>
              </w:rPr>
              <w:t xml:space="preserve"> (str. 31), kolumna „Zakres wymienianych danych”</w:t>
            </w:r>
          </w:p>
        </w:tc>
        <w:tc>
          <w:tcPr>
            <w:tcW w:w="4819" w:type="dxa"/>
            <w:shd w:val="clear" w:color="auto" w:fill="auto"/>
          </w:tcPr>
          <w:p w14:paraId="5BC7612D" w14:textId="77777777" w:rsidR="007A4506" w:rsidRPr="00047F75" w:rsidRDefault="007A4506" w:rsidP="007A45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7F75">
              <w:rPr>
                <w:rFonts w:asciiTheme="minorHAnsi" w:hAnsiTheme="minorHAnsi" w:cstheme="minorHAnsi"/>
                <w:sz w:val="22"/>
                <w:szCs w:val="22"/>
              </w:rPr>
              <w:t xml:space="preserve">W tabeli „Lista Przepływów” jako dane pozyskiwane z rejestru TERYT zostały wymienione punkty adresowe. W systemie identyfikacji adresowej ulic, nieruchomości budynków i mieszkań NOBC funkcjonującym w ramach rejestru TERYT gromadzone są dane adresowe budynków i mieszkań bez lokalizacji przestrzennej (współrzędne punktów). Pojawia się wątpliwość czy wskazanie jest właściwe i czy dla potrzeb </w:t>
            </w:r>
            <w:proofErr w:type="spellStart"/>
            <w:r w:rsidRPr="00047F75">
              <w:rPr>
                <w:rFonts w:asciiTheme="minorHAnsi" w:hAnsiTheme="minorHAnsi" w:cstheme="minorHAnsi"/>
                <w:sz w:val="22"/>
                <w:szCs w:val="22"/>
              </w:rPr>
              <w:t>eKRS</w:t>
            </w:r>
            <w:proofErr w:type="spellEnd"/>
            <w:r w:rsidRPr="00047F75">
              <w:rPr>
                <w:rFonts w:asciiTheme="minorHAnsi" w:hAnsiTheme="minorHAnsi" w:cstheme="minorHAnsi"/>
                <w:sz w:val="22"/>
                <w:szCs w:val="22"/>
              </w:rPr>
              <w:t xml:space="preserve"> z rejestru TERYT będą pozyskiwane wyłącznie dane adresowe. Dane te dotyczą tylko budynków mieszkalnych oraz budynków niemieszkalnych, w których znajduje się przynajmniej jedno mieszkanie, z pominięciem pozostałych budynków nieprzeznaczonych celom mieszkaniowym.</w:t>
            </w:r>
          </w:p>
          <w:p w14:paraId="0AE7D364" w14:textId="77777777" w:rsidR="00A06425" w:rsidRPr="00047F75" w:rsidRDefault="007A4506" w:rsidP="007A45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7F75">
              <w:rPr>
                <w:rFonts w:asciiTheme="minorHAnsi" w:hAnsiTheme="minorHAnsi" w:cstheme="minorHAnsi"/>
                <w:sz w:val="22"/>
                <w:szCs w:val="22"/>
              </w:rPr>
              <w:t xml:space="preserve">Zgodnie z projektem ustawy z dnia … 2023 r. o zmianie ustawy o statystyce publicznej (projekt z dnia 05.01.2023 r. dostępny na stronie RCL pod numerem UD474) organy prowadzące rejestry urzędowe i systemy informacyjne administracji publicznej, </w:t>
            </w:r>
            <w:r w:rsidRPr="00047F7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 tym rejestry sądowe</w:t>
            </w:r>
            <w:r w:rsidRPr="00047F75">
              <w:rPr>
                <w:rFonts w:asciiTheme="minorHAnsi" w:hAnsiTheme="minorHAnsi" w:cstheme="minorHAnsi"/>
                <w:sz w:val="22"/>
                <w:szCs w:val="22"/>
              </w:rPr>
              <w:t xml:space="preserve">, są obowiązane do stosowania identyfikatorów przyjętych w rejestrze terytorialnym oraz do dokonywania zmian wynikających z tej aktualizacji w prowadzonych przez siebie rejestrach i systemach. Zatem w tabeli „Lista Przepływów” wskazane jest ujęcie przede wszystkim słowników udostępnianych z rejestru TERYT w ramach systemów: TERC (system identyfikatorów i nazw jednostek podziału </w:t>
            </w:r>
            <w:r w:rsidRPr="00047F7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terytorialnego), SIMC (system identyfikatorów i nazw miejscowości) i ULIC (Centralny Katalog Ulic).</w:t>
            </w:r>
          </w:p>
        </w:tc>
        <w:tc>
          <w:tcPr>
            <w:tcW w:w="4820" w:type="dxa"/>
            <w:shd w:val="clear" w:color="auto" w:fill="auto"/>
          </w:tcPr>
          <w:p w14:paraId="7AA56736" w14:textId="77777777" w:rsidR="00A06425" w:rsidRPr="00047F75" w:rsidRDefault="008B05F3" w:rsidP="008B05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7F7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„Tabeli Przepływów” w kolumnie „Zakres wymienianych danych” określenie „Punkt adresowy” zastąpić: „Dane z systemów: TERC, SIMC i ULIC dotyczące jednostek podziału terytorialnego, miejscowości i ulic”.</w:t>
            </w:r>
          </w:p>
        </w:tc>
        <w:tc>
          <w:tcPr>
            <w:tcW w:w="1359" w:type="dxa"/>
          </w:tcPr>
          <w:p w14:paraId="3675723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F75" w:rsidRPr="00A06425" w14:paraId="28241FE1" w14:textId="77777777" w:rsidTr="008D73BC">
        <w:tc>
          <w:tcPr>
            <w:tcW w:w="562" w:type="dxa"/>
            <w:shd w:val="clear" w:color="auto" w:fill="auto"/>
          </w:tcPr>
          <w:p w14:paraId="6D4E59E6" w14:textId="77777777" w:rsidR="00047F75" w:rsidRPr="00A06425" w:rsidRDefault="00047F75" w:rsidP="00047F7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14F82682" w14:textId="1A7212DF" w:rsidR="00047F75" w:rsidRPr="00A06425" w:rsidRDefault="00047F75" w:rsidP="00031C2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  <w:bookmarkStart w:id="0" w:name="_GoBack"/>
            <w:bookmarkEnd w:id="0"/>
          </w:p>
        </w:tc>
        <w:tc>
          <w:tcPr>
            <w:tcW w:w="2127" w:type="dxa"/>
            <w:shd w:val="clear" w:color="auto" w:fill="auto"/>
          </w:tcPr>
          <w:p w14:paraId="0EE9FB82" w14:textId="77777777" w:rsidR="00047F75" w:rsidRDefault="00047F75" w:rsidP="00047F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Str.15</w:t>
            </w:r>
          </w:p>
          <w:p w14:paraId="41625922" w14:textId="77777777" w:rsidR="00047F75" w:rsidRDefault="00047F75" w:rsidP="00047F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Pkt. 6 OTOCZENIE PRAWNE</w:t>
            </w:r>
          </w:p>
        </w:tc>
        <w:tc>
          <w:tcPr>
            <w:tcW w:w="4819" w:type="dxa"/>
            <w:shd w:val="clear" w:color="auto" w:fill="auto"/>
          </w:tcPr>
          <w:p w14:paraId="75023BF3" w14:textId="77777777" w:rsidR="00047F75" w:rsidRPr="00047F75" w:rsidRDefault="00047F75" w:rsidP="00047F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F75">
              <w:rPr>
                <w:rFonts w:ascii="Calibri" w:hAnsi="Calibri" w:cs="Calibri"/>
                <w:color w:val="000000"/>
                <w:sz w:val="22"/>
                <w:szCs w:val="22"/>
              </w:rPr>
              <w:t>Proponujemy w tabeli w pkt. 6 „Otoczenie prawne” dodać  ustawę z dnia 6 marca 2018 r. Prawo przedsiębiorców.</w:t>
            </w:r>
          </w:p>
          <w:p w14:paraId="71C2C7DE" w14:textId="77777777" w:rsidR="00047F75" w:rsidRPr="00047F75" w:rsidRDefault="00047F75" w:rsidP="00047F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F75">
              <w:rPr>
                <w:rFonts w:asciiTheme="minorHAnsi" w:hAnsiTheme="minorHAnsi" w:cstheme="minorHAnsi"/>
                <w:sz w:val="22"/>
                <w:szCs w:val="22"/>
              </w:rPr>
              <w:t>Uzasadnienie: W ustawie są określone zasady podejmowania, wykonywania i zakończenia działalności gospodarczej, w tym w rozdziale 2 w art. 17 jest odniesienie do Krajowego Rejestru Sądowego. Wydaje się zasadnym uwzględnić ww. ustawę w pkt. 6 dotyczącym otoczenia prawnego projektu,  ponieważ projekt prawdopodobnie będzie miał wpływ na treść ustawy.</w:t>
            </w:r>
          </w:p>
        </w:tc>
        <w:tc>
          <w:tcPr>
            <w:tcW w:w="4820" w:type="dxa"/>
            <w:shd w:val="clear" w:color="auto" w:fill="auto"/>
          </w:tcPr>
          <w:p w14:paraId="587A93BF" w14:textId="77777777" w:rsidR="00047F75" w:rsidRPr="00047F75" w:rsidRDefault="00047F75" w:rsidP="00047F75">
            <w:pPr>
              <w:spacing w:line="25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047F75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6</w:t>
            </w:r>
            <w:r w:rsidRPr="00047F75">
              <w:rPr>
                <w:rFonts w:asciiTheme="minorHAnsi" w:hAnsiTheme="minorHAnsi" w:cstheme="minorHAnsi"/>
                <w:b/>
                <w:sz w:val="22"/>
                <w:szCs w:val="22"/>
              </w:rPr>
              <w:t>. OTOCZENIE PRAWNE</w:t>
            </w:r>
            <w:r w:rsidRPr="00047F7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7182E937" w14:textId="77777777" w:rsidR="00047F75" w:rsidRPr="00047F75" w:rsidRDefault="00047F75" w:rsidP="00047F75">
            <w:pPr>
              <w:spacing w:line="25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047F7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Dodać pozycję:</w:t>
            </w:r>
          </w:p>
          <w:p w14:paraId="4639D339" w14:textId="77777777" w:rsidR="00047F75" w:rsidRPr="00047F75" w:rsidRDefault="00047F75" w:rsidP="00047F75">
            <w:pPr>
              <w:spacing w:line="25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047F7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Ustawa z dnia 6 marca 2018 r. Prawo przedsiębiorców (Dz.U. 2018 poz. 646,</w:t>
            </w:r>
            <w:r w:rsidRPr="00047F75">
              <w:rPr>
                <w:sz w:val="22"/>
                <w:szCs w:val="22"/>
              </w:rPr>
              <w:t xml:space="preserve"> </w:t>
            </w:r>
            <w:proofErr w:type="spellStart"/>
            <w:r w:rsidRPr="00047F7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t.j</w:t>
            </w:r>
            <w:proofErr w:type="spellEnd"/>
            <w:r w:rsidRPr="00047F7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 Dz. U. z 2023 r. poz. 221).</w:t>
            </w:r>
          </w:p>
          <w:p w14:paraId="33690F72" w14:textId="77777777" w:rsidR="00047F75" w:rsidRPr="00047F75" w:rsidRDefault="00047F75" w:rsidP="00047F75">
            <w:pPr>
              <w:spacing w:after="26" w:line="264" w:lineRule="auto"/>
              <w:ind w:left="395" w:right="4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608244CE" w14:textId="77777777" w:rsidR="00047F75" w:rsidRPr="00047F75" w:rsidRDefault="00047F75" w:rsidP="00047F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0967C1D" w14:textId="77777777" w:rsidR="00047F75" w:rsidRPr="00A06425" w:rsidRDefault="00047F75" w:rsidP="00047F7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CE7CF30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1C22"/>
    <w:rsid w:val="00034258"/>
    <w:rsid w:val="00047F75"/>
    <w:rsid w:val="00140BE8"/>
    <w:rsid w:val="0019648E"/>
    <w:rsid w:val="002715B2"/>
    <w:rsid w:val="003124D1"/>
    <w:rsid w:val="003B4105"/>
    <w:rsid w:val="004D086F"/>
    <w:rsid w:val="0050475D"/>
    <w:rsid w:val="005F6527"/>
    <w:rsid w:val="006705EC"/>
    <w:rsid w:val="006E16E9"/>
    <w:rsid w:val="007A4506"/>
    <w:rsid w:val="00807385"/>
    <w:rsid w:val="008B05F3"/>
    <w:rsid w:val="008D73BC"/>
    <w:rsid w:val="00944932"/>
    <w:rsid w:val="009E5FDB"/>
    <w:rsid w:val="00A06425"/>
    <w:rsid w:val="00AC7796"/>
    <w:rsid w:val="00B871B6"/>
    <w:rsid w:val="00C64B1B"/>
    <w:rsid w:val="00CD5EB0"/>
    <w:rsid w:val="00DC07F4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F3D735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80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44136ADD9233645AF9E7D0EADDEB824" ma:contentTypeVersion="" ma:contentTypeDescription="" ma:contentTypeScope="" ma:versionID="65958521edc9483c46942e9ac2ba341f">
  <xsd:schema xmlns:xsd="http://www.w3.org/2001/XMLSchema" xmlns:xs="http://www.w3.org/2001/XMLSchema" xmlns:p="http://schemas.microsoft.com/office/2006/metadata/properties" xmlns:ns1="http://schemas.microsoft.com/sharepoint/v3" xmlns:ns2="AD3641B4-23D9-4536-AF9E-7D0EADDEB824" targetNamespace="http://schemas.microsoft.com/office/2006/metadata/properties" ma:root="true" ma:fieldsID="34e359ed2fd7077939949e563617625d" ns1:_="" ns2:_="">
    <xsd:import namespace="http://schemas.microsoft.com/sharepoint/v3"/>
    <xsd:import namespace="AD3641B4-23D9-4536-AF9E-7D0EADDEB824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641B4-23D9-4536-AF9E-7D0EADDEB824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zwaPliku xmlns="AD3641B4-23D9-4536-AF9E-7D0EADDEB824">Tabela uwag.docx</NazwaPliku>
    <Osoba xmlns="AD3641B4-23D9-4536-AF9E-7D0EADDEB824">STAT\ZietekM</Osoba>
    <Odbiorcy2 xmlns="AD3641B4-23D9-4536-AF9E-7D0EADDEB824" xsi:nil="true"/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0x00B44136ADD9233645AF9E7D0EADDEB824</ContentTypeId>
  </documentManagement>
</p:properties>
</file>

<file path=customXml/itemProps1.xml><?xml version="1.0" encoding="utf-8"?>
<ds:datastoreItem xmlns:ds="http://schemas.openxmlformats.org/officeDocument/2006/customXml" ds:itemID="{A273378D-78B4-460A-A120-4DF02E77F9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E59927-83B2-49BB-A5BF-DBECC6BA8311}"/>
</file>

<file path=customXml/itemProps3.xml><?xml version="1.0" encoding="utf-8"?>
<ds:datastoreItem xmlns:ds="http://schemas.openxmlformats.org/officeDocument/2006/customXml" ds:itemID="{E904F148-63E6-493C-BD12-C09C72DAAA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352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Ziętek Monika</cp:lastModifiedBy>
  <cp:revision>8</cp:revision>
  <dcterms:created xsi:type="dcterms:W3CDTF">2023-03-27T07:39:00Z</dcterms:created>
  <dcterms:modified xsi:type="dcterms:W3CDTF">2023-03-28T10:07:00Z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</Properties>
</file>