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72" w:rsidRDefault="00327A87">
      <w:pPr>
        <w:pStyle w:val="Nagwek1"/>
        <w:spacing w:before="0" w:after="12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color w:val="00000A"/>
          <w:sz w:val="24"/>
          <w:szCs w:val="24"/>
        </w:rPr>
        <w:t>Raport z postępu rzeczowo-finansowego projektu informatycznego</w:t>
      </w:r>
    </w:p>
    <w:p w:rsidR="005C2672" w:rsidRDefault="00327A87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 xml:space="preserve">za </w:t>
      </w:r>
      <w:r w:rsidR="00040E66">
        <w:rPr>
          <w:rFonts w:ascii="Arial" w:hAnsi="Arial" w:cs="Arial"/>
          <w:b/>
          <w:color w:val="00000A"/>
          <w:sz w:val="24"/>
          <w:szCs w:val="24"/>
        </w:rPr>
        <w:t xml:space="preserve">IV </w:t>
      </w:r>
      <w:r>
        <w:rPr>
          <w:rFonts w:ascii="Arial" w:hAnsi="Arial" w:cs="Arial"/>
          <w:b/>
          <w:color w:val="00000A"/>
          <w:sz w:val="24"/>
          <w:szCs w:val="24"/>
        </w:rPr>
        <w:t>kwartał 2020 roku</w:t>
      </w:r>
    </w:p>
    <w:tbl>
      <w:tblPr>
        <w:tblW w:w="90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8"/>
        <w:gridCol w:w="6373"/>
      </w:tblGrid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  <w:r w:rsidR="00385099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 Sportu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:rsidR="005C2672" w:rsidRDefault="00327A87">
            <w:pPr>
              <w:pStyle w:val="Standard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Dofinansowanie z:</w:t>
            </w:r>
          </w:p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Okres realizacji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0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data rozpoczęcia realizacji projektu: 01/01/2018</w:t>
            </w:r>
          </w:p>
          <w:p w:rsidR="005C2672" w:rsidRDefault="00327A87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:rsidR="005C2672" w:rsidRDefault="00327A87">
      <w:pPr>
        <w:pStyle w:val="Nagwek2"/>
        <w:numPr>
          <w:ilvl w:val="0"/>
          <w:numId w:val="23"/>
        </w:numPr>
        <w:spacing w:before="360"/>
        <w:ind w:right="282"/>
      </w:pPr>
      <w:r>
        <w:rPr>
          <w:rFonts w:ascii="Arial" w:hAnsi="Arial" w:cs="Arial"/>
          <w:b/>
          <w:color w:val="00000A"/>
          <w:sz w:val="24"/>
          <w:szCs w:val="24"/>
        </w:rPr>
        <w:t>Otoczenie prawne</w:t>
      </w:r>
    </w:p>
    <w:p w:rsidR="005C2672" w:rsidRDefault="00327A87">
      <w:pPr>
        <w:pStyle w:val="Standard"/>
        <w:spacing w:after="0" w:line="240" w:lineRule="auto"/>
        <w:ind w:left="-426" w:right="-568" w:hanging="284"/>
        <w:jc w:val="both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5C2672" w:rsidRDefault="00327A87">
      <w:pPr>
        <w:pStyle w:val="Standard"/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:rsidR="005C2672" w:rsidRDefault="00327A87">
      <w:pPr>
        <w:pStyle w:val="Standard"/>
        <w:spacing w:after="0" w:line="240" w:lineRule="auto"/>
        <w:ind w:left="-426" w:right="-568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:rsidR="005C2672" w:rsidRDefault="005C2672">
      <w:pPr>
        <w:pStyle w:val="Standard"/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5C2672" w:rsidRDefault="00327A87">
      <w:pPr>
        <w:pStyle w:val="Nagwek2"/>
        <w:numPr>
          <w:ilvl w:val="0"/>
          <w:numId w:val="19"/>
        </w:num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W w:w="10614" w:type="dxa"/>
        <w:tblInd w:w="-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3971"/>
        <w:gridCol w:w="3843"/>
      </w:tblGrid>
      <w:tr w:rsidR="005C2672">
        <w:trPr>
          <w:tblHeader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20"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C2672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8A54C6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100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Pr="00FE2BEC" w:rsidRDefault="00775F27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</w:pPr>
            <w:r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  <w:r w:rsidR="0006352D"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06352D"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  <w:r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  <w:r w:rsidR="00327A87"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  <w:r w:rsidR="00FE2BEC"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5C2672" w:rsidRPr="00FE2BEC" w:rsidRDefault="005A733F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67,07</w:t>
            </w:r>
            <w:r w:rsidR="00327A87" w:rsidRPr="00FE2BEC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  <w:p w:rsidR="00775F27" w:rsidRPr="00FE2BEC" w:rsidRDefault="0006352D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</w:pPr>
            <w:r w:rsidRPr="00FE2BEC">
              <w:t>81,96</w:t>
            </w:r>
            <w:r w:rsidR="00384E8C" w:rsidRPr="00FE2BEC">
              <w:t>%</w:t>
            </w:r>
            <w:r w:rsidRPr="00FE2BEC">
              <w:t xml:space="preserve"> </w:t>
            </w:r>
          </w:p>
          <w:p w:rsidR="005C2672" w:rsidRDefault="005C2672" w:rsidP="002838A4">
            <w:pPr>
              <w:pStyle w:val="Standard"/>
              <w:spacing w:before="100" w:after="0" w:line="240" w:lineRule="auto"/>
            </w:pP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  <w:r w:rsidR="00775F27">
              <w:rPr>
                <w:rFonts w:ascii="Arial" w:eastAsia="Arial" w:hAnsi="Arial" w:cs="Arial"/>
                <w:color w:val="000000"/>
                <w:sz w:val="18"/>
                <w:szCs w:val="18"/>
              </w:rPr>
              <w:t>5,27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5C2672" w:rsidRDefault="00327A87">
      <w:pPr>
        <w:pStyle w:val="Nagwek3"/>
        <w:spacing w:after="20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3. Postęp rzeczowy</w:t>
      </w:r>
    </w:p>
    <w:p w:rsidR="005C2672" w:rsidRDefault="00327A87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32" w:type="dxa"/>
        <w:tblInd w:w="-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8"/>
        <w:gridCol w:w="1820"/>
        <w:gridCol w:w="1285"/>
        <w:gridCol w:w="1366"/>
        <w:gridCol w:w="3673"/>
      </w:tblGrid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Rozpoczęcie instalowania sprzętu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digitalizacyjnego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D5202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1 -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1,00 szt.</w:t>
            </w:r>
          </w:p>
          <w:p w:rsidR="005C2672" w:rsidRDefault="00D5202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2 -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19068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3 -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60 000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6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7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12,00 TB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8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0,15 TB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9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1531C6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1531C6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FF2EDE">
        <w:trPr>
          <w:trHeight w:val="373"/>
        </w:trPr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B3F47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osiągnięty*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Stan pandemii COVID-19 w Polsce zahamował prace nad digitalizacją na 2 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–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osiągnięty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Kamień milowy bezpośrednio powiązany z kamieniem pn. Digitalizacja zasobów. Opóźnienia w pracach digitalizacyjnych spowodowanych koniecznością przerwania prac przez pandemię COVID-19 skutkują również przedłużeniem prac nad archiwizacją plików, nowy harmonogram pozwala na ukończenie wszystkich prac w terminie realizacji projektu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 złożonej w dniu 22.07.br. do CPPC aktualizacji harmonogramu wyznaczającego kamienie milowe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planowany termin osiągnięcia określono na  12-2020.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Opracowanie metadanych, opisów popularyzatorskich oraz tłumaczeń dla zdigitalizowanych zbiorów do udostępnienia online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Zadanie zrealizowano 21.08.2020.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Opóźnienie w tym zakresie wiązało się z opracowaniem etapu poprzedzającego tj. metadanych opisowych. To zadanie samoistnie zostało podzielone na dwa etapy realizacji z powodu otrzymania ofert na wykonanie tylko dwóch z siedmiu części (30.04.2018) co skutkowało ponownym ogłoszeniem naboru ofert (23.10.2018). Kilkumiesięczne opóźnienie we wskazanym podzadaniu przełożyło się na późniejszy wybór wykonawcy tłumaczeń.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 opóźnienie miało tez wpływ skontrum,a więc kontrola stanu zabytków w odniesieniu do dokumentacji ewidencyjnej w Zbiorach Ikonograficznych i Fotograficznych (korekty w zapisach rekordów musiały być naniesione przed przekazaniem danych do wykonawcy tłumaczeń, tak aby nie powielać błędów w serwisie Internetowym).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Ponadto, z powodu pandemii COVID-19, która ograniczyła dostęp do wzajemnej współpracy i katalogów muzealnych nastąpiła konieczność aneksowania umowy z Wykonawcą tłumaczeń metadanych opisowych w zakresie terminu realizacji umowy.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Zaistniała sytuacja została przedstawiona Instytucji Pośredniczącej (CPPC) w dniu 22 lipca br. poprzez aktualizację Harmonogramu Kamieni milowych - planowany termin osiągnięcia określono na  08-2020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Pr="002838A4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2838A4"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Protokół odbioru podpisano dnia 2.09.2020, niewielkie przekroczenie terminu wynika z późnego ogłoszenia wyników postępowania przetargowego w 2019 r. (wiele pytań potencjalnych wykonawców, dwa postępowania w Krajowej Izbie Odwoławczej); umowa z wykonawcą została podpisana 3.09.2019 r.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09-2020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</w:t>
            </w:r>
            <w:bookmarkStart w:id="1" w:name="Bookmark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 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15.10.2020 nastąpi uroczysta inauguracja nowego serwisu. Opóźnienie w tym zakresie spowodowane zostało przesunięciem w pracach digitalizacyjnych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(z powodu pandemii COVID-19), a także koniecznością wykonania audytu pod względem dostępności, który został zakończony 14.09.2020.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</w:t>
            </w:r>
            <w:r w:rsidR="00F75B60">
              <w:rPr>
                <w:rFonts w:ascii="Arial" w:eastAsia="Arial" w:hAnsi="Arial" w:cs="Arial"/>
                <w:color w:val="000000"/>
                <w:sz w:val="18"/>
                <w:szCs w:val="18"/>
              </w:rPr>
              <w:t>0-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Informacja i promocja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8B3F47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  <w:p w:rsidR="001F4A8F" w:rsidRDefault="001F4A8F" w:rsidP="008B3F4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Wprowadzony na obszarze Rzeczypospolitej Polskiej stan epidemii spowodowany wirusem SARS-CoC-2 wpłynął na szereg uprzednio zaplanowanych działań projektowych oraz innych wydarzeń promocyjnych powodując potrzebę prolongaty działań przewidzianych uprzednio w harmonogramie</w:t>
            </w:r>
            <w:r w:rsidR="00F75B6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</w:t>
            </w:r>
            <w:r w:rsidR="009F6BD3"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8B3F4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</w:tbl>
    <w:p w:rsidR="005C2672" w:rsidRDefault="00327A87">
      <w:pPr>
        <w:pStyle w:val="Standard"/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* </w:t>
      </w:r>
      <w:r>
        <w:rPr>
          <w:rFonts w:ascii="Arial" w:eastAsia="Arial" w:hAnsi="Arial" w:cs="Arial"/>
          <w:b/>
          <w:color w:val="000000"/>
          <w:sz w:val="18"/>
          <w:szCs w:val="18"/>
        </w:rPr>
        <w:t>UWAGA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W kolumnie „Status realizacji kamienia milowego” przy zadaniach, w których widniały przekroczenia terminów osiągnięcia zadania dodano uzasadnienie z ww. harmonogramu do Aneksu.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Ponadto, w związku ze zbliżającym się terminem realizacji końcowej projektu „Otwarte Narodowe. Digitalizacja i udostępnianie zbiorów Muzeum Narodowego w Warszawie” oraz z powodu wprowadzenia na obszarze Rzeczypospolitej Polskiej stanu epidemii spowodowanego zakażeniami koronawirusem (COVID-19) w miesiącu marzec br. zaistniała konieczność aktualizacji Harmonogramu wyznaczającego Kamienie milowe. W związku z tym, w dniu 22 lipca br. przedłożono do CPPC pełną dokumentację w tej sprawie (szczegółowe uzasadnienie zawarto w harmonogramie przy poszczególnych zadaniach).</w:t>
      </w:r>
    </w:p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178" w:type="dxa"/>
        <w:tblInd w:w="-7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1"/>
        <w:gridCol w:w="851"/>
        <w:gridCol w:w="1274"/>
        <w:gridCol w:w="1701"/>
        <w:gridCol w:w="2271"/>
      </w:tblGrid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zdigitalizowanych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9F6BD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20 019,00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61134</w:t>
            </w:r>
          </w:p>
        </w:tc>
      </w:tr>
      <w:tr w:rsidR="005C2672">
        <w:trPr>
          <w:trHeight w:val="34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pobrań/odtworzeń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12E9E" w:rsidP="00512E9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/202</w:t>
            </w:r>
            <w:r w:rsidR="009F6BD3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942FA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106 870,00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9F6BD3" w:rsidP="009F6BD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bookmarkStart w:id="2" w:name="Bookmark1"/>
            <w:bookmarkEnd w:id="2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 w:rsidR="000A77D7">
              <w:rPr>
                <w:rFonts w:ascii="Arial" w:eastAsia="Arial" w:hAnsi="Arial" w:cs="Arial"/>
                <w:color w:val="000000"/>
                <w:sz w:val="18"/>
                <w:szCs w:val="18"/>
              </w:rPr>
              <w:t>,15</w:t>
            </w:r>
          </w:p>
        </w:tc>
      </w:tr>
      <w:tr w:rsidR="005C2672">
        <w:trPr>
          <w:trHeight w:val="41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5C2672" w:rsidRDefault="00327A87">
      <w:pPr>
        <w:pStyle w:val="Nagwek2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00000A"/>
        </w:rPr>
        <w:t xml:space="preserve"> 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>NIE DOTYCZY</w:t>
      </w:r>
    </w:p>
    <w:p w:rsidR="005C2672" w:rsidRDefault="00327A87">
      <w:pPr>
        <w:pStyle w:val="Nagwek2"/>
        <w:numPr>
          <w:ilvl w:val="0"/>
          <w:numId w:val="19"/>
        </w:numPr>
        <w:spacing w:before="360"/>
      </w:pPr>
      <w:r>
        <w:rPr>
          <w:rStyle w:val="Nagwek3Znak"/>
          <w:rFonts w:ascii="Arial" w:hAnsi="Arial" w:cs="Arial"/>
          <w:b/>
          <w:color w:val="00000A"/>
        </w:rPr>
        <w:t>Udostępnione informacje sektora publicznego i zdigitalizowane zasoby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sz w:val="18"/>
                <w:szCs w:val="18"/>
              </w:rPr>
              <w:t xml:space="preserve"> (Serwis internetowy Cyfrowe Muzeum Narodowe w Warszawie)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Bez zmian</w:t>
            </w:r>
          </w:p>
        </w:tc>
      </w:tr>
    </w:tbl>
    <w:p w:rsidR="005C2672" w:rsidRDefault="00327A87">
      <w:pPr>
        <w:pStyle w:val="Nagwek3"/>
        <w:numPr>
          <w:ilvl w:val="0"/>
          <w:numId w:val="19"/>
        </w:numPr>
        <w:spacing w:before="36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Dzięki otwartemu API możliwa będzie współpraca z serwisem i repozytorium KRONIK@.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:rsidR="005C2672" w:rsidRDefault="00327A87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sporządzania wniosku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zarządzania ryzykiem</w:t>
            </w:r>
          </w:p>
        </w:tc>
      </w:tr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Wymiarowanie systemu informatycznego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NIE DOTYCZY</w:t>
      </w:r>
    </w:p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 w:history="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:rsidR="005C2672" w:rsidRDefault="005C2672">
      <w:pPr>
        <w:pStyle w:val="Standard"/>
        <w:spacing w:after="0"/>
        <w:jc w:val="both"/>
      </w:pPr>
    </w:p>
    <w:sectPr w:rsidR="005C2672">
      <w:footerReference w:type="default" r:id="rId9"/>
      <w:pgSz w:w="11906" w:h="16838"/>
      <w:pgMar w:top="1076" w:right="1427" w:bottom="1427" w:left="1428" w:header="708" w:footer="719" w:gutter="0"/>
      <w:pgBorders w:offsetFrom="page">
        <w:top w:val="single" w:sz="4" w:space="6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6F" w:rsidRDefault="00E8566F">
      <w:pPr>
        <w:spacing w:after="0" w:line="240" w:lineRule="auto"/>
      </w:pPr>
      <w:r>
        <w:separator/>
      </w:r>
    </w:p>
  </w:endnote>
  <w:endnote w:type="continuationSeparator" w:id="0">
    <w:p w:rsidR="00E8566F" w:rsidRDefault="00E8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charset w:val="00"/>
    <w:family w:val="auto"/>
    <w:pitch w:val="default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3B4" w:rsidRDefault="00327A87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610B7B">
      <w:rPr>
        <w:noProof/>
      </w:rPr>
      <w:t>1</w:t>
    </w:r>
    <w:r>
      <w:fldChar w:fldCharType="end"/>
    </w:r>
    <w:r>
      <w:t xml:space="preserve"> z </w:t>
    </w:r>
    <w:r>
      <w:rPr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6F" w:rsidRDefault="00E8566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8566F" w:rsidRDefault="00E8566F">
      <w:pPr>
        <w:spacing w:after="0" w:line="240" w:lineRule="auto"/>
      </w:pPr>
      <w:r>
        <w:continuationSeparator/>
      </w:r>
    </w:p>
  </w:footnote>
  <w:footnote w:id="1">
    <w:p w:rsidR="005C2672" w:rsidRDefault="00327A87">
      <w:pPr>
        <w:pStyle w:val="Standard"/>
        <w:spacing w:after="0" w:line="240" w:lineRule="auto"/>
      </w:pPr>
      <w:r>
        <w:rPr>
          <w:rStyle w:val="Odwoanieprzypisudolnego"/>
        </w:rPr>
        <w:footnoteRef/>
      </w:r>
      <w:r>
        <w:rPr>
          <w:rFonts w:eastAsia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637"/>
    <w:multiLevelType w:val="multilevel"/>
    <w:tmpl w:val="BDE2FFD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1EC37AA"/>
    <w:multiLevelType w:val="multilevel"/>
    <w:tmpl w:val="79F4F17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8F35C26"/>
    <w:multiLevelType w:val="multilevel"/>
    <w:tmpl w:val="BCE2D88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D465099"/>
    <w:multiLevelType w:val="multilevel"/>
    <w:tmpl w:val="64DA5B6A"/>
    <w:styleLink w:val="WWNum21"/>
    <w:lvl w:ilvl="0">
      <w:numFmt w:val="bullet"/>
      <w:lvlText w:val="−"/>
      <w:lvlJc w:val="left"/>
      <w:pPr>
        <w:ind w:left="720" w:hanging="360"/>
      </w:pPr>
      <w:rPr>
        <w:rFonts w:eastAsia="Noto Sans Symbols" w:cs="Noto Sans Symbols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▪"/>
      <w:lvlJc w:val="left"/>
      <w:pPr>
        <w:ind w:left="2160" w:hanging="360"/>
      </w:pPr>
      <w:rPr>
        <w:rFonts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▪"/>
      <w:lvlJc w:val="left"/>
      <w:pPr>
        <w:ind w:left="4320" w:hanging="360"/>
      </w:pPr>
      <w:rPr>
        <w:rFonts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▪"/>
      <w:lvlJc w:val="left"/>
      <w:pPr>
        <w:ind w:left="6480" w:hanging="360"/>
      </w:pPr>
      <w:rPr>
        <w:rFonts w:eastAsia="Noto Sans Symbols" w:cs="Noto Sans Symbols"/>
      </w:rPr>
    </w:lvl>
  </w:abstractNum>
  <w:abstractNum w:abstractNumId="4" w15:restartNumberingAfterBreak="0">
    <w:nsid w:val="1FE2512F"/>
    <w:multiLevelType w:val="multilevel"/>
    <w:tmpl w:val="8904EB68"/>
    <w:styleLink w:val="WWNum2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5" w15:restartNumberingAfterBreak="0">
    <w:nsid w:val="228E670C"/>
    <w:multiLevelType w:val="multilevel"/>
    <w:tmpl w:val="22BA8E4E"/>
    <w:styleLink w:val="WWNum9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703429"/>
    <w:multiLevelType w:val="multilevel"/>
    <w:tmpl w:val="720A4F7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C185B74"/>
    <w:multiLevelType w:val="multilevel"/>
    <w:tmpl w:val="547EE522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0EE5F5C"/>
    <w:multiLevelType w:val="multilevel"/>
    <w:tmpl w:val="1DD01AAE"/>
    <w:styleLink w:val="WWNum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38C513F5"/>
    <w:multiLevelType w:val="multilevel"/>
    <w:tmpl w:val="844A813E"/>
    <w:styleLink w:val="WWNum13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3F6376A3"/>
    <w:multiLevelType w:val="multilevel"/>
    <w:tmpl w:val="2556D690"/>
    <w:styleLink w:val="WWNum15"/>
    <w:lvl w:ilvl="0">
      <w:start w:val="3"/>
      <w:numFmt w:val="decimal"/>
      <w:lvlText w:val="%1."/>
      <w:lvlJc w:val="left"/>
      <w:pPr>
        <w:ind w:left="136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1" w15:restartNumberingAfterBreak="0">
    <w:nsid w:val="46091749"/>
    <w:multiLevelType w:val="multilevel"/>
    <w:tmpl w:val="EE609C7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C95480D"/>
    <w:multiLevelType w:val="multilevel"/>
    <w:tmpl w:val="A9FA7D32"/>
    <w:styleLink w:val="WWNum14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D823FA2"/>
    <w:multiLevelType w:val="multilevel"/>
    <w:tmpl w:val="D5FEF824"/>
    <w:styleLink w:val="WWNum20"/>
    <w:lvl w:ilvl="0">
      <w:numFmt w:val="bullet"/>
      <w:lvlText w:val=""/>
      <w:lvlJc w:val="left"/>
      <w:pPr>
        <w:ind w:left="754" w:hanging="360"/>
      </w:pPr>
    </w:lvl>
    <w:lvl w:ilvl="1">
      <w:numFmt w:val="bullet"/>
      <w:lvlText w:val="o"/>
      <w:lvlJc w:val="left"/>
      <w:pPr>
        <w:ind w:left="1474" w:hanging="360"/>
      </w:pPr>
      <w:rPr>
        <w:rFonts w:cs="Courier New"/>
      </w:rPr>
    </w:lvl>
    <w:lvl w:ilvl="2">
      <w:numFmt w:val="bullet"/>
      <w:lvlText w:val=""/>
      <w:lvlJc w:val="left"/>
      <w:pPr>
        <w:ind w:left="2194" w:hanging="360"/>
      </w:pPr>
    </w:lvl>
    <w:lvl w:ilvl="3">
      <w:numFmt w:val="bullet"/>
      <w:lvlText w:val=""/>
      <w:lvlJc w:val="left"/>
      <w:pPr>
        <w:ind w:left="2914" w:hanging="360"/>
      </w:pPr>
    </w:lvl>
    <w:lvl w:ilvl="4">
      <w:numFmt w:val="bullet"/>
      <w:lvlText w:val="o"/>
      <w:lvlJc w:val="left"/>
      <w:pPr>
        <w:ind w:left="3634" w:hanging="360"/>
      </w:pPr>
      <w:rPr>
        <w:rFonts w:cs="Courier New"/>
      </w:rPr>
    </w:lvl>
    <w:lvl w:ilvl="5">
      <w:numFmt w:val="bullet"/>
      <w:lvlText w:val=""/>
      <w:lvlJc w:val="left"/>
      <w:pPr>
        <w:ind w:left="4354" w:hanging="360"/>
      </w:pPr>
    </w:lvl>
    <w:lvl w:ilvl="6">
      <w:numFmt w:val="bullet"/>
      <w:lvlText w:val=""/>
      <w:lvlJc w:val="left"/>
      <w:pPr>
        <w:ind w:left="5074" w:hanging="360"/>
      </w:pPr>
    </w:lvl>
    <w:lvl w:ilvl="7">
      <w:numFmt w:val="bullet"/>
      <w:lvlText w:val="o"/>
      <w:lvlJc w:val="left"/>
      <w:pPr>
        <w:ind w:left="5794" w:hanging="360"/>
      </w:pPr>
      <w:rPr>
        <w:rFonts w:cs="Courier New"/>
      </w:rPr>
    </w:lvl>
    <w:lvl w:ilvl="8">
      <w:numFmt w:val="bullet"/>
      <w:lvlText w:val=""/>
      <w:lvlJc w:val="left"/>
      <w:pPr>
        <w:ind w:left="6514" w:hanging="360"/>
      </w:pPr>
    </w:lvl>
  </w:abstractNum>
  <w:abstractNum w:abstractNumId="14" w15:restartNumberingAfterBreak="0">
    <w:nsid w:val="589D3E8E"/>
    <w:multiLevelType w:val="multilevel"/>
    <w:tmpl w:val="01BAA30A"/>
    <w:styleLink w:val="WWNum3"/>
    <w:lvl w:ilvl="0">
      <w:start w:val="1"/>
      <w:numFmt w:val="lowerLetter"/>
      <w:lvlText w:val="%1."/>
      <w:lvlJc w:val="left"/>
      <w:pPr>
        <w:ind w:left="180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5" w15:restartNumberingAfterBreak="0">
    <w:nsid w:val="61DF7FB3"/>
    <w:multiLevelType w:val="multilevel"/>
    <w:tmpl w:val="AB2642CE"/>
    <w:styleLink w:val="WWNum5"/>
    <w:lvl w:ilvl="0">
      <w:numFmt w:val="bullet"/>
      <w:lvlText w:val=""/>
      <w:lvlJc w:val="left"/>
      <w:pPr>
        <w:ind w:left="720" w:hanging="360"/>
      </w:pPr>
      <w:rPr>
        <w:rFonts w:cs="F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6AA469A6"/>
    <w:multiLevelType w:val="multilevel"/>
    <w:tmpl w:val="99365732"/>
    <w:styleLink w:val="WWNum10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0BA4E1F"/>
    <w:multiLevelType w:val="multilevel"/>
    <w:tmpl w:val="7F92629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0E5FAE"/>
    <w:multiLevelType w:val="multilevel"/>
    <w:tmpl w:val="BF223250"/>
    <w:styleLink w:val="WWNum1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777222FE"/>
    <w:multiLevelType w:val="multilevel"/>
    <w:tmpl w:val="4A6459EA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E1D7AAF"/>
    <w:multiLevelType w:val="multilevel"/>
    <w:tmpl w:val="CC36B9E4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F"/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8"/>
  </w:num>
  <w:num w:numId="9">
    <w:abstractNumId w:val="5"/>
  </w:num>
  <w:num w:numId="10">
    <w:abstractNumId w:val="16"/>
  </w:num>
  <w:num w:numId="11">
    <w:abstractNumId w:val="11"/>
  </w:num>
  <w:num w:numId="12">
    <w:abstractNumId w:val="19"/>
  </w:num>
  <w:num w:numId="13">
    <w:abstractNumId w:val="9"/>
  </w:num>
  <w:num w:numId="14">
    <w:abstractNumId w:val="12"/>
  </w:num>
  <w:num w:numId="15">
    <w:abstractNumId w:val="10"/>
  </w:num>
  <w:num w:numId="16">
    <w:abstractNumId w:val="21"/>
  </w:num>
  <w:num w:numId="17">
    <w:abstractNumId w:val="20"/>
  </w:num>
  <w:num w:numId="18">
    <w:abstractNumId w:val="17"/>
  </w:num>
  <w:num w:numId="19">
    <w:abstractNumId w:val="0"/>
  </w:num>
  <w:num w:numId="20">
    <w:abstractNumId w:val="13"/>
  </w:num>
  <w:num w:numId="21">
    <w:abstractNumId w:val="3"/>
  </w:num>
  <w:num w:numId="22">
    <w:abstractNumId w:val="7"/>
  </w:num>
  <w:num w:numId="23">
    <w:abstractNumId w:val="0"/>
    <w:lvlOverride w:ilvl="0">
      <w:startOverride w:val="1"/>
    </w:lvlOverride>
  </w:num>
  <w:num w:numId="2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2"/>
    <w:rsid w:val="00040E66"/>
    <w:rsid w:val="0006352D"/>
    <w:rsid w:val="000A77D7"/>
    <w:rsid w:val="0012502C"/>
    <w:rsid w:val="001531C6"/>
    <w:rsid w:val="001F4A8F"/>
    <w:rsid w:val="002838A4"/>
    <w:rsid w:val="00327A87"/>
    <w:rsid w:val="00384E8C"/>
    <w:rsid w:val="00385099"/>
    <w:rsid w:val="003942FA"/>
    <w:rsid w:val="003D1502"/>
    <w:rsid w:val="00512E9E"/>
    <w:rsid w:val="005A733F"/>
    <w:rsid w:val="005C2672"/>
    <w:rsid w:val="00610B7B"/>
    <w:rsid w:val="00750CD4"/>
    <w:rsid w:val="00775F27"/>
    <w:rsid w:val="008A54C6"/>
    <w:rsid w:val="008B3F47"/>
    <w:rsid w:val="009F6BD3"/>
    <w:rsid w:val="00D5202E"/>
    <w:rsid w:val="00E8566F"/>
    <w:rsid w:val="00F75B60"/>
    <w:rsid w:val="00FE2BEC"/>
    <w:rsid w:val="00F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FDAE2-D7A8-44EA-AEEF-D6692AB4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BodyText1Char">
    <w:name w:val="Body Text 1 Char"/>
    <w:basedOn w:val="Domylnaczcionkaakapitu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</w:style>
  <w:style w:type="character" w:customStyle="1" w:styleId="ListLabel1">
    <w:name w:val="ListLabel 1"/>
    <w:rPr>
      <w:i w:val="0"/>
      <w:color w:val="00000A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 Light"/>
      <w:i w:val="0"/>
      <w:sz w:val="22"/>
      <w:szCs w:val="22"/>
    </w:rPr>
  </w:style>
  <w:style w:type="character" w:customStyle="1" w:styleId="ListLabel5">
    <w:name w:val="ListLabel 5"/>
    <w:rPr>
      <w:rFonts w:cs="F"/>
      <w:b/>
      <w:i w:val="0"/>
      <w:color w:val="0070C0"/>
    </w:rPr>
  </w:style>
  <w:style w:type="character" w:customStyle="1" w:styleId="ListLabel6">
    <w:name w:val="ListLabel 6"/>
    <w:rPr>
      <w:rFonts w:cs="F"/>
      <w:b/>
      <w:i w:val="0"/>
      <w:color w:val="2E74B5"/>
      <w:sz w:val="26"/>
      <w:szCs w:val="26"/>
    </w:rPr>
  </w:style>
  <w:style w:type="character" w:customStyle="1" w:styleId="ListLabel7">
    <w:name w:val="ListLabel 7"/>
    <w:rPr>
      <w:b/>
      <w:i w:val="0"/>
      <w:color w:val="2E74B5"/>
      <w:sz w:val="26"/>
      <w:szCs w:val="26"/>
    </w:rPr>
  </w:style>
  <w:style w:type="character" w:customStyle="1" w:styleId="ListLabel8">
    <w:name w:val="ListLabel 8"/>
    <w:rPr>
      <w:b/>
      <w:i w:val="0"/>
      <w:color w:val="00000A"/>
      <w:sz w:val="26"/>
      <w:szCs w:val="26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BAFD-7AF7-407A-869E-6346B73A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Tabak</dc:creator>
  <cp:lastModifiedBy>Krzysztof Guzowski</cp:lastModifiedBy>
  <cp:revision>2</cp:revision>
  <dcterms:created xsi:type="dcterms:W3CDTF">2021-03-04T14:16:00Z</dcterms:created>
  <dcterms:modified xsi:type="dcterms:W3CDTF">2021-03-04T14:16:00Z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