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14422" w14:textId="77777777" w:rsidR="00454069" w:rsidRPr="00E224E8" w:rsidRDefault="001B181B" w:rsidP="001B181B">
      <w:pPr>
        <w:spacing w:before="0" w:after="0"/>
        <w:rPr>
          <w:rFonts w:eastAsia="Calibri" w:cs="Arial"/>
          <w:b/>
          <w:sz w:val="24"/>
          <w:szCs w:val="24"/>
          <w:lang w:val="en-GB"/>
        </w:rPr>
      </w:pPr>
      <w:bookmarkStart w:id="0" w:name="_GoBack"/>
      <w:bookmarkEnd w:id="0"/>
      <w:r w:rsidRPr="00E224E8">
        <w:rPr>
          <w:rFonts w:eastAsia="Calibri" w:cs="Arial"/>
          <w:b/>
          <w:sz w:val="24"/>
          <w:szCs w:val="24"/>
          <w:lang w:val="en-GB"/>
        </w:rPr>
        <w:t xml:space="preserve">Annex 6 </w:t>
      </w:r>
      <w:r w:rsidR="00454069" w:rsidRPr="00E224E8">
        <w:rPr>
          <w:rFonts w:cs="Arial"/>
          <w:b/>
          <w:sz w:val="24"/>
          <w:szCs w:val="24"/>
          <w:lang w:val="en-GB"/>
        </w:rPr>
        <w:t>to Proposal Manual</w:t>
      </w:r>
      <w:r w:rsidR="00454069" w:rsidRPr="00E224E8">
        <w:rPr>
          <w:rFonts w:eastAsia="Calibri" w:cs="Arial"/>
          <w:b/>
          <w:sz w:val="24"/>
          <w:szCs w:val="24"/>
          <w:lang w:val="en-GB"/>
        </w:rPr>
        <w:t xml:space="preserve"> </w:t>
      </w:r>
    </w:p>
    <w:p w14:paraId="017FB854" w14:textId="01897D89" w:rsidR="001B181B" w:rsidRPr="00E224E8" w:rsidRDefault="001B181B" w:rsidP="001B181B">
      <w:pPr>
        <w:spacing w:before="0" w:after="0"/>
        <w:rPr>
          <w:rFonts w:ascii="Calibri" w:eastAsia="Calibri" w:hAnsi="Calibri"/>
          <w:i/>
          <w:sz w:val="19"/>
          <w:szCs w:val="19"/>
          <w:lang w:val="en-GB"/>
        </w:rPr>
      </w:pPr>
      <w:r w:rsidRPr="00E224E8">
        <w:rPr>
          <w:rFonts w:cs="Arial"/>
          <w:b/>
          <w:sz w:val="24"/>
          <w:szCs w:val="24"/>
          <w:lang w:val="en-GB"/>
        </w:rPr>
        <w:t xml:space="preserve">CV </w:t>
      </w:r>
      <w:r w:rsidRPr="00E224E8">
        <w:rPr>
          <w:rFonts w:eastAsia="Calibri" w:cs="Arial"/>
          <w:b/>
          <w:sz w:val="24"/>
          <w:szCs w:val="24"/>
          <w:lang w:val="en-GB"/>
        </w:rPr>
        <w:t>template</w:t>
      </w:r>
      <w:r w:rsidR="00C738BE">
        <w:rPr>
          <w:rStyle w:val="Odwoanieprzypisukocowego"/>
          <w:rFonts w:eastAsia="Calibri" w:cs="Arial"/>
          <w:b/>
          <w:sz w:val="24"/>
          <w:szCs w:val="24"/>
          <w:lang w:val="en-GB"/>
        </w:rPr>
        <w:endnoteReference w:id="1"/>
      </w:r>
      <w:r w:rsidRPr="00E224E8">
        <w:rPr>
          <w:rFonts w:ascii="Calibri" w:eastAsia="Calibri" w:hAnsi="Calibri"/>
          <w:i/>
          <w:sz w:val="19"/>
          <w:szCs w:val="19"/>
          <w:lang w:val="en-GB"/>
        </w:rPr>
        <w:t xml:space="preserve"> </w:t>
      </w:r>
    </w:p>
    <w:p w14:paraId="1BCF1841" w14:textId="77777777" w:rsidR="001B181B" w:rsidRPr="00E224E8" w:rsidRDefault="0008536C" w:rsidP="001B181B">
      <w:pPr>
        <w:spacing w:before="0" w:after="0"/>
        <w:jc w:val="both"/>
        <w:rPr>
          <w:rFonts w:ascii="Calibri" w:eastAsia="Calibri" w:hAnsi="Calibri" w:cs="Calibri"/>
          <w:b/>
          <w:sz w:val="19"/>
          <w:szCs w:val="19"/>
          <w:lang w:val="en-GB"/>
        </w:rPr>
      </w:pPr>
      <w:r w:rsidRPr="00E224E8">
        <w:rPr>
          <w:rFonts w:asciiTheme="minorHAnsi" w:hAnsiTheme="minorHAnsi" w:cstheme="minorHAnsi"/>
          <w:i/>
          <w:sz w:val="19"/>
          <w:szCs w:val="19"/>
          <w:lang w:val="en-GB"/>
        </w:rPr>
        <w:t>A</w:t>
      </w:r>
      <w:r w:rsidR="00DF2899" w:rsidRPr="00E224E8">
        <w:rPr>
          <w:rFonts w:asciiTheme="minorHAnsi" w:hAnsiTheme="minorHAnsi" w:cstheme="minorHAnsi"/>
          <w:i/>
          <w:sz w:val="19"/>
          <w:szCs w:val="19"/>
          <w:lang w:val="en-GB"/>
        </w:rPr>
        <w:t xml:space="preserve"> </w:t>
      </w:r>
      <w:r w:rsidR="001B181B" w:rsidRPr="00E224E8">
        <w:rPr>
          <w:rFonts w:asciiTheme="minorHAnsi" w:hAnsiTheme="minorHAnsi" w:cstheme="minorHAnsi"/>
          <w:i/>
          <w:sz w:val="19"/>
          <w:szCs w:val="19"/>
          <w:lang w:val="en-GB"/>
        </w:rPr>
        <w:t>separate file in pdf format</w:t>
      </w:r>
      <w:r w:rsidRPr="00E224E8">
        <w:rPr>
          <w:rFonts w:asciiTheme="minorHAnsi" w:hAnsiTheme="minorHAnsi" w:cstheme="minorHAnsi"/>
          <w:i/>
          <w:sz w:val="19"/>
          <w:szCs w:val="19"/>
          <w:lang w:val="en-GB"/>
        </w:rPr>
        <w:t xml:space="preserve"> (max. </w:t>
      </w:r>
      <w:r w:rsidR="000D2353" w:rsidRPr="00E224E8">
        <w:rPr>
          <w:rFonts w:asciiTheme="minorHAnsi" w:hAnsiTheme="minorHAnsi" w:cstheme="minorHAnsi"/>
          <w:i/>
          <w:sz w:val="19"/>
          <w:szCs w:val="19"/>
          <w:lang w:val="en-GB"/>
        </w:rPr>
        <w:t>3</w:t>
      </w:r>
      <w:r w:rsidRPr="00E224E8">
        <w:rPr>
          <w:rFonts w:asciiTheme="minorHAnsi" w:hAnsiTheme="minorHAnsi" w:cstheme="minorHAnsi"/>
          <w:i/>
          <w:sz w:val="19"/>
          <w:szCs w:val="19"/>
          <w:lang w:val="en-GB"/>
        </w:rPr>
        <w:t xml:space="preserve"> page) for each CV of </w:t>
      </w:r>
      <w:r w:rsidRPr="00E224E8">
        <w:rPr>
          <w:rFonts w:ascii="Calibri" w:eastAsia="Calibri" w:hAnsi="Calibri"/>
          <w:i/>
          <w:sz w:val="19"/>
          <w:szCs w:val="19"/>
          <w:lang w:val="en-GB"/>
        </w:rPr>
        <w:t>PI and work packages leaders only.</w:t>
      </w:r>
      <w:r w:rsidR="004319DB" w:rsidRPr="00E224E8">
        <w:rPr>
          <w:rFonts w:ascii="Calibri" w:eastAsia="Calibri" w:hAnsi="Calibri"/>
          <w:i/>
          <w:sz w:val="19"/>
          <w:szCs w:val="19"/>
          <w:lang w:val="en-GB"/>
        </w:rPr>
        <w:t xml:space="preserve"> Arial font size 11, spaces between lines not less than 1,15.</w:t>
      </w:r>
    </w:p>
    <w:tbl>
      <w:tblPr>
        <w:tblStyle w:val="Tabela-Siatka"/>
        <w:tblW w:w="9212" w:type="dxa"/>
        <w:tblLook w:val="04A0" w:firstRow="1" w:lastRow="0" w:firstColumn="1" w:lastColumn="0" w:noHBand="0" w:noVBand="1"/>
      </w:tblPr>
      <w:tblGrid>
        <w:gridCol w:w="1574"/>
        <w:gridCol w:w="7638"/>
      </w:tblGrid>
      <w:tr w:rsidR="001B181B" w:rsidRPr="00E224E8" w14:paraId="7519D776" w14:textId="77777777" w:rsidTr="000D2353">
        <w:tc>
          <w:tcPr>
            <w:tcW w:w="1574" w:type="dxa"/>
            <w:shd w:val="clear" w:color="auto" w:fill="auto"/>
            <w:vAlign w:val="center"/>
          </w:tcPr>
          <w:p w14:paraId="72E22FC2" w14:textId="77777777" w:rsidR="001B181B" w:rsidRPr="00E224E8" w:rsidRDefault="001B181B" w:rsidP="00A520DF">
            <w:pPr>
              <w:pStyle w:val="FNRNormal"/>
              <w:spacing w:before="0" w:after="0" w:line="276" w:lineRule="auto"/>
              <w:rPr>
                <w:sz w:val="22"/>
                <w:lang w:eastAsia="pl-PL"/>
              </w:rPr>
            </w:pPr>
            <w:r w:rsidRPr="00E224E8">
              <w:rPr>
                <w:sz w:val="22"/>
                <w:lang w:eastAsia="pl-PL"/>
              </w:rPr>
              <w:t>Name of researcher</w:t>
            </w:r>
          </w:p>
        </w:tc>
        <w:tc>
          <w:tcPr>
            <w:tcW w:w="7638" w:type="dxa"/>
            <w:shd w:val="clear" w:color="auto" w:fill="auto"/>
          </w:tcPr>
          <w:p w14:paraId="6A4F0904" w14:textId="77777777" w:rsidR="001B181B" w:rsidRPr="00E224E8" w:rsidRDefault="001B181B" w:rsidP="00A520DF">
            <w:pPr>
              <w:spacing w:before="0" w:line="276" w:lineRule="auto"/>
              <w:jc w:val="both"/>
              <w:rPr>
                <w:rFonts w:cs="Arial"/>
                <w:szCs w:val="22"/>
                <w:lang w:val="en-GB"/>
              </w:rPr>
            </w:pPr>
          </w:p>
        </w:tc>
      </w:tr>
      <w:tr w:rsidR="001B181B" w:rsidRPr="00E224E8" w14:paraId="7D81813B" w14:textId="77777777" w:rsidTr="000D2353">
        <w:tc>
          <w:tcPr>
            <w:tcW w:w="1574" w:type="dxa"/>
            <w:shd w:val="clear" w:color="auto" w:fill="auto"/>
            <w:vAlign w:val="center"/>
          </w:tcPr>
          <w:p w14:paraId="7B6BB11D" w14:textId="77777777" w:rsidR="001B181B" w:rsidRPr="00E224E8" w:rsidRDefault="001B181B" w:rsidP="00A520DF">
            <w:pPr>
              <w:pStyle w:val="FNRNormal"/>
              <w:spacing w:before="0" w:after="0" w:line="276" w:lineRule="auto"/>
              <w:rPr>
                <w:sz w:val="22"/>
                <w:lang w:eastAsia="pl-PL"/>
              </w:rPr>
            </w:pPr>
            <w:r w:rsidRPr="00E224E8">
              <w:rPr>
                <w:sz w:val="22"/>
                <w:lang w:val="pl-PL" w:eastAsia="pl-PL"/>
              </w:rPr>
              <w:t xml:space="preserve">Phone, fax, </w:t>
            </w:r>
            <w:r w:rsidRPr="00E224E8">
              <w:rPr>
                <w:sz w:val="22"/>
                <w:lang w:val="de-DE" w:eastAsia="pl-PL"/>
              </w:rPr>
              <w:t>e-mail</w:t>
            </w:r>
          </w:p>
        </w:tc>
        <w:tc>
          <w:tcPr>
            <w:tcW w:w="7638" w:type="dxa"/>
            <w:shd w:val="clear" w:color="auto" w:fill="auto"/>
          </w:tcPr>
          <w:p w14:paraId="6D76B16D" w14:textId="77777777" w:rsidR="001B181B" w:rsidRPr="00E224E8" w:rsidRDefault="001B181B" w:rsidP="00A520DF">
            <w:pPr>
              <w:spacing w:before="0" w:line="276" w:lineRule="auto"/>
              <w:jc w:val="both"/>
              <w:rPr>
                <w:rFonts w:cs="Arial"/>
                <w:szCs w:val="22"/>
                <w:lang w:val="en-GB"/>
              </w:rPr>
            </w:pPr>
          </w:p>
        </w:tc>
      </w:tr>
      <w:tr w:rsidR="001B181B" w:rsidRPr="00E224E8" w14:paraId="0499809B" w14:textId="77777777" w:rsidTr="000D2353">
        <w:tc>
          <w:tcPr>
            <w:tcW w:w="1574" w:type="dxa"/>
            <w:shd w:val="clear" w:color="auto" w:fill="auto"/>
            <w:vAlign w:val="center"/>
          </w:tcPr>
          <w:p w14:paraId="6C479E28" w14:textId="77777777" w:rsidR="001B181B" w:rsidRPr="00E224E8" w:rsidRDefault="001B181B" w:rsidP="00A520DF">
            <w:pPr>
              <w:pStyle w:val="FNRNormal"/>
              <w:spacing w:before="0" w:after="0" w:line="276" w:lineRule="auto"/>
              <w:rPr>
                <w:sz w:val="22"/>
                <w:lang w:eastAsia="pl-PL"/>
              </w:rPr>
            </w:pPr>
            <w:r w:rsidRPr="00E224E8">
              <w:rPr>
                <w:sz w:val="22"/>
                <w:lang w:eastAsia="pl-PL"/>
              </w:rPr>
              <w:t>Place of employment</w:t>
            </w:r>
            <w:r w:rsidR="004319DB" w:rsidRPr="00E224E8">
              <w:rPr>
                <w:sz w:val="22"/>
                <w:lang w:eastAsia="pl-PL"/>
              </w:rPr>
              <w:t xml:space="preserve"> </w:t>
            </w:r>
            <w:r w:rsidRPr="00E224E8">
              <w:rPr>
                <w:sz w:val="22"/>
                <w:lang w:eastAsia="pl-PL"/>
              </w:rPr>
              <w:t>/</w:t>
            </w:r>
            <w:r w:rsidR="004319DB" w:rsidRPr="00E224E8">
              <w:rPr>
                <w:sz w:val="22"/>
                <w:lang w:eastAsia="pl-PL"/>
              </w:rPr>
              <w:t xml:space="preserve"> </w:t>
            </w:r>
            <w:r w:rsidRPr="00E224E8">
              <w:rPr>
                <w:sz w:val="22"/>
                <w:lang w:eastAsia="pl-PL"/>
              </w:rPr>
              <w:t>Position</w:t>
            </w:r>
          </w:p>
        </w:tc>
        <w:tc>
          <w:tcPr>
            <w:tcW w:w="7638" w:type="dxa"/>
            <w:shd w:val="clear" w:color="auto" w:fill="auto"/>
          </w:tcPr>
          <w:p w14:paraId="128B49C3" w14:textId="77777777" w:rsidR="001B181B" w:rsidRPr="00E224E8" w:rsidRDefault="001B181B" w:rsidP="00A520DF">
            <w:pPr>
              <w:spacing w:before="0" w:line="276" w:lineRule="auto"/>
              <w:jc w:val="both"/>
              <w:rPr>
                <w:rFonts w:cs="Arial"/>
                <w:szCs w:val="22"/>
                <w:lang w:val="en-GB"/>
              </w:rPr>
            </w:pPr>
          </w:p>
        </w:tc>
      </w:tr>
      <w:tr w:rsidR="001B181B" w:rsidRPr="00E224E8" w14:paraId="2046A38C" w14:textId="77777777" w:rsidTr="000D2353">
        <w:tc>
          <w:tcPr>
            <w:tcW w:w="1574" w:type="dxa"/>
            <w:shd w:val="clear" w:color="auto" w:fill="auto"/>
            <w:vAlign w:val="center"/>
          </w:tcPr>
          <w:p w14:paraId="0FE767B8" w14:textId="77777777" w:rsidR="001B181B" w:rsidRPr="00E224E8" w:rsidRDefault="001B181B" w:rsidP="00A520DF">
            <w:pPr>
              <w:pStyle w:val="FNRNormal"/>
              <w:spacing w:before="0" w:after="0" w:line="276" w:lineRule="auto"/>
              <w:rPr>
                <w:sz w:val="22"/>
                <w:lang w:eastAsia="pl-PL"/>
              </w:rPr>
            </w:pPr>
            <w:r w:rsidRPr="00E224E8">
              <w:rPr>
                <w:sz w:val="22"/>
                <w:lang w:eastAsia="pl-PL"/>
              </w:rPr>
              <w:t xml:space="preserve">Qualification level </w:t>
            </w:r>
          </w:p>
        </w:tc>
        <w:tc>
          <w:tcPr>
            <w:tcW w:w="7638" w:type="dxa"/>
            <w:shd w:val="clear" w:color="auto" w:fill="auto"/>
          </w:tcPr>
          <w:p w14:paraId="3B82B42B" w14:textId="77777777" w:rsidR="001B181B" w:rsidRPr="00E224E8" w:rsidRDefault="001B181B" w:rsidP="00A520DF">
            <w:pPr>
              <w:spacing w:before="0" w:line="276" w:lineRule="auto"/>
              <w:jc w:val="both"/>
              <w:rPr>
                <w:rFonts w:cs="Arial"/>
                <w:szCs w:val="22"/>
                <w:lang w:val="en-GB"/>
              </w:rPr>
            </w:pPr>
          </w:p>
        </w:tc>
      </w:tr>
      <w:tr w:rsidR="001B181B" w:rsidRPr="00E224E8" w14:paraId="4A7F08AA" w14:textId="77777777" w:rsidTr="000D2353">
        <w:tc>
          <w:tcPr>
            <w:tcW w:w="1574" w:type="dxa"/>
            <w:shd w:val="clear" w:color="auto" w:fill="auto"/>
            <w:vAlign w:val="center"/>
          </w:tcPr>
          <w:p w14:paraId="50FD081A" w14:textId="77777777" w:rsidR="001B181B" w:rsidRPr="00E224E8" w:rsidRDefault="001B181B" w:rsidP="00A520DF">
            <w:pPr>
              <w:pStyle w:val="FNRNormal"/>
              <w:spacing w:before="0" w:after="0" w:line="276" w:lineRule="auto"/>
              <w:rPr>
                <w:sz w:val="22"/>
                <w:lang w:eastAsia="pl-PL"/>
              </w:rPr>
            </w:pPr>
            <w:r w:rsidRPr="00E224E8">
              <w:rPr>
                <w:sz w:val="22"/>
                <w:lang w:eastAsia="pl-PL"/>
              </w:rPr>
              <w:t>Professional experience and achievements</w:t>
            </w:r>
          </w:p>
        </w:tc>
        <w:tc>
          <w:tcPr>
            <w:tcW w:w="7638" w:type="dxa"/>
            <w:shd w:val="clear" w:color="auto" w:fill="auto"/>
          </w:tcPr>
          <w:p w14:paraId="162CA9E9" w14:textId="77777777" w:rsidR="001B181B" w:rsidRPr="00E224E8" w:rsidRDefault="001B181B" w:rsidP="00A520DF">
            <w:pPr>
              <w:spacing w:before="0" w:line="276" w:lineRule="auto"/>
              <w:jc w:val="both"/>
              <w:rPr>
                <w:rFonts w:cs="Arial"/>
                <w:szCs w:val="22"/>
                <w:lang w:val="en-GB"/>
              </w:rPr>
            </w:pPr>
          </w:p>
        </w:tc>
      </w:tr>
    </w:tbl>
    <w:p w14:paraId="06D75283" w14:textId="77777777" w:rsidR="000D2353" w:rsidRPr="000D2353" w:rsidRDefault="000D2353" w:rsidP="001B181B">
      <w:pPr>
        <w:rPr>
          <w:rFonts w:ascii="Calibri" w:hAnsi="Calibri" w:cs="Calibri"/>
          <w:lang w:val="pl-PL"/>
        </w:rPr>
      </w:pPr>
    </w:p>
    <w:sectPr w:rsidR="000D2353" w:rsidRPr="000D2353" w:rsidSect="00C63562">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43E6C" w14:textId="77777777" w:rsidR="000D2353" w:rsidRDefault="000D2353" w:rsidP="000D2353">
      <w:pPr>
        <w:spacing w:before="0" w:after="0" w:line="240" w:lineRule="auto"/>
      </w:pPr>
      <w:r>
        <w:separator/>
      </w:r>
    </w:p>
  </w:endnote>
  <w:endnote w:type="continuationSeparator" w:id="0">
    <w:p w14:paraId="7A70B243" w14:textId="77777777" w:rsidR="000D2353" w:rsidRDefault="000D2353" w:rsidP="000D2353">
      <w:pPr>
        <w:spacing w:before="0" w:after="0" w:line="240" w:lineRule="auto"/>
      </w:pPr>
      <w:r>
        <w:continuationSeparator/>
      </w:r>
    </w:p>
  </w:endnote>
  <w:endnote w:id="1">
    <w:p w14:paraId="3A22C69B" w14:textId="015FC36A" w:rsidR="00C738BE" w:rsidRPr="00E224E8" w:rsidRDefault="00C738BE" w:rsidP="00C738BE">
      <w:pPr>
        <w:pStyle w:val="Tekstprzypisudolnego"/>
        <w:rPr>
          <w:sz w:val="18"/>
          <w:szCs w:val="18"/>
          <w:lang w:val="en-GB"/>
        </w:rPr>
      </w:pPr>
      <w:r>
        <w:rPr>
          <w:rStyle w:val="Odwoanieprzypisukocowego"/>
        </w:rPr>
        <w:endnoteRef/>
      </w:r>
      <w:r w:rsidRPr="001F70DD">
        <w:rPr>
          <w:lang w:val="en-GB"/>
        </w:rPr>
        <w:t xml:space="preserve"> </w:t>
      </w:r>
      <w:r w:rsidRPr="00E224E8">
        <w:rPr>
          <w:sz w:val="18"/>
          <w:szCs w:val="18"/>
          <w:lang w:val="en-GB"/>
        </w:rPr>
        <w:t>Information clause</w:t>
      </w:r>
    </w:p>
    <w:p w14:paraId="6329EE24" w14:textId="77777777" w:rsidR="00C738BE" w:rsidRPr="00F30A4D" w:rsidRDefault="00C738BE" w:rsidP="00C738BE">
      <w:pPr>
        <w:jc w:val="both"/>
        <w:rPr>
          <w:rFonts w:ascii="Times New Roman" w:hAnsi="Times New Roman"/>
          <w:b/>
          <w:sz w:val="18"/>
          <w:szCs w:val="18"/>
          <w:lang w:val="en-GB"/>
        </w:rPr>
      </w:pPr>
      <w:r w:rsidRPr="00F30A4D">
        <w:rPr>
          <w:rFonts w:ascii="Times New Roman" w:hAnsi="Times New Roman"/>
          <w:sz w:val="18"/>
          <w:szCs w:val="18"/>
          <w:lang w:val="en-GB"/>
        </w:rPr>
        <w:t>In accordance with Article 13 (1) and (2) of Regulation of the European Parliament of 27 April 2016 on the protection of natural persons with regard to the processing of personal data and on the free movement of such data, and repealing Directive 95/46/EC (General Data Protection Regulation, hereinafter “GDPR”), I hereby acknowledge that:</w:t>
      </w:r>
    </w:p>
    <w:p w14:paraId="5AA1C001" w14:textId="77777777" w:rsidR="00C738BE" w:rsidRPr="00F30A4D" w:rsidRDefault="00C738BE" w:rsidP="00C738BE">
      <w:pPr>
        <w:pStyle w:val="Akapitzlist"/>
        <w:numPr>
          <w:ilvl w:val="0"/>
          <w:numId w:val="4"/>
        </w:numPr>
        <w:jc w:val="both"/>
        <w:rPr>
          <w:b/>
          <w:sz w:val="18"/>
          <w:szCs w:val="18"/>
          <w:lang w:val="en-GB"/>
        </w:rPr>
      </w:pPr>
      <w:r w:rsidRPr="00F30A4D">
        <w:rPr>
          <w:sz w:val="18"/>
          <w:szCs w:val="18"/>
          <w:lang w:val="en-GB"/>
        </w:rPr>
        <w:t>the Controller of personal data is the National Centre for Research and Development (NCBR) based in Warsaw at ul. Nowogrodzka 47a;</w:t>
      </w:r>
    </w:p>
    <w:p w14:paraId="0A4FD9E8" w14:textId="77777777" w:rsidR="00C738BE" w:rsidRPr="00F30A4D" w:rsidRDefault="00C738BE" w:rsidP="00C738BE">
      <w:pPr>
        <w:pStyle w:val="Akapitzlist"/>
        <w:numPr>
          <w:ilvl w:val="0"/>
          <w:numId w:val="4"/>
        </w:numPr>
        <w:jc w:val="both"/>
        <w:rPr>
          <w:b/>
          <w:sz w:val="18"/>
          <w:szCs w:val="18"/>
          <w:lang w:val="en-GB"/>
        </w:rPr>
      </w:pPr>
      <w:r w:rsidRPr="00F30A4D">
        <w:rPr>
          <w:sz w:val="18"/>
          <w:szCs w:val="18"/>
          <w:lang w:val="en-GB"/>
        </w:rPr>
        <w:t xml:space="preserve">the Data Protection Officer can be contacted through the e-mail address: </w:t>
      </w:r>
      <w:hyperlink r:id="rId1" w:history="1">
        <w:r w:rsidRPr="00F30A4D">
          <w:rPr>
            <w:rStyle w:val="Hipercze"/>
            <w:sz w:val="18"/>
            <w:szCs w:val="18"/>
            <w:lang w:val="en-GB"/>
          </w:rPr>
          <w:t>inspektorochronydanychosobowych@ncbr.gov.pl</w:t>
        </w:r>
      </w:hyperlink>
      <w:r w:rsidRPr="00F30A4D">
        <w:rPr>
          <w:sz w:val="18"/>
          <w:szCs w:val="18"/>
          <w:lang w:val="en-GB"/>
        </w:rPr>
        <w:t>;</w:t>
      </w:r>
    </w:p>
    <w:p w14:paraId="34675034" w14:textId="77777777" w:rsidR="00C738BE" w:rsidRPr="00F30A4D" w:rsidRDefault="00C738BE" w:rsidP="00C738BE">
      <w:pPr>
        <w:pStyle w:val="Akapitzlist"/>
        <w:numPr>
          <w:ilvl w:val="0"/>
          <w:numId w:val="4"/>
        </w:numPr>
        <w:jc w:val="both"/>
        <w:rPr>
          <w:b/>
          <w:sz w:val="18"/>
          <w:szCs w:val="18"/>
          <w:lang w:val="en-GB"/>
        </w:rPr>
      </w:pPr>
      <w:r w:rsidRPr="00F30A4D">
        <w:rPr>
          <w:sz w:val="18"/>
          <w:szCs w:val="18"/>
          <w:lang w:val="en-GB"/>
        </w:rPr>
        <w:t>personal data are processed for the purpose of implementation of international project: assessment and selection of the project, conclusion of the project contract, supervision of the project implementation, its evaluation, control, audit, assessment of information and promotional activities, project’s acceptance, financial settlement as well as possible establishing, pursuing or defending of claims;</w:t>
      </w:r>
    </w:p>
    <w:p w14:paraId="7A7CBA32" w14:textId="77777777" w:rsidR="00C738BE" w:rsidRPr="00F30A4D" w:rsidRDefault="00C738BE" w:rsidP="00C738BE">
      <w:pPr>
        <w:pStyle w:val="Akapitzlist"/>
        <w:numPr>
          <w:ilvl w:val="0"/>
          <w:numId w:val="4"/>
        </w:numPr>
        <w:jc w:val="both"/>
        <w:rPr>
          <w:b/>
          <w:sz w:val="18"/>
          <w:szCs w:val="18"/>
          <w:lang w:val="en-GB"/>
        </w:rPr>
      </w:pPr>
      <w:r w:rsidRPr="00F30A4D">
        <w:rPr>
          <w:sz w:val="18"/>
          <w:szCs w:val="18"/>
          <w:lang w:val="en-GB"/>
        </w:rPr>
        <w:t>legal acts are the legal basis for processing the personal data – processing is required for the purpose of meeting the legal obligation of the administrator (Article 6 (1c) GDPR), inter alia,</w:t>
      </w:r>
    </w:p>
    <w:p w14:paraId="1E00122B" w14:textId="77777777" w:rsidR="00C738BE" w:rsidRPr="00F30A4D" w:rsidRDefault="00C738BE" w:rsidP="00C738BE">
      <w:pPr>
        <w:pStyle w:val="Akapitzlist"/>
        <w:numPr>
          <w:ilvl w:val="1"/>
          <w:numId w:val="4"/>
        </w:numPr>
        <w:jc w:val="both"/>
        <w:rPr>
          <w:b/>
          <w:sz w:val="18"/>
          <w:szCs w:val="18"/>
          <w:lang w:val="en-GB"/>
        </w:rPr>
      </w:pPr>
      <w:r w:rsidRPr="00F30A4D">
        <w:rPr>
          <w:sz w:val="18"/>
          <w:szCs w:val="18"/>
          <w:lang w:val="en-GB"/>
        </w:rPr>
        <w:t>Article 7 (2) point 2, Article 365 point 11 of Act of 20 July 2018 on the Law of Higher Education and Science, (Journal of Laws item 1668, 2018);</w:t>
      </w:r>
    </w:p>
    <w:p w14:paraId="03C5B4CC" w14:textId="77777777" w:rsidR="00C738BE" w:rsidRPr="00F30A4D" w:rsidRDefault="00C738BE" w:rsidP="00C738BE">
      <w:pPr>
        <w:pStyle w:val="Akapitzlist"/>
        <w:numPr>
          <w:ilvl w:val="1"/>
          <w:numId w:val="4"/>
        </w:numPr>
        <w:rPr>
          <w:b/>
          <w:sz w:val="18"/>
          <w:szCs w:val="18"/>
          <w:lang w:val="en-GB"/>
        </w:rPr>
      </w:pPr>
      <w:r w:rsidRPr="00F30A4D">
        <w:rPr>
          <w:sz w:val="18"/>
          <w:szCs w:val="18"/>
          <w:lang w:val="en-GB"/>
        </w:rPr>
        <w:t xml:space="preserve">Article 30 (1) point 4, Article 30 (1) point 4a, Article 30 (3) of Act of 30 April 2010 on the National Centre for Research and Development (Journal of Laws item 1770, 2019); </w:t>
      </w:r>
    </w:p>
    <w:p w14:paraId="52B599ED" w14:textId="77777777" w:rsidR="00C738BE" w:rsidRPr="00F30A4D" w:rsidRDefault="00C738BE" w:rsidP="00C738BE">
      <w:pPr>
        <w:pStyle w:val="Akapitzlist"/>
        <w:numPr>
          <w:ilvl w:val="1"/>
          <w:numId w:val="4"/>
        </w:numPr>
        <w:jc w:val="both"/>
        <w:rPr>
          <w:b/>
          <w:sz w:val="18"/>
          <w:szCs w:val="18"/>
          <w:lang w:val="en-GB"/>
        </w:rPr>
      </w:pPr>
      <w:r w:rsidRPr="00F30A4D">
        <w:rPr>
          <w:sz w:val="18"/>
          <w:szCs w:val="18"/>
          <w:lang w:val="en-GB"/>
        </w:rPr>
        <w:t xml:space="preserve">Paragraph 8 of Regulation of the Minister of Science and Higher Education of 17 September 2010 on the detailed mode of performance of tasks of the National Centre for Research and Development (Journal of Laws No 178 item 1200); </w:t>
      </w:r>
    </w:p>
    <w:p w14:paraId="1BDEEC32" w14:textId="77777777" w:rsidR="00C738BE" w:rsidRPr="00F30A4D" w:rsidRDefault="00C738BE" w:rsidP="00C738BE">
      <w:pPr>
        <w:pStyle w:val="Akapitzlist"/>
        <w:numPr>
          <w:ilvl w:val="1"/>
          <w:numId w:val="4"/>
        </w:numPr>
        <w:jc w:val="both"/>
        <w:rPr>
          <w:b/>
          <w:sz w:val="18"/>
          <w:szCs w:val="18"/>
          <w:lang w:val="en-GB"/>
        </w:rPr>
      </w:pPr>
      <w:r w:rsidRPr="00F30A4D">
        <w:rPr>
          <w:sz w:val="18"/>
          <w:szCs w:val="18"/>
          <w:lang w:val="en-GB"/>
        </w:rPr>
        <w:t>Regulation of the Minister of Science and Higher Education of  25 February 2015 on criteria and rules on granting state aid and ‘de minimis’ aid through the National Centre for Research and Development (Journal of Laws item 299, 2015);</w:t>
      </w:r>
    </w:p>
    <w:p w14:paraId="5217FE7F" w14:textId="77777777" w:rsidR="00C738BE" w:rsidRPr="00F30A4D" w:rsidRDefault="00C738BE" w:rsidP="00C738BE">
      <w:pPr>
        <w:pStyle w:val="Akapitzlist"/>
        <w:numPr>
          <w:ilvl w:val="1"/>
          <w:numId w:val="4"/>
        </w:numPr>
        <w:jc w:val="both"/>
        <w:rPr>
          <w:b/>
          <w:sz w:val="18"/>
          <w:szCs w:val="18"/>
          <w:lang w:val="en-GB"/>
        </w:rPr>
      </w:pPr>
      <w:r w:rsidRPr="00F30A4D">
        <w:rPr>
          <w:sz w:val="18"/>
          <w:szCs w:val="18"/>
          <w:lang w:val="en-GB"/>
        </w:rPr>
        <w:t>Commission Regulation (EU) No 651/2014 of 17 June 2014 declaring certain categories of aid compatible with the internal market in application of Articles 107 and 108 of the Treaty;</w:t>
      </w:r>
    </w:p>
    <w:p w14:paraId="7D8B4126" w14:textId="77777777" w:rsidR="00C738BE" w:rsidRPr="00F30A4D" w:rsidRDefault="00C738BE" w:rsidP="00C738BE">
      <w:pPr>
        <w:pStyle w:val="Akapitzlist"/>
        <w:numPr>
          <w:ilvl w:val="1"/>
          <w:numId w:val="4"/>
        </w:numPr>
        <w:jc w:val="both"/>
        <w:rPr>
          <w:b/>
          <w:sz w:val="18"/>
          <w:szCs w:val="18"/>
          <w:lang w:val="en-GB"/>
        </w:rPr>
      </w:pPr>
      <w:r w:rsidRPr="00F30A4D">
        <w:rPr>
          <w:sz w:val="18"/>
          <w:szCs w:val="18"/>
          <w:lang w:val="en-GB"/>
        </w:rPr>
        <w:t>Agreement no. 3/2019/Research for the implantation of the Programme ‘Applied Research’ under the EEA Financial mechanism 2014-2021 and the Norwegian Financial Mechanism 2014-2021 and for Bilateral fund under the EEA Financial mechanism 2014-2021 and the Norwegian Financial Mechanism 2014-2021</w:t>
      </w:r>
    </w:p>
    <w:p w14:paraId="624F4809" w14:textId="77777777" w:rsidR="00C738BE" w:rsidRPr="00F30A4D" w:rsidRDefault="00C738BE" w:rsidP="00C738BE">
      <w:pPr>
        <w:pStyle w:val="Akapitzlist"/>
        <w:numPr>
          <w:ilvl w:val="0"/>
          <w:numId w:val="4"/>
        </w:numPr>
        <w:jc w:val="both"/>
        <w:rPr>
          <w:b/>
          <w:sz w:val="18"/>
          <w:szCs w:val="18"/>
          <w:lang w:val="en-GB"/>
        </w:rPr>
      </w:pPr>
      <w:r w:rsidRPr="00F30A4D">
        <w:rPr>
          <w:sz w:val="18"/>
          <w:szCs w:val="18"/>
          <w:lang w:val="en-GB"/>
        </w:rPr>
        <w:t>personal data shall be processed throughout the call procedure, the implementation of the project contract, supervision of the project implementation, its evaluation, control, audit, assessment of information and promotional activities, project’s acceptance, financial settlement as well as possible establishing, pursuing or defending of claims and shall be archived for the period resulting from Consolidated List of Files (Jednolitym Rzeczowym Wykazem Akt) and office instruction;</w:t>
      </w:r>
    </w:p>
    <w:p w14:paraId="168B7D94" w14:textId="77777777" w:rsidR="00C738BE" w:rsidRPr="00F30A4D" w:rsidRDefault="00C738BE" w:rsidP="00C738BE">
      <w:pPr>
        <w:pStyle w:val="Akapitzlist"/>
        <w:numPr>
          <w:ilvl w:val="0"/>
          <w:numId w:val="4"/>
        </w:numPr>
        <w:jc w:val="both"/>
        <w:rPr>
          <w:b/>
          <w:sz w:val="18"/>
          <w:szCs w:val="18"/>
          <w:lang w:val="en-GB"/>
        </w:rPr>
      </w:pPr>
      <w:r w:rsidRPr="00F30A4D">
        <w:rPr>
          <w:sz w:val="18"/>
          <w:szCs w:val="18"/>
          <w:lang w:val="en-GB"/>
        </w:rPr>
        <w:t xml:space="preserve">recipients of my personal data shall be the Ministry of Science and Higher Education or public authorities and entities performing public tasks or acting on behalf of public authorities, to the extent and for purposes that result from legal provisions, as well as entities providing services necessary for the implementation of tasks by the National Centre for Research and Development. These data may also be forwarded to IT partners, entities that provide technical or organizational support, as well as the Program Committee, the Research Council of Norway, the Financial Mechanism Office in Brussels; </w:t>
      </w:r>
    </w:p>
    <w:p w14:paraId="005D575C" w14:textId="77777777" w:rsidR="00C738BE" w:rsidRPr="00F30A4D" w:rsidRDefault="00C738BE" w:rsidP="00C738BE">
      <w:pPr>
        <w:pStyle w:val="Akapitzlist"/>
        <w:numPr>
          <w:ilvl w:val="0"/>
          <w:numId w:val="4"/>
        </w:numPr>
        <w:jc w:val="both"/>
        <w:rPr>
          <w:b/>
          <w:sz w:val="18"/>
          <w:szCs w:val="18"/>
          <w:lang w:val="en-GB"/>
        </w:rPr>
      </w:pPr>
      <w:r w:rsidRPr="00F30A4D">
        <w:rPr>
          <w:sz w:val="18"/>
          <w:szCs w:val="18"/>
          <w:lang w:val="en-GB"/>
        </w:rPr>
        <w:t>I can request access to my personal data, to rectify, erase or restrict their processing as well as the right to data portability - in matters related to the performance of rights I can contact the data protection officer using the email address provided in point 2 above;</w:t>
      </w:r>
    </w:p>
    <w:p w14:paraId="17ED0791" w14:textId="77777777" w:rsidR="00C738BE" w:rsidRPr="00F30A4D" w:rsidRDefault="00C738BE" w:rsidP="00C738BE">
      <w:pPr>
        <w:pStyle w:val="Akapitzlist"/>
        <w:numPr>
          <w:ilvl w:val="0"/>
          <w:numId w:val="4"/>
        </w:numPr>
        <w:jc w:val="both"/>
        <w:rPr>
          <w:b/>
          <w:sz w:val="18"/>
          <w:szCs w:val="18"/>
          <w:lang w:val="en-GB"/>
        </w:rPr>
      </w:pPr>
      <w:r w:rsidRPr="00F30A4D">
        <w:rPr>
          <w:sz w:val="18"/>
          <w:szCs w:val="18"/>
          <w:lang w:val="en-GB"/>
        </w:rPr>
        <w:t>I have the right to submit a complaint to the President of the Personal Data Protection Office;</w:t>
      </w:r>
    </w:p>
    <w:p w14:paraId="7B48006B" w14:textId="77777777" w:rsidR="00C738BE" w:rsidRPr="00F30A4D" w:rsidRDefault="00C738BE" w:rsidP="00C738BE">
      <w:pPr>
        <w:pStyle w:val="Akapitzlist"/>
        <w:numPr>
          <w:ilvl w:val="0"/>
          <w:numId w:val="4"/>
        </w:numPr>
        <w:jc w:val="both"/>
        <w:rPr>
          <w:b/>
          <w:sz w:val="18"/>
          <w:szCs w:val="18"/>
          <w:lang w:val="en-GB"/>
        </w:rPr>
      </w:pPr>
      <w:r w:rsidRPr="00F30A4D">
        <w:rPr>
          <w:sz w:val="18"/>
          <w:szCs w:val="18"/>
          <w:lang w:val="en-GB"/>
        </w:rPr>
        <w:t>my personal data will not be transferred to a third country;</w:t>
      </w:r>
    </w:p>
    <w:p w14:paraId="144500AA" w14:textId="77777777" w:rsidR="00C738BE" w:rsidRPr="00F30A4D" w:rsidRDefault="00C738BE" w:rsidP="00C738BE">
      <w:pPr>
        <w:pStyle w:val="Akapitzlist"/>
        <w:numPr>
          <w:ilvl w:val="0"/>
          <w:numId w:val="4"/>
        </w:numPr>
        <w:jc w:val="both"/>
        <w:rPr>
          <w:b/>
          <w:sz w:val="18"/>
          <w:szCs w:val="18"/>
          <w:lang w:val="en-GB"/>
        </w:rPr>
      </w:pPr>
      <w:r w:rsidRPr="00F30A4D">
        <w:rPr>
          <w:sz w:val="18"/>
          <w:szCs w:val="18"/>
          <w:lang w:val="en-GB"/>
        </w:rPr>
        <w:t>my personal data are not subject to automated decision-making, including profiling.</w:t>
      </w:r>
    </w:p>
    <w:p w14:paraId="3637461C" w14:textId="77777777" w:rsidR="00C738BE" w:rsidRPr="0094627D" w:rsidRDefault="00C738BE" w:rsidP="00C738BE">
      <w:pPr>
        <w:pStyle w:val="Tekstprzypisudolnego"/>
        <w:jc w:val="both"/>
        <w:rPr>
          <w:sz w:val="18"/>
          <w:szCs w:val="18"/>
          <w:lang w:val="en-GB"/>
        </w:rPr>
      </w:pPr>
    </w:p>
    <w:p w14:paraId="61F66600" w14:textId="46E5BCDA" w:rsidR="00C738BE" w:rsidRPr="001F70DD" w:rsidRDefault="00C738BE">
      <w:pPr>
        <w:pStyle w:val="Tekstprzypisukocowego"/>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E14DF" w14:textId="77777777" w:rsidR="000D2353" w:rsidRDefault="000D2353" w:rsidP="000D2353">
      <w:pPr>
        <w:spacing w:before="0" w:after="0" w:line="240" w:lineRule="auto"/>
      </w:pPr>
      <w:r>
        <w:separator/>
      </w:r>
    </w:p>
  </w:footnote>
  <w:footnote w:type="continuationSeparator" w:id="0">
    <w:p w14:paraId="04AE37DE" w14:textId="77777777" w:rsidR="000D2353" w:rsidRDefault="000D2353" w:rsidP="000D235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F176F"/>
    <w:multiLevelType w:val="hybridMultilevel"/>
    <w:tmpl w:val="057CDF4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CF90AC7"/>
    <w:multiLevelType w:val="hybridMultilevel"/>
    <w:tmpl w:val="5450E8A0"/>
    <w:lvl w:ilvl="0" w:tplc="431AA390">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580DC0"/>
    <w:multiLevelType w:val="hybridMultilevel"/>
    <w:tmpl w:val="1A58FCBC"/>
    <w:lvl w:ilvl="0" w:tplc="6DCA4B98">
      <w:start w:val="1"/>
      <w:numFmt w:val="decimal"/>
      <w:lvlText w:val="%1)"/>
      <w:lvlJc w:val="left"/>
      <w:pPr>
        <w:ind w:left="1065" w:hanging="705"/>
      </w:pPr>
      <w:rPr>
        <w:rFonts w:hint="default"/>
      </w:rPr>
    </w:lvl>
    <w:lvl w:ilvl="1" w:tplc="7A6AC04E">
      <w:start w:val="8"/>
      <w:numFmt w:val="bullet"/>
      <w:lvlText w:val="•"/>
      <w:lvlJc w:val="left"/>
      <w:pPr>
        <w:ind w:left="1785" w:hanging="705"/>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E0F61DF"/>
    <w:multiLevelType w:val="hybridMultilevel"/>
    <w:tmpl w:val="E856DD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34"/>
    <w:rsid w:val="00014C5B"/>
    <w:rsid w:val="0008536C"/>
    <w:rsid w:val="000D2353"/>
    <w:rsid w:val="00127EB2"/>
    <w:rsid w:val="001B181B"/>
    <w:rsid w:val="001D3353"/>
    <w:rsid w:val="001F70DD"/>
    <w:rsid w:val="002654A8"/>
    <w:rsid w:val="002D38B9"/>
    <w:rsid w:val="003F67F8"/>
    <w:rsid w:val="004319DB"/>
    <w:rsid w:val="00454069"/>
    <w:rsid w:val="005453EF"/>
    <w:rsid w:val="00860F5B"/>
    <w:rsid w:val="0086235B"/>
    <w:rsid w:val="0094627D"/>
    <w:rsid w:val="00A520DF"/>
    <w:rsid w:val="00B721B9"/>
    <w:rsid w:val="00BE7CF2"/>
    <w:rsid w:val="00C308F0"/>
    <w:rsid w:val="00C63562"/>
    <w:rsid w:val="00C738BE"/>
    <w:rsid w:val="00C80190"/>
    <w:rsid w:val="00DD20D9"/>
    <w:rsid w:val="00DF2899"/>
    <w:rsid w:val="00E224E8"/>
    <w:rsid w:val="00F363A5"/>
    <w:rsid w:val="00FD1D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8F3A"/>
  <w15:docId w15:val="{134D72C1-BB88-490C-9C8F-AE59C4E9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1D34"/>
    <w:pPr>
      <w:spacing w:before="200"/>
    </w:pPr>
    <w:rPr>
      <w:rFonts w:ascii="Arial" w:eastAsia="Times New Roman" w:hAnsi="Arial" w:cs="Times New Roman"/>
      <w:szCs w:val="20"/>
      <w:lang w:val="en-US" w:bidi="en-US"/>
    </w:rPr>
  </w:style>
  <w:style w:type="paragraph" w:styleId="Nagwek1">
    <w:name w:val="heading 1"/>
    <w:basedOn w:val="Normalny"/>
    <w:next w:val="Normalny"/>
    <w:link w:val="Nagwek1Znak"/>
    <w:uiPriority w:val="9"/>
    <w:qFormat/>
    <w:rsid w:val="00B721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NRNormal">
    <w:name w:val="FNR Normal"/>
    <w:uiPriority w:val="99"/>
    <w:qFormat/>
    <w:rsid w:val="00FD1D34"/>
    <w:pPr>
      <w:spacing w:before="200" w:after="120"/>
      <w:jc w:val="both"/>
    </w:pPr>
    <w:rPr>
      <w:rFonts w:ascii="Arial" w:eastAsia="Times New Roman" w:hAnsi="Arial" w:cs="Arial"/>
      <w:sz w:val="20"/>
      <w:lang w:val="en-GB" w:bidi="en-US"/>
    </w:rPr>
  </w:style>
  <w:style w:type="character" w:styleId="Pogrubienie">
    <w:name w:val="Strong"/>
    <w:uiPriority w:val="22"/>
    <w:qFormat/>
    <w:rsid w:val="00FD1D34"/>
    <w:rPr>
      <w:b/>
      <w:bCs/>
    </w:rPr>
  </w:style>
  <w:style w:type="character" w:customStyle="1" w:styleId="blueitalic">
    <w:name w:val="blue italic"/>
    <w:uiPriority w:val="1"/>
    <w:qFormat/>
    <w:rsid w:val="00FD1D34"/>
    <w:rPr>
      <w:i/>
      <w:color w:val="0000FF"/>
    </w:rPr>
  </w:style>
  <w:style w:type="paragraph" w:styleId="Akapitzlist">
    <w:name w:val="List Paragraph"/>
    <w:basedOn w:val="Normalny"/>
    <w:link w:val="AkapitzlistZnak"/>
    <w:uiPriority w:val="34"/>
    <w:qFormat/>
    <w:rsid w:val="001B181B"/>
    <w:pPr>
      <w:spacing w:before="0" w:after="0" w:line="240" w:lineRule="auto"/>
      <w:ind w:left="720"/>
      <w:contextualSpacing/>
    </w:pPr>
    <w:rPr>
      <w:rFonts w:ascii="Times New Roman" w:hAnsi="Times New Roman"/>
      <w:sz w:val="24"/>
      <w:szCs w:val="24"/>
      <w:lang w:val="pl-PL" w:eastAsia="pl-PL" w:bidi="ar-SA"/>
    </w:rPr>
  </w:style>
  <w:style w:type="character" w:customStyle="1" w:styleId="AkapitzlistZnak">
    <w:name w:val="Akapit z listą Znak"/>
    <w:basedOn w:val="Domylnaczcionkaakapitu"/>
    <w:link w:val="Akapitzlist"/>
    <w:uiPriority w:val="34"/>
    <w:locked/>
    <w:rsid w:val="001B181B"/>
    <w:rPr>
      <w:rFonts w:ascii="Times New Roman" w:eastAsia="Times New Roman" w:hAnsi="Times New Roman" w:cs="Times New Roman"/>
      <w:sz w:val="24"/>
      <w:szCs w:val="24"/>
      <w:lang w:eastAsia="pl-PL"/>
    </w:rPr>
  </w:style>
  <w:style w:type="table" w:styleId="Tabela-Siatka">
    <w:name w:val="Table Grid"/>
    <w:basedOn w:val="Standardowy"/>
    <w:uiPriority w:val="59"/>
    <w:rsid w:val="001B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D2353"/>
    <w:pPr>
      <w:spacing w:before="0" w:after="0" w:line="240" w:lineRule="auto"/>
    </w:pPr>
    <w:rPr>
      <w:rFonts w:ascii="Times New Roman" w:hAnsi="Times New Roman"/>
      <w:sz w:val="20"/>
      <w:lang w:val="pl-PL" w:eastAsia="pl-PL" w:bidi="ar-SA"/>
    </w:rPr>
  </w:style>
  <w:style w:type="character" w:customStyle="1" w:styleId="TekstprzypisudolnegoZnak">
    <w:name w:val="Tekst przypisu dolnego Znak"/>
    <w:basedOn w:val="Domylnaczcionkaakapitu"/>
    <w:link w:val="Tekstprzypisudolnego"/>
    <w:uiPriority w:val="99"/>
    <w:rsid w:val="000D235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D2353"/>
    <w:rPr>
      <w:vertAlign w:val="superscript"/>
    </w:rPr>
  </w:style>
  <w:style w:type="character" w:styleId="Odwoaniedokomentarza">
    <w:name w:val="annotation reference"/>
    <w:basedOn w:val="Domylnaczcionkaakapitu"/>
    <w:uiPriority w:val="99"/>
    <w:semiHidden/>
    <w:unhideWhenUsed/>
    <w:rsid w:val="00F363A5"/>
    <w:rPr>
      <w:sz w:val="16"/>
      <w:szCs w:val="16"/>
    </w:rPr>
  </w:style>
  <w:style w:type="paragraph" w:styleId="Tekstkomentarza">
    <w:name w:val="annotation text"/>
    <w:basedOn w:val="Normalny"/>
    <w:link w:val="TekstkomentarzaZnak"/>
    <w:uiPriority w:val="99"/>
    <w:semiHidden/>
    <w:unhideWhenUsed/>
    <w:rsid w:val="00F363A5"/>
    <w:pPr>
      <w:spacing w:line="240" w:lineRule="auto"/>
    </w:pPr>
    <w:rPr>
      <w:sz w:val="20"/>
    </w:rPr>
  </w:style>
  <w:style w:type="character" w:customStyle="1" w:styleId="TekstkomentarzaZnak">
    <w:name w:val="Tekst komentarza Znak"/>
    <w:basedOn w:val="Domylnaczcionkaakapitu"/>
    <w:link w:val="Tekstkomentarza"/>
    <w:uiPriority w:val="99"/>
    <w:semiHidden/>
    <w:rsid w:val="00F363A5"/>
    <w:rPr>
      <w:rFonts w:ascii="Arial" w:eastAsia="Times New Roman" w:hAnsi="Arial"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363A5"/>
    <w:rPr>
      <w:b/>
      <w:bCs/>
    </w:rPr>
  </w:style>
  <w:style w:type="character" w:customStyle="1" w:styleId="TematkomentarzaZnak">
    <w:name w:val="Temat komentarza Znak"/>
    <w:basedOn w:val="TekstkomentarzaZnak"/>
    <w:link w:val="Tematkomentarza"/>
    <w:uiPriority w:val="99"/>
    <w:semiHidden/>
    <w:rsid w:val="00F363A5"/>
    <w:rPr>
      <w:rFonts w:ascii="Arial" w:eastAsia="Times New Roman" w:hAnsi="Arial" w:cs="Times New Roman"/>
      <w:b/>
      <w:bCs/>
      <w:sz w:val="20"/>
      <w:szCs w:val="20"/>
      <w:lang w:val="en-US" w:bidi="en-US"/>
    </w:rPr>
  </w:style>
  <w:style w:type="paragraph" w:styleId="Tekstdymka">
    <w:name w:val="Balloon Text"/>
    <w:basedOn w:val="Normalny"/>
    <w:link w:val="TekstdymkaZnak"/>
    <w:uiPriority w:val="99"/>
    <w:semiHidden/>
    <w:unhideWhenUsed/>
    <w:rsid w:val="00F363A5"/>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63A5"/>
    <w:rPr>
      <w:rFonts w:ascii="Segoe UI" w:eastAsia="Times New Roman" w:hAnsi="Segoe UI" w:cs="Segoe UI"/>
      <w:sz w:val="18"/>
      <w:szCs w:val="18"/>
      <w:lang w:val="en-US" w:bidi="en-US"/>
    </w:rPr>
  </w:style>
  <w:style w:type="character" w:customStyle="1" w:styleId="Nagwek1Znak">
    <w:name w:val="Nagłówek 1 Znak"/>
    <w:basedOn w:val="Domylnaczcionkaakapitu"/>
    <w:link w:val="Nagwek1"/>
    <w:uiPriority w:val="9"/>
    <w:rsid w:val="00B721B9"/>
    <w:rPr>
      <w:rFonts w:asciiTheme="majorHAnsi" w:eastAsiaTheme="majorEastAsia" w:hAnsiTheme="majorHAnsi" w:cstheme="majorBidi"/>
      <w:color w:val="365F91" w:themeColor="accent1" w:themeShade="BF"/>
      <w:sz w:val="32"/>
      <w:szCs w:val="32"/>
      <w:lang w:val="en-US" w:bidi="en-US"/>
    </w:rPr>
  </w:style>
  <w:style w:type="character" w:styleId="Hipercze">
    <w:name w:val="Hyperlink"/>
    <w:uiPriority w:val="99"/>
    <w:unhideWhenUsed/>
    <w:rsid w:val="00B721B9"/>
    <w:rPr>
      <w:color w:val="0000FF"/>
      <w:u w:val="single"/>
    </w:rPr>
  </w:style>
  <w:style w:type="paragraph" w:styleId="Tekstprzypisukocowego">
    <w:name w:val="endnote text"/>
    <w:basedOn w:val="Normalny"/>
    <w:link w:val="TekstprzypisukocowegoZnak"/>
    <w:uiPriority w:val="99"/>
    <w:semiHidden/>
    <w:unhideWhenUsed/>
    <w:rsid w:val="00C738BE"/>
    <w:pPr>
      <w:spacing w:before="0"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C738BE"/>
    <w:rPr>
      <w:rFonts w:ascii="Arial" w:eastAsia="Times New Roman" w:hAnsi="Arial" w:cs="Times New Roman"/>
      <w:sz w:val="20"/>
      <w:szCs w:val="20"/>
      <w:lang w:val="en-US" w:bidi="en-US"/>
    </w:rPr>
  </w:style>
  <w:style w:type="character" w:styleId="Odwoanieprzypisukocowego">
    <w:name w:val="endnote reference"/>
    <w:basedOn w:val="Domylnaczcionkaakapitu"/>
    <w:uiPriority w:val="99"/>
    <w:semiHidden/>
    <w:unhideWhenUsed/>
    <w:rsid w:val="00C73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inspektorochronydanychosobowych@ncb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FD214-1226-4B3E-AACE-F8D17436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Words>
  <Characters>291</Characters>
  <Application>Microsoft Office Word</Application>
  <DocSecurity>4</DocSecurity>
  <Lines>2</Lines>
  <Paragraphs>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Jędrzejek</dc:creator>
  <cp:lastModifiedBy>Andrzej Wajs</cp:lastModifiedBy>
  <cp:revision>2</cp:revision>
  <dcterms:created xsi:type="dcterms:W3CDTF">2020-08-19T09:55:00Z</dcterms:created>
  <dcterms:modified xsi:type="dcterms:W3CDTF">2020-08-19T09:55:00Z</dcterms:modified>
</cp:coreProperties>
</file>