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7CC758A3" w14:textId="2EE2F2A2" w:rsidR="00AD08C5" w:rsidRPr="004D093B" w:rsidRDefault="006A7DCE" w:rsidP="008C0E92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 w:rsidR="005C6551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E</w:t>
      </w: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6</w:t>
      </w:r>
      <w:r w:rsidR="00A54C06">
        <w:rPr>
          <w:rFonts w:ascii="Lato" w:hAnsi="Lato"/>
          <w:b/>
          <w:bCs/>
          <w:color w:val="00B0F0"/>
          <w:sz w:val="36"/>
          <w:szCs w:val="36"/>
          <w:u w:val="single"/>
        </w:rPr>
        <w:t>9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CE73E2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M</w:t>
      </w:r>
      <w:r w:rsidR="00A54C06">
        <w:rPr>
          <w:rFonts w:ascii="Lato" w:hAnsi="Lato"/>
          <w:b/>
          <w:bCs/>
          <w:color w:val="00B0F0"/>
          <w:sz w:val="36"/>
          <w:szCs w:val="36"/>
          <w:u w:val="single"/>
        </w:rPr>
        <w:t>AJA</w:t>
      </w:r>
      <w:r w:rsidR="00FB2364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202</w:t>
      </w:r>
      <w:r w:rsidR="000E3BB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3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Pr="004D093B" w:rsidRDefault="008C0E92" w:rsidP="008C0E92">
      <w:pPr>
        <w:spacing w:before="360"/>
        <w:jc w:val="center"/>
        <w:rPr>
          <w:rFonts w:ascii="Lato" w:hAnsi="Lato"/>
        </w:rPr>
      </w:pPr>
      <w:bookmarkStart w:id="0" w:name="_Hlk90283803"/>
      <w:r w:rsidRPr="004D093B">
        <w:rPr>
          <w:rFonts w:ascii="Lato" w:hAnsi="Lato"/>
          <w:b/>
          <w:bCs/>
          <w:color w:val="00B0F0"/>
          <w:sz w:val="28"/>
          <w:szCs w:val="28"/>
        </w:rPr>
        <w:t>STATYSTYKI</w:t>
      </w:r>
    </w:p>
    <w:bookmarkEnd w:id="0"/>
    <w:p w14:paraId="6212A871" w14:textId="5C0A6C83" w:rsidR="0048011A" w:rsidRPr="004D093B" w:rsidRDefault="0048011A" w:rsidP="00492285">
      <w:p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093B">
        <w:rPr>
          <w:rFonts w:ascii="Lato" w:hAnsi="Lato"/>
          <w:color w:val="000000" w:themeColor="text1"/>
          <w:sz w:val="24"/>
          <w:szCs w:val="24"/>
        </w:rPr>
        <w:t>Obwieszczenie refundacyjne obowiązujące od</w:t>
      </w:r>
      <w:r w:rsidR="006D336E" w:rsidRPr="004D093B">
        <w:rPr>
          <w:rFonts w:ascii="Lato" w:hAnsi="Lato"/>
          <w:color w:val="000000" w:themeColor="text1"/>
          <w:sz w:val="24"/>
          <w:szCs w:val="24"/>
        </w:rPr>
        <w:t xml:space="preserve"> 1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A90397" w:rsidRPr="004D093B">
        <w:rPr>
          <w:rFonts w:ascii="Lato" w:hAnsi="Lato"/>
          <w:color w:val="000000" w:themeColor="text1"/>
          <w:sz w:val="24"/>
          <w:szCs w:val="24"/>
        </w:rPr>
        <w:t>m</w:t>
      </w:r>
      <w:r w:rsidR="00A54C06">
        <w:rPr>
          <w:rFonts w:ascii="Lato" w:hAnsi="Lato"/>
          <w:color w:val="000000" w:themeColor="text1"/>
          <w:sz w:val="24"/>
          <w:szCs w:val="24"/>
        </w:rPr>
        <w:t>aja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 202</w:t>
      </w:r>
      <w:r w:rsidR="000E3BBE" w:rsidRPr="004D093B">
        <w:rPr>
          <w:rFonts w:ascii="Lato" w:hAnsi="Lato"/>
          <w:color w:val="000000" w:themeColor="text1"/>
          <w:sz w:val="24"/>
          <w:szCs w:val="24"/>
        </w:rPr>
        <w:t>3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 r. (nr 6</w:t>
      </w:r>
      <w:r w:rsidR="00A54C06">
        <w:rPr>
          <w:rFonts w:ascii="Lato" w:hAnsi="Lato"/>
          <w:color w:val="000000" w:themeColor="text1"/>
          <w:sz w:val="24"/>
          <w:szCs w:val="24"/>
        </w:rPr>
        <w:t>9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), w porównaniu do obwieszczenia </w:t>
      </w:r>
      <w:r w:rsidR="007123D7">
        <w:rPr>
          <w:rFonts w:ascii="Lato" w:hAnsi="Lato"/>
          <w:color w:val="000000" w:themeColor="text1"/>
          <w:sz w:val="24"/>
          <w:szCs w:val="24"/>
        </w:rPr>
        <w:t xml:space="preserve">nr </w:t>
      </w:r>
      <w:r w:rsidR="000E3BBE" w:rsidRPr="004D093B">
        <w:rPr>
          <w:rFonts w:ascii="Lato" w:hAnsi="Lato"/>
          <w:color w:val="000000" w:themeColor="text1"/>
          <w:sz w:val="24"/>
          <w:szCs w:val="24"/>
        </w:rPr>
        <w:t>6</w:t>
      </w:r>
      <w:r w:rsidR="00A54C06">
        <w:rPr>
          <w:rFonts w:ascii="Lato" w:hAnsi="Lato"/>
          <w:color w:val="000000" w:themeColor="text1"/>
          <w:sz w:val="24"/>
          <w:szCs w:val="24"/>
        </w:rPr>
        <w:t>8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 zawiera następujące zmiany:</w:t>
      </w:r>
    </w:p>
    <w:p w14:paraId="00D4E161" w14:textId="2B6871B8" w:rsidR="0048011A" w:rsidRP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W związku z wydaniem pozytywnych decyzji o objęciu refundacją ogółem do </w:t>
      </w:r>
      <w:r w:rsidR="00B31928" w:rsidRPr="004D093B">
        <w:rPr>
          <w:rFonts w:ascii="Lato" w:hAnsi="Lato"/>
          <w:sz w:val="24"/>
          <w:szCs w:val="24"/>
        </w:rPr>
        <w:t>wykazu</w:t>
      </w:r>
      <w:r w:rsidRPr="004D093B">
        <w:rPr>
          <w:rFonts w:ascii="Lato" w:hAnsi="Lato"/>
          <w:sz w:val="24"/>
          <w:szCs w:val="24"/>
        </w:rPr>
        <w:t xml:space="preserve"> zosta</w:t>
      </w:r>
      <w:r w:rsidR="00B31928" w:rsidRPr="004D093B">
        <w:rPr>
          <w:rFonts w:ascii="Lato" w:hAnsi="Lato"/>
          <w:sz w:val="24"/>
          <w:szCs w:val="24"/>
        </w:rPr>
        <w:t>ł</w:t>
      </w:r>
      <w:r w:rsidR="00923214">
        <w:rPr>
          <w:rFonts w:ascii="Lato" w:hAnsi="Lato"/>
          <w:sz w:val="24"/>
          <w:szCs w:val="24"/>
        </w:rPr>
        <w:t>o</w:t>
      </w:r>
      <w:r w:rsidRPr="004D093B">
        <w:rPr>
          <w:rFonts w:ascii="Lato" w:hAnsi="Lato"/>
          <w:sz w:val="24"/>
          <w:szCs w:val="24"/>
        </w:rPr>
        <w:t xml:space="preserve"> dodan</w:t>
      </w:r>
      <w:r w:rsidR="00923214">
        <w:rPr>
          <w:rFonts w:ascii="Lato" w:hAnsi="Lato"/>
          <w:sz w:val="24"/>
          <w:szCs w:val="24"/>
        </w:rPr>
        <w:t>ych</w:t>
      </w:r>
      <w:r w:rsidRPr="004D093B">
        <w:rPr>
          <w:rFonts w:ascii="Lato" w:hAnsi="Lato"/>
          <w:sz w:val="24"/>
          <w:szCs w:val="24"/>
        </w:rPr>
        <w:t xml:space="preserve"> </w:t>
      </w:r>
      <w:r w:rsidR="00923214">
        <w:rPr>
          <w:rFonts w:ascii="Lato" w:hAnsi="Lato"/>
          <w:sz w:val="24"/>
          <w:szCs w:val="24"/>
        </w:rPr>
        <w:t>111</w:t>
      </w:r>
      <w:r w:rsidRPr="004D093B">
        <w:rPr>
          <w:rFonts w:ascii="Lato" w:hAnsi="Lato"/>
          <w:sz w:val="24"/>
          <w:szCs w:val="24"/>
        </w:rPr>
        <w:t xml:space="preserve"> produkt</w:t>
      </w:r>
      <w:r w:rsidR="00923214">
        <w:rPr>
          <w:rFonts w:ascii="Lato" w:hAnsi="Lato"/>
          <w:sz w:val="24"/>
          <w:szCs w:val="24"/>
        </w:rPr>
        <w:t>ów</w:t>
      </w:r>
      <w:r w:rsidRPr="004D093B">
        <w:rPr>
          <w:rFonts w:ascii="Lato" w:hAnsi="Lato"/>
          <w:sz w:val="24"/>
          <w:szCs w:val="24"/>
        </w:rPr>
        <w:t xml:space="preserve"> bądź now</w:t>
      </w:r>
      <w:r w:rsidR="00923214">
        <w:rPr>
          <w:rFonts w:ascii="Lato" w:hAnsi="Lato"/>
          <w:sz w:val="24"/>
          <w:szCs w:val="24"/>
        </w:rPr>
        <w:t xml:space="preserve">ych </w:t>
      </w:r>
      <w:r w:rsidRPr="004D093B">
        <w:rPr>
          <w:rFonts w:ascii="Lato" w:hAnsi="Lato"/>
          <w:sz w:val="24"/>
          <w:szCs w:val="24"/>
        </w:rPr>
        <w:t>wskaza</w:t>
      </w:r>
      <w:r w:rsidR="00923214">
        <w:rPr>
          <w:rFonts w:ascii="Lato" w:hAnsi="Lato"/>
          <w:sz w:val="24"/>
          <w:szCs w:val="24"/>
        </w:rPr>
        <w:t>ń</w:t>
      </w:r>
      <w:r w:rsidRPr="004D093B">
        <w:rPr>
          <w:rFonts w:ascii="Lato" w:hAnsi="Lato"/>
          <w:sz w:val="24"/>
          <w:szCs w:val="24"/>
        </w:rPr>
        <w:t>.</w:t>
      </w:r>
    </w:p>
    <w:p w14:paraId="01D6F00D" w14:textId="60587086" w:rsidR="0048011A" w:rsidRP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Dla </w:t>
      </w:r>
      <w:r w:rsidR="00C022B9">
        <w:rPr>
          <w:rFonts w:ascii="Lato" w:hAnsi="Lato"/>
          <w:sz w:val="24"/>
          <w:szCs w:val="24"/>
        </w:rPr>
        <w:t>37</w:t>
      </w:r>
      <w:r w:rsidR="00A54C06">
        <w:rPr>
          <w:rFonts w:ascii="Lato" w:hAnsi="Lato"/>
          <w:sz w:val="24"/>
          <w:szCs w:val="24"/>
        </w:rPr>
        <w:t xml:space="preserve"> </w:t>
      </w:r>
      <w:r w:rsidRPr="004D093B">
        <w:rPr>
          <w:rFonts w:ascii="Lato" w:hAnsi="Lato"/>
          <w:sz w:val="24"/>
          <w:szCs w:val="24"/>
        </w:rPr>
        <w:t xml:space="preserve">produktów wprowadzono obniżki urzędowych cen zbytu (od </w:t>
      </w:r>
      <w:r w:rsidR="00C022B9">
        <w:rPr>
          <w:rFonts w:ascii="Lato" w:hAnsi="Lato"/>
          <w:sz w:val="24"/>
          <w:szCs w:val="24"/>
        </w:rPr>
        <w:t xml:space="preserve">0,05 </w:t>
      </w:r>
      <w:r w:rsidRPr="004D093B">
        <w:rPr>
          <w:rFonts w:ascii="Lato" w:hAnsi="Lato"/>
          <w:sz w:val="24"/>
          <w:szCs w:val="24"/>
        </w:rPr>
        <w:t xml:space="preserve">zł do </w:t>
      </w:r>
      <w:r w:rsidR="00C022B9">
        <w:rPr>
          <w:rFonts w:ascii="Lato" w:hAnsi="Lato"/>
          <w:sz w:val="24"/>
          <w:szCs w:val="24"/>
        </w:rPr>
        <w:t>2 430,00</w:t>
      </w:r>
      <w:r w:rsidR="00C022B9" w:rsidRPr="004D093B">
        <w:rPr>
          <w:rFonts w:ascii="Lato" w:hAnsi="Lato"/>
          <w:sz w:val="24"/>
          <w:szCs w:val="24"/>
        </w:rPr>
        <w:t xml:space="preserve"> </w:t>
      </w:r>
      <w:r w:rsidRPr="004D093B">
        <w:rPr>
          <w:rFonts w:ascii="Lato" w:hAnsi="Lato"/>
          <w:sz w:val="24"/>
          <w:szCs w:val="24"/>
        </w:rPr>
        <w:t>zł).</w:t>
      </w:r>
    </w:p>
    <w:p w14:paraId="2DC3E3D7" w14:textId="70A62B7A" w:rsidR="0048011A" w:rsidRP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Dla </w:t>
      </w:r>
      <w:r w:rsidR="00C022B9">
        <w:rPr>
          <w:rFonts w:ascii="Lato" w:hAnsi="Lato"/>
          <w:sz w:val="24"/>
          <w:szCs w:val="24"/>
        </w:rPr>
        <w:t>47</w:t>
      </w:r>
      <w:r w:rsidR="0068046C" w:rsidRPr="004D093B">
        <w:rPr>
          <w:rFonts w:ascii="Lato" w:hAnsi="Lato"/>
          <w:sz w:val="24"/>
          <w:szCs w:val="24"/>
        </w:rPr>
        <w:t xml:space="preserve"> </w:t>
      </w:r>
      <w:r w:rsidRPr="004D093B">
        <w:rPr>
          <w:rFonts w:ascii="Lato" w:hAnsi="Lato"/>
          <w:sz w:val="24"/>
          <w:szCs w:val="24"/>
        </w:rPr>
        <w:t xml:space="preserve">produktów podwyższono urzędowe ceny zbytu (od </w:t>
      </w:r>
      <w:r w:rsidR="00C022B9" w:rsidRPr="00C022B9">
        <w:rPr>
          <w:rFonts w:ascii="Lato" w:hAnsi="Lato"/>
          <w:sz w:val="24"/>
          <w:szCs w:val="24"/>
        </w:rPr>
        <w:t>0,03 zł</w:t>
      </w:r>
      <w:r w:rsidRPr="004D093B">
        <w:rPr>
          <w:rFonts w:ascii="Lato" w:hAnsi="Lato"/>
          <w:sz w:val="24"/>
          <w:szCs w:val="24"/>
        </w:rPr>
        <w:t xml:space="preserve"> do </w:t>
      </w:r>
      <w:r w:rsidR="00C022B9" w:rsidRPr="00C022B9">
        <w:rPr>
          <w:rFonts w:ascii="Lato" w:hAnsi="Lato"/>
          <w:sz w:val="24"/>
          <w:szCs w:val="24"/>
        </w:rPr>
        <w:t>37,56 zł</w:t>
      </w:r>
      <w:r w:rsidRPr="004D093B">
        <w:rPr>
          <w:rFonts w:ascii="Lato" w:hAnsi="Lato"/>
          <w:sz w:val="24"/>
          <w:szCs w:val="24"/>
        </w:rPr>
        <w:t>).</w:t>
      </w:r>
    </w:p>
    <w:p w14:paraId="4F086829" w14:textId="4190AE38" w:rsidR="0048011A" w:rsidRP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Dla </w:t>
      </w:r>
      <w:r w:rsidR="0022110C">
        <w:rPr>
          <w:rFonts w:ascii="Lato" w:hAnsi="Lato"/>
          <w:sz w:val="24"/>
          <w:szCs w:val="24"/>
        </w:rPr>
        <w:t>316</w:t>
      </w:r>
      <w:r w:rsidRPr="004D093B">
        <w:rPr>
          <w:rFonts w:ascii="Lato" w:hAnsi="Lato"/>
          <w:sz w:val="24"/>
          <w:szCs w:val="24"/>
        </w:rPr>
        <w:t xml:space="preserve"> pozycji w obwieszczeniu spadnie dopłata pacjenta (od </w:t>
      </w:r>
      <w:r w:rsidR="0022110C">
        <w:rPr>
          <w:rFonts w:ascii="Lato" w:hAnsi="Lato"/>
          <w:sz w:val="24"/>
          <w:szCs w:val="24"/>
        </w:rPr>
        <w:t>0,01</w:t>
      </w:r>
      <w:r w:rsidRPr="004D093B">
        <w:rPr>
          <w:rFonts w:ascii="Lato" w:hAnsi="Lato"/>
          <w:sz w:val="24"/>
          <w:szCs w:val="24"/>
        </w:rPr>
        <w:t xml:space="preserve"> zł do </w:t>
      </w:r>
      <w:r w:rsidR="0022110C" w:rsidRPr="0022110C">
        <w:rPr>
          <w:rFonts w:ascii="Lato" w:hAnsi="Lato"/>
          <w:sz w:val="24"/>
          <w:szCs w:val="24"/>
        </w:rPr>
        <w:t>196,80 zł</w:t>
      </w:r>
      <w:r w:rsidRPr="004D093B">
        <w:rPr>
          <w:rFonts w:ascii="Lato" w:hAnsi="Lato"/>
          <w:sz w:val="24"/>
          <w:szCs w:val="24"/>
        </w:rPr>
        <w:t>).</w:t>
      </w:r>
    </w:p>
    <w:p w14:paraId="1090CF2B" w14:textId="291D1128" w:rsidR="0048011A" w:rsidRP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Dla </w:t>
      </w:r>
      <w:r w:rsidR="0022110C">
        <w:rPr>
          <w:rFonts w:ascii="Lato" w:hAnsi="Lato"/>
          <w:sz w:val="24"/>
          <w:szCs w:val="24"/>
        </w:rPr>
        <w:t>432</w:t>
      </w:r>
      <w:r w:rsidRPr="004D093B">
        <w:rPr>
          <w:rFonts w:ascii="Lato" w:hAnsi="Lato"/>
          <w:sz w:val="24"/>
          <w:szCs w:val="24"/>
        </w:rPr>
        <w:t xml:space="preserve"> pozycji w obwieszczeniu wzrośnie dopłata pacjenta (od </w:t>
      </w:r>
      <w:r w:rsidR="0022110C">
        <w:rPr>
          <w:rFonts w:ascii="Lato" w:hAnsi="Lato"/>
          <w:sz w:val="24"/>
          <w:szCs w:val="24"/>
        </w:rPr>
        <w:t>0,01</w:t>
      </w:r>
      <w:r w:rsidRPr="004D093B">
        <w:rPr>
          <w:rFonts w:ascii="Lato" w:hAnsi="Lato"/>
          <w:sz w:val="24"/>
          <w:szCs w:val="24"/>
        </w:rPr>
        <w:t xml:space="preserve"> zł do </w:t>
      </w:r>
      <w:r w:rsidR="0022110C" w:rsidRPr="0022110C">
        <w:rPr>
          <w:rFonts w:ascii="Lato" w:hAnsi="Lato"/>
          <w:sz w:val="24"/>
          <w:szCs w:val="24"/>
        </w:rPr>
        <w:t>452,70 zł</w:t>
      </w:r>
      <w:r w:rsidRPr="004D093B">
        <w:rPr>
          <w:rFonts w:ascii="Lato" w:hAnsi="Lato"/>
          <w:sz w:val="24"/>
          <w:szCs w:val="24"/>
        </w:rPr>
        <w:t>).</w:t>
      </w:r>
    </w:p>
    <w:p w14:paraId="1E684D62" w14:textId="096CAFC9" w:rsidR="0048011A" w:rsidRP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Dla </w:t>
      </w:r>
      <w:r w:rsidR="00C022B9">
        <w:rPr>
          <w:rFonts w:ascii="Lato" w:hAnsi="Lato"/>
          <w:sz w:val="24"/>
          <w:szCs w:val="24"/>
        </w:rPr>
        <w:t>184</w:t>
      </w:r>
      <w:r w:rsidRPr="004D093B">
        <w:rPr>
          <w:rFonts w:ascii="Lato" w:hAnsi="Lato"/>
          <w:sz w:val="24"/>
          <w:szCs w:val="24"/>
        </w:rPr>
        <w:t xml:space="preserve"> produktów ulegną obniżeniu ceny detaliczne brutto (od </w:t>
      </w:r>
      <w:r w:rsidR="00563942">
        <w:rPr>
          <w:rFonts w:ascii="Lato" w:hAnsi="Lato"/>
          <w:sz w:val="24"/>
          <w:szCs w:val="24"/>
        </w:rPr>
        <w:t>0,01</w:t>
      </w:r>
      <w:r w:rsidRPr="004D093B">
        <w:rPr>
          <w:rFonts w:ascii="Lato" w:hAnsi="Lato"/>
          <w:sz w:val="24"/>
          <w:szCs w:val="24"/>
        </w:rPr>
        <w:t xml:space="preserve"> zł do </w:t>
      </w:r>
      <w:r w:rsidR="00563942" w:rsidRPr="00563942">
        <w:rPr>
          <w:rFonts w:ascii="Lato" w:hAnsi="Lato"/>
          <w:sz w:val="24"/>
          <w:szCs w:val="24"/>
        </w:rPr>
        <w:t>384,1</w:t>
      </w:r>
      <w:r w:rsidR="00563942">
        <w:rPr>
          <w:rFonts w:ascii="Lato" w:hAnsi="Lato"/>
          <w:sz w:val="24"/>
          <w:szCs w:val="24"/>
        </w:rPr>
        <w:t xml:space="preserve">0 </w:t>
      </w:r>
      <w:r w:rsidRPr="004D093B">
        <w:rPr>
          <w:rFonts w:ascii="Lato" w:hAnsi="Lato"/>
          <w:sz w:val="24"/>
          <w:szCs w:val="24"/>
        </w:rPr>
        <w:t>zł).</w:t>
      </w:r>
    </w:p>
    <w:p w14:paraId="226D7B40" w14:textId="46984B98" w:rsidR="0048011A" w:rsidRPr="00563942" w:rsidRDefault="0048011A" w:rsidP="005639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Dla </w:t>
      </w:r>
      <w:r w:rsidR="00563942">
        <w:rPr>
          <w:rFonts w:ascii="Lato" w:hAnsi="Lato"/>
          <w:sz w:val="24"/>
          <w:szCs w:val="24"/>
        </w:rPr>
        <w:t>131</w:t>
      </w:r>
      <w:r w:rsidRPr="004D093B">
        <w:rPr>
          <w:rFonts w:ascii="Lato" w:hAnsi="Lato"/>
          <w:sz w:val="24"/>
          <w:szCs w:val="24"/>
        </w:rPr>
        <w:t xml:space="preserve"> produktów wzrosną ceny detaliczne brutto (od </w:t>
      </w:r>
      <w:r w:rsidR="00563942">
        <w:rPr>
          <w:rFonts w:ascii="Lato" w:hAnsi="Lato"/>
          <w:sz w:val="24"/>
          <w:szCs w:val="24"/>
        </w:rPr>
        <w:t>0,01</w:t>
      </w:r>
      <w:r w:rsidRPr="00563942">
        <w:rPr>
          <w:rFonts w:ascii="Lato" w:hAnsi="Lato"/>
          <w:sz w:val="24"/>
          <w:szCs w:val="24"/>
        </w:rPr>
        <w:t xml:space="preserve"> zł do </w:t>
      </w:r>
      <w:r w:rsidR="00563942" w:rsidRPr="00563942">
        <w:rPr>
          <w:rFonts w:ascii="Lato" w:hAnsi="Lato"/>
          <w:sz w:val="24"/>
          <w:szCs w:val="24"/>
        </w:rPr>
        <w:t>40,43 zł</w:t>
      </w:r>
      <w:r w:rsidRPr="00563942">
        <w:rPr>
          <w:rFonts w:ascii="Lato" w:hAnsi="Lato"/>
          <w:sz w:val="24"/>
          <w:szCs w:val="24"/>
        </w:rPr>
        <w:t>).</w:t>
      </w:r>
    </w:p>
    <w:p w14:paraId="5D1E0723" w14:textId="3711F468" w:rsidR="004D093B" w:rsidRDefault="0048011A" w:rsidP="0049228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D093B">
        <w:rPr>
          <w:rFonts w:ascii="Lato" w:hAnsi="Lato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7123D7">
        <w:rPr>
          <w:rFonts w:ascii="Lato" w:hAnsi="Lato"/>
          <w:sz w:val="24"/>
          <w:szCs w:val="24"/>
        </w:rPr>
        <w:t>26</w:t>
      </w:r>
      <w:r w:rsidRPr="004D093B">
        <w:rPr>
          <w:rFonts w:ascii="Lato" w:hAnsi="Lato"/>
          <w:sz w:val="24"/>
          <w:szCs w:val="24"/>
        </w:rPr>
        <w:t xml:space="preserve"> produktów bądź wskazań figurujących w poprzednim obwieszczeniu.</w:t>
      </w:r>
    </w:p>
    <w:p w14:paraId="6B466A0C" w14:textId="097EC3AB" w:rsidR="004D093B" w:rsidRDefault="004D093B">
      <w:pPr>
        <w:suppressAutoHyphens w:val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5EE3B53C" w14:textId="3117976F" w:rsidR="000E23B7" w:rsidRPr="008E4334" w:rsidRDefault="002E435A" w:rsidP="008E4334">
      <w:pPr>
        <w:suppressAutoHyphens w:val="0"/>
        <w:spacing w:after="0"/>
        <w:rPr>
          <w:rFonts w:ascii="Lato" w:hAnsi="Lato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8E2E620" wp14:editId="2C4EC0B4">
            <wp:extent cx="4394200" cy="2779878"/>
            <wp:effectExtent l="0" t="0" r="6350" b="19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C5090"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84DD1A3" wp14:editId="4EEE7015">
            <wp:extent cx="4400550" cy="2777320"/>
            <wp:effectExtent l="0" t="0" r="0" b="444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365FB" w14:textId="672F99A8" w:rsidR="008E4334" w:rsidRPr="008E4334" w:rsidRDefault="005E60B8" w:rsidP="008E4334">
      <w:pPr>
        <w:suppressAutoHyphens w:val="0"/>
        <w:spacing w:after="0"/>
        <w:rPr>
          <w:rFonts w:ascii="Lato" w:hAnsi="Lato"/>
          <w:sz w:val="16"/>
          <w:szCs w:val="16"/>
        </w:rPr>
      </w:pPr>
      <w:r>
        <w:rPr>
          <w:noProof/>
        </w:rPr>
        <w:drawing>
          <wp:inline distT="0" distB="0" distL="0" distR="0" wp14:anchorId="0CFC67D1" wp14:editId="28504E62">
            <wp:extent cx="4394200" cy="2765425"/>
            <wp:effectExtent l="0" t="0" r="6350" b="1587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E23B7"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B070894" wp14:editId="7119451A">
            <wp:extent cx="4400550" cy="2774950"/>
            <wp:effectExtent l="0" t="0" r="0" b="635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26B3A0" w14:textId="77777777" w:rsidR="008E4334" w:rsidRPr="008E4334" w:rsidRDefault="008E4334">
      <w:pPr>
        <w:suppressAutoHyphens w:val="0"/>
        <w:rPr>
          <w:rFonts w:ascii="Lato" w:hAnsi="Lato"/>
          <w:sz w:val="12"/>
          <w:szCs w:val="12"/>
        </w:rPr>
      </w:pPr>
      <w:r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4D093B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1"/>
      <w:r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D5628B" w:rsidRPr="004D093B" w14:paraId="1F4280B1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451CB341" w:rsidR="00D5628B" w:rsidRPr="004D093B" w:rsidRDefault="00FA3530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78F6C081" w:rsidR="00D5628B" w:rsidRPr="004D093B" w:rsidRDefault="00FA3530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Minjuvi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37256982" w:rsidR="00D5628B" w:rsidRPr="004D093B" w:rsidRDefault="00FA3530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tafasytamab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0ED6C811" w:rsidR="00D5628B" w:rsidRPr="004D093B" w:rsidRDefault="00FA3530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6DAC7DF6" w:rsidR="00D5628B" w:rsidRPr="004D093B" w:rsidRDefault="00FA3530" w:rsidP="00D5628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A353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2596" w14:textId="35DCF831" w:rsidR="005B202E" w:rsidRDefault="00FA3530" w:rsidP="00297BE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</w:t>
            </w:r>
            <w:r w:rsidR="00FF6AD4"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tafasytamabem w skojarzeniu z lenalidomidem dorosłych chorych na opornego/nawrotowego chłoniaka rozlanego z dużych komórek B (DLBCL), niekwalifikujących się do </w:t>
            </w:r>
            <w:r w:rsidRPr="00FA3530">
              <w:rPr>
                <w:rFonts w:ascii="Lato" w:hAnsi="Lato" w:cstheme="majorHAnsi"/>
                <w:color w:val="000000"/>
                <w:sz w:val="18"/>
                <w:szCs w:val="18"/>
              </w:rPr>
              <w:t>przeszczepienia autologicznych krwiotwórczych komórek macierzystych</w:t>
            </w:r>
            <w:r w:rsidR="005B202E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92A42AB" w14:textId="1750BBCC" w:rsidR="00D67833" w:rsidRPr="00780987" w:rsidRDefault="00D67833" w:rsidP="00297BE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78098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Kolejna technologia o wysokim poziomie innowacyjności (TLI)</w:t>
            </w:r>
          </w:p>
          <w:p w14:paraId="384CC36C" w14:textId="5D1260A4" w:rsidR="00D5628B" w:rsidRPr="004D093B" w:rsidRDefault="00FA3530" w:rsidP="0019035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495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495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9E495C" w:rsidRPr="004D093B" w14:paraId="5A345E23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4B7B502F" w:rsidR="009E495C" w:rsidRPr="004D093B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06F91352" w:rsidR="009E495C" w:rsidRPr="004D093B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Imbruvica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2E52C92A" w:rsidR="009E495C" w:rsidRPr="004D093B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ibrutynib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60C5F92F" w:rsidR="009E495C" w:rsidRPr="004D093B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2FD090C4" w:rsidR="009E495C" w:rsidRPr="004D093B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A353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8909" w14:textId="6996CAB7" w:rsidR="009E495C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ibrutynibem w monoterapii dorosłych chorych na opornego/nawrotowego chłoniaka z komórek płaszcza (MCL)</w:t>
            </w:r>
            <w:r w:rsidR="005B202E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309834F5" w14:textId="2742E562" w:rsidR="009E495C" w:rsidRPr="009E495C" w:rsidRDefault="009E495C" w:rsidP="009E495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E495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495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4506E0" w:rsidRPr="004D093B" w14:paraId="2F304C7B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3021F4BB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3.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389E0239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20C81914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cemiplimab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3776DBF9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B.88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3E2BE5F3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CHORYCH NA RAKA </w:t>
            </w:r>
            <w:r w:rsidRPr="004506E0">
              <w:rPr>
                <w:rFonts w:ascii="Lato" w:hAnsi="Lato" w:cstheme="majorHAnsi"/>
                <w:sz w:val="18"/>
                <w:szCs w:val="18"/>
              </w:rPr>
              <w:t>PODSTAWNOKOMÓRKOWEGO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SKÓRY (ICD-10: C44)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7BE20B68" w:rsidR="004506E0" w:rsidRPr="009E495C" w:rsidRDefault="005F48E8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7123D7">
              <w:rPr>
                <w:rFonts w:ascii="Lato" w:hAnsi="Lato" w:cstheme="majorHAnsi"/>
                <w:color w:val="000000"/>
                <w:sz w:val="18"/>
                <w:szCs w:val="18"/>
              </w:rPr>
              <w:t>cemiplimabem 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II</w:t>
            </w:r>
            <w:r w:rsidR="004506E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linii leczenia, u pacjentów, u których nastąpiła progresja choroby lub nietolerancja w trakcie terapii inhibitorem szlaku Hedgehog.</w:t>
            </w:r>
          </w:p>
        </w:tc>
      </w:tr>
      <w:tr w:rsidR="004506E0" w:rsidRPr="004D093B" w14:paraId="41B567A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7639CAB0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4.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44E172C7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Onureg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17FD0BCB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4506E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azacytydyna (postać doustna)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25F56514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B.114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164BFE49" w:rsidR="004506E0" w:rsidRPr="004D093B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7EB2">
              <w:rPr>
                <w:rFonts w:ascii="Lato" w:hAnsi="Lato" w:cstheme="majorHAnsi"/>
                <w:sz w:val="18"/>
                <w:szCs w:val="18"/>
              </w:rPr>
              <w:t>LECZENIE CHORYCH NA OSTRĄ BIAŁACZKĘ SZPIKOWĄ (ICD-10: C92.0)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F588" w14:textId="77777777" w:rsidR="004506E0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podtrzymujące azacytydyną doustną w monoterapii dorosłych chorych na ostrą białaczkę szpikową </w:t>
            </w:r>
            <w:r w:rsidRPr="009E495C">
              <w:rPr>
                <w:rFonts w:ascii="Lato" w:hAnsi="Lato" w:cstheme="majorHAnsi"/>
                <w:color w:val="000000"/>
                <w:sz w:val="18"/>
                <w:szCs w:val="18"/>
              </w:rPr>
              <w:t>w potwierdzonej pierwszej całkowitej remisji lub potwierdzonej remisji z niepełną regeneracją morfologii krwi po chemioterapii indukującej albo indukującej i konsolidującej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E05DB27" w14:textId="36CCF2EF" w:rsidR="004506E0" w:rsidRPr="00297BE9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495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495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4506E0" w:rsidRPr="004D093B" w14:paraId="4193F70D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583AD0B8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64003C40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781444CE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lenalidomid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48EF5EFC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color w:val="000000"/>
                <w:sz w:val="18"/>
                <w:szCs w:val="18"/>
              </w:rPr>
              <w:t>C.84.d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745019BE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sz w:val="18"/>
                <w:szCs w:val="18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89CE" w14:textId="77777777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lenalidomidem w skojarzeniu z rytuksymabem dorosłych pacjentów z uprzednio nieleczonym chłoniakiem grudkowym w stopniu 1-3a. </w:t>
            </w:r>
          </w:p>
          <w:p w14:paraId="3CCB805F" w14:textId="4819F2BE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skazanie off-label) </w:t>
            </w:r>
          </w:p>
          <w:p w14:paraId="5966388A" w14:textId="7C698595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4506E0" w:rsidRPr="004D093B" w14:paraId="79F6918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57C93713" w:rsidR="004506E0" w:rsidRPr="009E55F7" w:rsidRDefault="007E260D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</w:t>
            </w:r>
            <w:r w:rsidR="004506E0" w:rsidRPr="009E55F7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547C3A88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3CDE65BF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lenalidomid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1D68A70C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sz w:val="18"/>
                <w:szCs w:val="18"/>
              </w:rPr>
              <w:t>C.84.d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7858F895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sz w:val="18"/>
                <w:szCs w:val="18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6824" w14:textId="77777777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rytuksymabem dorosłych pacjentów z uprzednio leczonymi chłoniakiami strefy brzeżnej.</w:t>
            </w:r>
          </w:p>
          <w:p w14:paraId="69B8D1DE" w14:textId="6FEEF799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skazanie off-label) </w:t>
            </w:r>
          </w:p>
          <w:p w14:paraId="5F6D2A24" w14:textId="5ECD7F81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4506E0" w:rsidRPr="004D093B" w14:paraId="59AF2A0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B34E" w14:textId="4B585BBC" w:rsidR="004506E0" w:rsidRPr="009E55F7" w:rsidRDefault="007E260D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</w:t>
            </w:r>
            <w:r w:rsidR="001F5934" w:rsidRPr="009E55F7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AD20" w14:textId="37CE9FCC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3C8" w14:textId="0CD526B6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lenalidomid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83B9" w14:textId="52DD29B6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sz w:val="18"/>
                <w:szCs w:val="18"/>
              </w:rPr>
              <w:t>C.84.d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18B" w14:textId="30EB50B2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sz w:val="18"/>
                <w:szCs w:val="18"/>
              </w:rPr>
              <w:t>LENALIDOMIDUM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880B" w14:textId="77777777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rytuksymabem dorosłych pacjentów z nawracającym lub opornym na leczenie chłoniakiem z komórek płaszcza.</w:t>
            </w:r>
          </w:p>
          <w:p w14:paraId="2706DD7F" w14:textId="02B30F3C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skazanie off-label) </w:t>
            </w:r>
          </w:p>
          <w:p w14:paraId="2749EA53" w14:textId="09A70319" w:rsidR="004506E0" w:rsidRPr="009E55F7" w:rsidRDefault="004506E0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715293" w:rsidRPr="004D093B" w14:paraId="790FF8AE" w14:textId="77777777" w:rsidTr="00715293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10DF" w14:textId="573DDEF7" w:rsidR="00715293" w:rsidRPr="009E55F7" w:rsidRDefault="007E260D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8</w:t>
            </w:r>
            <w:r w:rsidR="00715293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2017" w14:textId="5E566C30" w:rsidR="00715293" w:rsidRPr="009E55F7" w:rsidRDefault="00715293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ED77" w14:textId="3AB89F1A" w:rsidR="00715293" w:rsidRPr="009E55F7" w:rsidRDefault="00715293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sunitynib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E9A4" w14:textId="781F30DB" w:rsidR="00715293" w:rsidRPr="009E55F7" w:rsidRDefault="00715293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C.88.b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F25A" w14:textId="5FFB6DC4" w:rsidR="00715293" w:rsidRPr="009E55F7" w:rsidRDefault="00715293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15293">
              <w:rPr>
                <w:rFonts w:ascii="Lato" w:hAnsi="Lato" w:cstheme="majorHAnsi"/>
                <w:sz w:val="18"/>
                <w:szCs w:val="18"/>
              </w:rPr>
              <w:t>SUNITINIB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4E6F" w14:textId="5B3CAE46" w:rsidR="00715293" w:rsidRDefault="00715293" w:rsidP="004506E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Leczenie sunitynibem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 xml:space="preserve"> mięsaków tkanek miękkich </w:t>
            </w:r>
            <w:r>
              <w:rPr>
                <w:rFonts w:ascii="Lato" w:hAnsi="Lato" w:cstheme="majorHAnsi"/>
                <w:sz w:val="18"/>
                <w:szCs w:val="18"/>
              </w:rPr>
              <w:t>u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 xml:space="preserve"> pacjentów z samotnym guzem włóknistym (</w:t>
            </w:r>
            <w:r w:rsidRPr="00286C98">
              <w:rPr>
                <w:rFonts w:ascii="Lato" w:hAnsi="Lato" w:cstheme="majorHAnsi"/>
                <w:i/>
                <w:iCs/>
                <w:sz w:val="18"/>
                <w:szCs w:val="18"/>
              </w:rPr>
              <w:t>solitary fibrous tumor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>), a także u wcześniej poddanych chemioterapii pacjentów z mięsakiem naczyniowym (</w:t>
            </w:r>
            <w:r w:rsidRPr="00286C98">
              <w:rPr>
                <w:rFonts w:ascii="Lato" w:hAnsi="Lato" w:cstheme="majorHAnsi"/>
                <w:i/>
                <w:iCs/>
                <w:sz w:val="18"/>
                <w:szCs w:val="18"/>
              </w:rPr>
              <w:t>angiosarcoma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>).</w:t>
            </w:r>
          </w:p>
          <w:p w14:paraId="59D91BE5" w14:textId="0DE7C9EE" w:rsidR="00715293" w:rsidRPr="009E55F7" w:rsidRDefault="00715293" w:rsidP="0071529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skazanie off-label) </w:t>
            </w:r>
          </w:p>
        </w:tc>
      </w:tr>
    </w:tbl>
    <w:p w14:paraId="7FCF9A29" w14:textId="4C28B391" w:rsidR="004D093B" w:rsidRDefault="004D093B">
      <w:pPr>
        <w:suppressAutoHyphens w:val="0"/>
      </w:pP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2D6ED9" w:rsidRPr="004D093B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297BE9" w:rsidRPr="004D093B" w14:paraId="7522F87A" w14:textId="77777777" w:rsidTr="00482638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41A62886" w:rsidR="00297BE9" w:rsidRPr="00B777B1" w:rsidRDefault="00297BE9" w:rsidP="00297BE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1E6D61EA" w:rsidR="00297BE9" w:rsidRPr="00B777B1" w:rsidRDefault="00297BE9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Adynovi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5967C83A" w:rsidR="00297BE9" w:rsidRPr="00B10EED" w:rsidRDefault="00482638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B10EED">
              <w:rPr>
                <w:rFonts w:ascii="Lato" w:hAnsi="Lato"/>
                <w:i/>
                <w:iCs/>
                <w:sz w:val="18"/>
                <w:szCs w:val="18"/>
              </w:rPr>
              <w:t>rurioktokog alfa pegol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1ADE0C5F" w:rsidR="00297BE9" w:rsidRPr="00B777B1" w:rsidRDefault="00297BE9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B.15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538D4C70" w:rsidR="00297BE9" w:rsidRPr="00B777B1" w:rsidRDefault="00297BE9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sz w:val="18"/>
                <w:szCs w:val="18"/>
              </w:rPr>
              <w:t>ZAPOBIEGANIE KRWAWIENIOM U DZIECI Z HEMOFILIĄ A I B (ICD-10: D66, D67)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C275" w14:textId="77777777" w:rsidR="00297BE9" w:rsidRDefault="00297BE9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Leczenie i profilaktyka krwawień u pacjentów w wieku 12 lat i powyżej z hemofilią A</w:t>
            </w:r>
            <w:r w:rsidR="00B777B1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5797C9BB" w14:textId="5F6EAA62" w:rsidR="00492210" w:rsidRPr="00B777B1" w:rsidRDefault="00492210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5B202E" w:rsidRPr="004D093B" w14:paraId="5ED86F3E" w14:textId="77777777" w:rsidTr="00482638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79487ADC" w:rsidR="005B202E" w:rsidRPr="00B777B1" w:rsidRDefault="005B202E" w:rsidP="005B202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60582304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Skyrizi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479640B2" w:rsidR="005B202E" w:rsidRPr="00B10EED" w:rsidRDefault="00B777B1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B10EED">
              <w:rPr>
                <w:rFonts w:ascii="Lato" w:hAnsi="Lato"/>
                <w:i/>
                <w:iCs/>
                <w:sz w:val="18"/>
                <w:szCs w:val="18"/>
              </w:rPr>
              <w:t>ryzankizumab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0996075C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B.35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51F91D32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sz w:val="18"/>
                <w:szCs w:val="18"/>
              </w:rPr>
              <w:t>LECZENIE CHORYCH Z ŁUSZCZYCOWYM ZAPALENIEM STAWÓW (ŁZS) (ICD-10: L40.5, M07.1, M07.2, M07.3)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5F47A2D5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łuszczycowym zapaleniem stawów kolejnym inhibitorem interleukin</w:t>
            </w:r>
            <w:r w:rsidR="00B777B1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B202E" w:rsidRPr="004D093B" w14:paraId="5CE97390" w14:textId="77777777" w:rsidTr="00482638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3F80FCFA" w:rsidR="005B202E" w:rsidRPr="00B777B1" w:rsidRDefault="005B202E" w:rsidP="005B202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5EC14935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Tremfya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38226CB7" w:rsidR="005B202E" w:rsidRPr="00B10EED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B10EED">
              <w:rPr>
                <w:rFonts w:ascii="Lato" w:hAnsi="Lato" w:cs="Calibri Light"/>
                <w:i/>
                <w:iCs/>
                <w:sz w:val="18"/>
                <w:szCs w:val="18"/>
              </w:rPr>
              <w:t>guselkumab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5BA4F889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B.35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04E129F4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sz w:val="18"/>
                <w:szCs w:val="18"/>
              </w:rPr>
              <w:t>LECZENIE CHORYCH Z ŁUSZCZYCOWYM ZAPALENIEM STAWÓW (ŁZS) (ICD-10: L40.5, M07.1, M07.2, M07.3)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806" w14:textId="5A3EA429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łuszczycowym zapaleniem stawów kolejnym inhibitorem interleukin</w:t>
            </w:r>
            <w:r w:rsidR="00B777B1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B202E" w:rsidRPr="004D093B" w14:paraId="6D899FDB" w14:textId="77777777" w:rsidTr="00482638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073EBAD0" w:rsidR="005B202E" w:rsidRPr="00B777B1" w:rsidRDefault="005B202E" w:rsidP="005B202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4A2A4A70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Zeposia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53768DD1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ozanimod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062B70AF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4B8E9050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0B277D82" w:rsidR="005B202E" w:rsidRPr="00B777B1" w:rsidRDefault="00FB2A70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7123D7">
              <w:rPr>
                <w:rFonts w:ascii="Lato" w:hAnsi="Lato" w:cstheme="majorHAnsi"/>
                <w:color w:val="000000"/>
                <w:sz w:val="18"/>
                <w:szCs w:val="18"/>
              </w:rPr>
              <w:t>pacjentów za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pomocą</w:t>
            </w:r>
            <w:r w:rsidR="005B202E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B2A70">
              <w:rPr>
                <w:rFonts w:ascii="Lato" w:hAnsi="Lato" w:cstheme="majorHAnsi"/>
                <w:color w:val="000000"/>
                <w:sz w:val="18"/>
                <w:szCs w:val="18"/>
              </w:rPr>
              <w:t>modulator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FB2A7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receptora fosforanu sfingozyny 1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(ozanimodem)</w:t>
            </w:r>
            <w:r w:rsidRPr="00FB2A7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5B202E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z rozpoznaną ciężką lub umiarkowaną postacią wrzodziejącego zapalenia jelita grubego.</w:t>
            </w:r>
          </w:p>
        </w:tc>
      </w:tr>
      <w:tr w:rsidR="005B202E" w:rsidRPr="004D093B" w14:paraId="1AF8AB98" w14:textId="77777777" w:rsidTr="00482638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1BB26189" w:rsidR="005B202E" w:rsidRPr="00B777B1" w:rsidRDefault="005B202E" w:rsidP="005B202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25B123AC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b/>
                <w:bCs/>
                <w:sz w:val="18"/>
                <w:szCs w:val="18"/>
              </w:rPr>
              <w:t>Jyseleca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17B23263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i/>
                <w:iCs/>
                <w:sz w:val="18"/>
                <w:szCs w:val="18"/>
              </w:rPr>
              <w:t>filgotynib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2A43BC95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03A677F3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507D966B" w:rsidR="005B202E" w:rsidRPr="00B777B1" w:rsidRDefault="00FB2A70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za pomocą kolejnego leku z </w:t>
            </w:r>
            <w:r w:rsidR="005B202E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grupy inhibitorów JAK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(filgotynibem)</w:t>
            </w:r>
            <w:r w:rsidR="005B202E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rozpoznaną ciężką lub umiarkowaną postacią wrzodziejącego zapalenia jelita grubego.</w:t>
            </w:r>
          </w:p>
        </w:tc>
      </w:tr>
      <w:tr w:rsidR="005B202E" w:rsidRPr="004D093B" w14:paraId="550257DA" w14:textId="77777777" w:rsidTr="00482638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35F48AC8" w:rsidR="005B202E" w:rsidRPr="00B777B1" w:rsidRDefault="005B202E" w:rsidP="005B202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50FA710A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b/>
                <w:bCs/>
                <w:sz w:val="18"/>
                <w:szCs w:val="18"/>
              </w:rPr>
              <w:t>Nplate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286C63FF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i/>
                <w:iCs/>
                <w:sz w:val="18"/>
                <w:szCs w:val="18"/>
              </w:rPr>
              <w:t>romiplost</w:t>
            </w:r>
            <w:r w:rsidR="00B777B1" w:rsidRPr="00B777B1">
              <w:rPr>
                <w:rFonts w:ascii="Lato" w:hAnsi="Lato" w:cstheme="majorHAnsi"/>
                <w:i/>
                <w:iCs/>
                <w:sz w:val="18"/>
                <w:szCs w:val="18"/>
              </w:rPr>
              <w:t>ym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5922470F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130CF779" w:rsidR="005B202E" w:rsidRPr="00B777B1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 (ICD-10 D69.3)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919F" w14:textId="77777777" w:rsidR="005B202E" w:rsidRDefault="005B202E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Rozszerzenie populacji o pacjentów, u których nie wykonano splenektomii</w:t>
            </w:r>
            <w:r w:rsidR="00B777B1" w:rsidRPr="00B777B1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686710F4" w14:textId="4F5CA7B5" w:rsidR="00492210" w:rsidRPr="00B777B1" w:rsidRDefault="00492210" w:rsidP="0048263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D6783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9E55F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9E55F7" w:rsidRPr="004D093B" w14:paraId="26858F42" w14:textId="77777777" w:rsidTr="009E55F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6717" w14:textId="5539388A" w:rsidR="009E55F7" w:rsidRPr="00286C98" w:rsidRDefault="009E55F7" w:rsidP="009E55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DCCF" w14:textId="1FBC353C" w:rsidR="009E55F7" w:rsidRPr="001469F7" w:rsidRDefault="009E55F7" w:rsidP="009E55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469F7">
              <w:rPr>
                <w:rFonts w:ascii="Lato" w:hAnsi="Lato" w:cstheme="majorHAnsi"/>
                <w:sz w:val="18"/>
                <w:szCs w:val="18"/>
              </w:rPr>
              <w:t>B.8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C9FE" w14:textId="38FD2C21" w:rsidR="009E55F7" w:rsidRPr="001469F7" w:rsidRDefault="009E55F7" w:rsidP="009E55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LECZENIE CHORYCH NA MIĘSAKI TKANEK MIĘKKICH (ICD-10: C48, C49)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D21D" w14:textId="4B3421C7" w:rsidR="009E55F7" w:rsidRPr="001469F7" w:rsidRDefault="009E55F7" w:rsidP="009E55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Kompleksowa zmiana budowy programu lekowego dotyczącego leczenia pacjentów z mięsakami tkanek miękkich zainicjowana przeniesieniem sunitynibu do katalogu chemioterapii. Ujednolicono</w:t>
            </w:r>
            <w:r w:rsidR="0087151D" w:rsidRPr="00286C98">
              <w:rPr>
                <w:rFonts w:ascii="Lato" w:hAnsi="Lato" w:cstheme="majorHAnsi"/>
                <w:sz w:val="18"/>
                <w:szCs w:val="18"/>
              </w:rPr>
              <w:t xml:space="preserve"> oraz uproszczono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 xml:space="preserve"> kryteria kwalifikacji oraz wyłączenia z programu wobec dwóch pozostałych terapii. W przypadku trab</w:t>
            </w:r>
            <w:r w:rsidR="00AD341B">
              <w:rPr>
                <w:rFonts w:ascii="Lato" w:hAnsi="Lato" w:cstheme="majorHAnsi"/>
                <w:sz w:val="18"/>
                <w:szCs w:val="18"/>
              </w:rPr>
              <w:t>e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 xml:space="preserve">ktedyny rozszerzono kryterium włączenia o pacjentów ze stanem sprawności ocenionym na 2 wg </w:t>
            </w:r>
            <w:r w:rsidR="0087151D" w:rsidRPr="00286C98">
              <w:rPr>
                <w:rFonts w:ascii="Lato" w:hAnsi="Lato" w:cstheme="majorHAnsi"/>
                <w:sz w:val="18"/>
                <w:szCs w:val="18"/>
              </w:rPr>
              <w:t xml:space="preserve">ECOG. Zmiany porządkujące objęły </w:t>
            </w:r>
            <w:r w:rsidR="00F5589A">
              <w:rPr>
                <w:rFonts w:ascii="Lato" w:hAnsi="Lato" w:cstheme="majorHAnsi"/>
                <w:sz w:val="18"/>
                <w:szCs w:val="18"/>
              </w:rPr>
              <w:t>także zapisy dotycz</w:t>
            </w:r>
            <w:r w:rsidR="005F48E8">
              <w:rPr>
                <w:rFonts w:ascii="Lato" w:hAnsi="Lato" w:cstheme="majorHAnsi"/>
                <w:sz w:val="18"/>
                <w:szCs w:val="18"/>
              </w:rPr>
              <w:t>ą</w:t>
            </w:r>
            <w:r w:rsidR="00F5589A">
              <w:rPr>
                <w:rFonts w:ascii="Lato" w:hAnsi="Lato" w:cstheme="majorHAnsi"/>
                <w:sz w:val="18"/>
                <w:szCs w:val="18"/>
              </w:rPr>
              <w:t>ce</w:t>
            </w:r>
            <w:r w:rsidR="0087151D" w:rsidRPr="00286C98">
              <w:rPr>
                <w:rFonts w:ascii="Lato" w:hAnsi="Lato" w:cstheme="majorHAnsi"/>
                <w:sz w:val="18"/>
                <w:szCs w:val="18"/>
              </w:rPr>
              <w:t xml:space="preserve"> dawkowani</w:t>
            </w:r>
            <w:r w:rsidR="00F5589A">
              <w:rPr>
                <w:rFonts w:ascii="Lato" w:hAnsi="Lato" w:cstheme="majorHAnsi"/>
                <w:sz w:val="18"/>
                <w:szCs w:val="18"/>
              </w:rPr>
              <w:t>a</w:t>
            </w:r>
            <w:r w:rsidR="0087151D" w:rsidRPr="00286C98">
              <w:rPr>
                <w:rFonts w:ascii="Lato" w:hAnsi="Lato" w:cstheme="majorHAnsi"/>
                <w:sz w:val="18"/>
                <w:szCs w:val="18"/>
              </w:rPr>
              <w:t>, jak również badań diagnostycznych wykonywanych w trakcie kwalifikacji i monitorowania leczenia.</w:t>
            </w:r>
          </w:p>
        </w:tc>
      </w:tr>
      <w:tr w:rsidR="001469F7" w:rsidRPr="004D093B" w14:paraId="57B10F66" w14:textId="77777777" w:rsidTr="009E55F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F5C1" w14:textId="12D6EEDC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CD40" w14:textId="6F5FCF49" w:rsidR="001469F7" w:rsidRPr="001469F7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469F7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C574" w14:textId="16ECD14D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469F7">
              <w:rPr>
                <w:rFonts w:ascii="Lato" w:hAnsi="Lato" w:cstheme="majorHAnsi"/>
                <w:sz w:val="18"/>
                <w:szCs w:val="18"/>
              </w:rPr>
              <w:t>LECZENIE PACJENTÓW Z RAKIEM NERKI (ICD-10 C64)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A545" w14:textId="6A63B5A3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469F7">
              <w:rPr>
                <w:rFonts w:ascii="Lato" w:hAnsi="Lato" w:cstheme="majorHAnsi"/>
                <w:sz w:val="18"/>
                <w:szCs w:val="18"/>
              </w:rPr>
              <w:t xml:space="preserve">Ujednolicenie kryteriów kwalifikacji, wyłączenia oraz badań diagnostycznych, a </w:t>
            </w:r>
            <w:r w:rsidR="007123D7" w:rsidRPr="001469F7">
              <w:rPr>
                <w:rFonts w:ascii="Lato" w:hAnsi="Lato" w:cstheme="majorHAnsi"/>
                <w:sz w:val="18"/>
                <w:szCs w:val="18"/>
              </w:rPr>
              <w:t>także monitorowania</w:t>
            </w:r>
            <w:r w:rsidRPr="001469F7">
              <w:rPr>
                <w:rFonts w:ascii="Lato" w:hAnsi="Lato" w:cstheme="majorHAnsi"/>
                <w:sz w:val="18"/>
                <w:szCs w:val="18"/>
              </w:rPr>
              <w:t xml:space="preserve"> bezpieczeństwa i skuteczności leczenia.</w:t>
            </w:r>
          </w:p>
        </w:tc>
      </w:tr>
      <w:tr w:rsidR="001469F7" w:rsidRPr="004D093B" w14:paraId="50DA02B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5A9628E4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6B913F6A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22F03E84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5FE5D9B3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 xml:space="preserve">Zniesienie zapisów dotyczących leczenia cyklosporyną w kolumnie </w:t>
            </w:r>
            <w:r w:rsidR="00D67833">
              <w:rPr>
                <w:rFonts w:ascii="Lato" w:hAnsi="Lato" w:cstheme="majorHAnsi"/>
                <w:sz w:val="18"/>
                <w:szCs w:val="18"/>
              </w:rPr>
              <w:t>Świadczeniobiorcy</w:t>
            </w:r>
            <w:r w:rsidR="00D67833" w:rsidRPr="00286C98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>dla pacjentów kwalifikujących się do leczenia ciężkiej lub umiarkowanej postaci wrzodziejącego zapalenia jelita grubego.</w:t>
            </w:r>
          </w:p>
        </w:tc>
      </w:tr>
      <w:tr w:rsidR="001469F7" w:rsidRPr="004D093B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4DAB8ACB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477548D6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B.71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59EC5A09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LECZENIE TERAPIĄ BEZINTERFERONOWĄ CHORYCH NA PRZEWLEKŁE WIRUSOWE ZAPALENIE WĄTROBY TYPU C (ICD-10: B18.2)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67268D34" w:rsidR="001469F7" w:rsidRPr="00286C98" w:rsidRDefault="001469F7" w:rsidP="00B31D55">
            <w:pPr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Zmiany w programie lekowym </w:t>
            </w:r>
            <w:r w:rsidR="005F48E8">
              <w:rPr>
                <w:rFonts w:ascii="Lato" w:hAnsi="Lato" w:cstheme="majorHAnsi"/>
                <w:color w:val="000000"/>
                <w:sz w:val="18"/>
                <w:szCs w:val="18"/>
              </w:rPr>
              <w:t>o</w:t>
            </w: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charakter</w:t>
            </w:r>
            <w:r w:rsidR="005F48E8">
              <w:rPr>
                <w:rFonts w:ascii="Lato" w:hAnsi="Lato" w:cstheme="majorHAnsi"/>
                <w:color w:val="000000"/>
                <w:sz w:val="18"/>
                <w:szCs w:val="18"/>
              </w:rPr>
              <w:t>ze</w:t>
            </w: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porządkujący</w:t>
            </w:r>
            <w:r w:rsidR="005F48E8"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. Zaktualizowano wskaźniki dokumentujące stopień zaawansowania choroby wątroby poprzez dodanie wskaźnika APRI</w:t>
            </w:r>
            <w:r w:rsidR="00B31D5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</w:t>
            </w: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FIB-4. Zniesiono konieczność oznaczania genotypu HCV w przypadku pacjentów włączonych pierwszorazowo do terapii pangenotypowej. Dodatkowo zmianie uległy zapisy dotyczące monitorowania leczenia w programie</w:t>
            </w:r>
            <w:r w:rsidR="00B31D5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– w </w:t>
            </w: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określonych przypadkach klinicznych możliwe jest odstąpienie od wizyt monitorujących leczenie w trakcie terapii.</w:t>
            </w:r>
          </w:p>
        </w:tc>
      </w:tr>
      <w:tr w:rsidR="001469F7" w:rsidRPr="004D093B" w14:paraId="67293BB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48F87107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1F20456A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3413A796" w:rsidR="001469F7" w:rsidRPr="00286C98" w:rsidRDefault="001469F7" w:rsidP="001469F7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286C98">
              <w:rPr>
                <w:rFonts w:ascii="Lato" w:hAnsi="Lato"/>
                <w:sz w:val="18"/>
                <w:szCs w:val="18"/>
              </w:rPr>
              <w:t>LECZENIE DOROSŁYCH CHORYCH NA PIERWOTNĄ MAŁOPŁYTKOWOŚĆ IMMUNOLOGICZNĄ (ICD-10: D69.3)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4DF" w14:textId="30ED3197" w:rsidR="001469F7" w:rsidRPr="00286C98" w:rsidRDefault="00715293" w:rsidP="00715293">
            <w:pPr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1529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Ujednolicenie kryteriów kwalifikacji do programu dla eltrombopagu, romiplostymu i awatrombopagu poprzez usunięcie zapisu o przeciwskazaniu do wykonania splenektomii lub nieskuteczności splenektomii.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Wydłużeniu uległ okres </w:t>
            </w:r>
            <w:r w:rsidRPr="00715293">
              <w:rPr>
                <w:rFonts w:ascii="Lato" w:hAnsi="Lato" w:cstheme="majorHAnsi"/>
                <w:color w:val="000000"/>
                <w:sz w:val="18"/>
                <w:szCs w:val="18"/>
              </w:rPr>
              <w:t>między badaniami okulistycznymi w przypadku leczenia eltrombopagiem z 3 na 12 miesięcy.</w:t>
            </w:r>
          </w:p>
        </w:tc>
      </w:tr>
      <w:tr w:rsidR="001469F7" w:rsidRPr="004D093B" w14:paraId="66D571B6" w14:textId="77777777" w:rsidTr="00E35A64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7E14E6DE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4CAC2F1D" w:rsidR="001469F7" w:rsidRPr="00286C98" w:rsidRDefault="001469F7" w:rsidP="001469F7">
            <w:pPr>
              <w:pStyle w:val="Style2"/>
              <w:widowControl/>
              <w:spacing w:after="24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C.88.a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br/>
            </w:r>
            <w:r w:rsidRPr="00286C98"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  <w:t>C.88.b</w:t>
            </w:r>
            <w:r w:rsidRPr="00286C98"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  <w:br/>
              <w:t>C.88.c</w:t>
            </w:r>
            <w:r w:rsidRPr="00286C98"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  <w:br/>
              <w:t>C.88.d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45BE25F1" w:rsidR="001469F7" w:rsidRPr="00286C98" w:rsidRDefault="001469F7" w:rsidP="001469F7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86C98">
              <w:rPr>
                <w:rFonts w:ascii="Lato" w:hAnsi="Lato"/>
                <w:i/>
                <w:iCs/>
                <w:sz w:val="18"/>
                <w:szCs w:val="18"/>
              </w:rPr>
              <w:t>SUNITINIB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E511" w14:textId="58E57C1F" w:rsidR="001469F7" w:rsidRPr="00286C98" w:rsidRDefault="001469F7" w:rsidP="001469F7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Zmiana kategorii dostępności refundacyjnej sunitynibu:</w:t>
            </w:r>
          </w:p>
          <w:p w14:paraId="289DD51E" w14:textId="65B0A157" w:rsidR="001469F7" w:rsidRPr="00286C98" w:rsidRDefault="001469F7" w:rsidP="00B31D55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B.3 - LECZENIE NOWOTWORÓW PODŚCIELISKA PRZEWODU POKARMOWEGO (GIST) (ICD-10 C 15, C 16, C 17, C 18, C 20, C 48) do katalogu chemioterapii C.88.a,</w:t>
            </w:r>
          </w:p>
          <w:p w14:paraId="47396D80" w14:textId="50D51C90" w:rsidR="001469F7" w:rsidRPr="00286C98" w:rsidRDefault="001469F7" w:rsidP="001469F7">
            <w:pPr>
              <w:pStyle w:val="Akapitzlist"/>
              <w:numPr>
                <w:ilvl w:val="0"/>
                <w:numId w:val="24"/>
              </w:num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B.8 - LECZENIE CHORYCH NA MIĘSAKI TKANEK MIĘKKICH (ICD-10: C48, C49) do katalogu chemioterapii C.88.b,</w:t>
            </w:r>
          </w:p>
          <w:p w14:paraId="40594A6A" w14:textId="14F5D1FF" w:rsidR="001469F7" w:rsidRPr="00286C98" w:rsidRDefault="001469F7" w:rsidP="001469F7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B.10 - LECZENIE PACJENTÓW Z RAKIEM NERKI (ICD-10: C64) do katalogu chemioterapii C.88.c,</w:t>
            </w:r>
          </w:p>
          <w:p w14:paraId="5065542C" w14:textId="65565439" w:rsidR="001469F7" w:rsidRPr="00286C98" w:rsidRDefault="001469F7" w:rsidP="00B31D55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B.53 - LECZENIE WYSOKO ZRÓŻNICOWANEGO NOWOTWORU NEUROENDOKRYNNEGO TRZUSTKI (ICD-10 C25.4) do katalogu chemioterapii C.88.d.</w:t>
            </w:r>
          </w:p>
          <w:p w14:paraId="47B24297" w14:textId="77777777" w:rsidR="001469F7" w:rsidRPr="00286C98" w:rsidRDefault="001469F7" w:rsidP="001469F7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</w:p>
          <w:p w14:paraId="4C9AB9C4" w14:textId="22A9753E" w:rsidR="001469F7" w:rsidRPr="001469F7" w:rsidRDefault="001469F7" w:rsidP="00D97597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W leczeniu nowotworów podścieliska przewodu pokarmowego (GIST) dodany został kod ICD-10 C19, który nie był uwzględniony w uprzednio obowiązującym programie lekowym B.3.</w:t>
            </w:r>
          </w:p>
        </w:tc>
      </w:tr>
      <w:tr w:rsidR="001469F7" w:rsidRPr="004D093B" w14:paraId="1EC37EE4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02E9BDE0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3064424D" w:rsidR="001469F7" w:rsidRPr="00286C98" w:rsidRDefault="001469F7" w:rsidP="001469F7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286C98"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  <w:t>C.89.a</w:t>
            </w:r>
            <w:r w:rsidRPr="00286C98"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  <w:br/>
              <w:t>C.89.b</w:t>
            </w:r>
            <w:r w:rsidRPr="00286C98"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  <w:br/>
              <w:t>C.89.c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1F678EA4" w:rsidR="001469F7" w:rsidRPr="00286C98" w:rsidRDefault="001469F7" w:rsidP="001469F7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286C98">
              <w:rPr>
                <w:rFonts w:ascii="Lato" w:hAnsi="Lato"/>
                <w:i/>
                <w:iCs/>
                <w:sz w:val="18"/>
                <w:szCs w:val="18"/>
              </w:rPr>
              <w:t>SORAFENIB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8C90" w14:textId="644C299E" w:rsidR="001469F7" w:rsidRPr="00286C98" w:rsidRDefault="001469F7" w:rsidP="001469F7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Zmiana kategorii dostępności refundacyjnej sorafenibu:</w:t>
            </w:r>
          </w:p>
          <w:p w14:paraId="7DE35696" w14:textId="4BCE372C" w:rsidR="001469F7" w:rsidRPr="00286C98" w:rsidRDefault="001469F7" w:rsidP="00B31D55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B.3 - LECZENIE NOWOTWORÓW PODŚCIELISKA PRZEWODU POKARMOWEGO (GIST) (ICD-10 C 15, C 16, C 17, C 18, C 20, C 48) do katalogu chemioterapii C.89.a,</w:t>
            </w:r>
          </w:p>
          <w:p w14:paraId="157DB660" w14:textId="17068492" w:rsidR="001469F7" w:rsidRPr="00286C98" w:rsidRDefault="001469F7" w:rsidP="00B31D55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B.5 - LECZENIE CHORYCH NA RAKA WĄTROBOWOKOMÓRKOWEGO (ICD-10: C22.0) do katalogu chemioterapii C.89.b,</w:t>
            </w:r>
          </w:p>
          <w:p w14:paraId="12CA3A59" w14:textId="2435D18F" w:rsidR="001469F7" w:rsidRPr="00286C98" w:rsidRDefault="001469F7" w:rsidP="00B31D55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B.10 - LECZENIE PACJENTÓW Z RAKIEM NERKI (ICD-10: C64) do katalogu chemioterapii C.89.c.</w:t>
            </w:r>
          </w:p>
          <w:p w14:paraId="6330DED5" w14:textId="77777777" w:rsidR="001469F7" w:rsidRPr="00286C98" w:rsidRDefault="001469F7" w:rsidP="001469F7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</w:p>
          <w:p w14:paraId="3FCFB79B" w14:textId="4C9E0C46" w:rsidR="001469F7" w:rsidRPr="001469F7" w:rsidRDefault="001469F7" w:rsidP="001469F7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W leczeniu nowotworów podścieliska przewodu pokarmowego (GIST) dodany został kod ICD-10 C19, który nie był uwzględniony w uprzednio obowiązującym programie lekowym B.3.</w:t>
            </w:r>
          </w:p>
        </w:tc>
      </w:tr>
      <w:tr w:rsidR="001469F7" w:rsidRPr="004D093B" w14:paraId="760505AF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4D49" w14:textId="5C25EB27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A35D" w14:textId="7C40F00D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color w:val="000000"/>
                <w:sz w:val="18"/>
                <w:szCs w:val="18"/>
              </w:rPr>
              <w:t>C.</w:t>
            </w:r>
            <w:r w:rsidR="002035D9">
              <w:rPr>
                <w:rFonts w:ascii="Lato" w:hAnsi="Lato" w:cstheme="majorHAnsi"/>
                <w:color w:val="000000"/>
                <w:sz w:val="18"/>
                <w:szCs w:val="18"/>
              </w:rPr>
              <w:t>70.d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952" w14:textId="1DED6BE2" w:rsidR="001469F7" w:rsidRPr="00286C98" w:rsidRDefault="001469F7" w:rsidP="001469F7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/>
                <w:i/>
                <w:iCs/>
                <w:sz w:val="18"/>
                <w:szCs w:val="18"/>
              </w:rPr>
              <w:t>IMATINIB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B31E" w14:textId="4E9FBC1A" w:rsidR="001469F7" w:rsidRPr="00286C98" w:rsidRDefault="001469F7" w:rsidP="001469F7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Zmiana kategorii dostępności refundacyjnej imatynibu:</w:t>
            </w:r>
          </w:p>
          <w:p w14:paraId="61E0D9E7" w14:textId="0196AB62" w:rsidR="001469F7" w:rsidRPr="00286C98" w:rsidRDefault="001469F7" w:rsidP="001469F7">
            <w:pPr>
              <w:pStyle w:val="Akapitzlist"/>
              <w:numPr>
                <w:ilvl w:val="0"/>
                <w:numId w:val="24"/>
              </w:num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B.3 - LECZENIE NOWOTWORÓW PODŚCIELISKA PRZEWODU POKARMOWEGO (GIST) (ICD-10 C 15, C 16, C 17, C 18, C 20, C 48) do katalogu chemioterapii C.</w:t>
            </w:r>
            <w:r w:rsidR="002035D9">
              <w:rPr>
                <w:rFonts w:ascii="Lato" w:hAnsi="Lato" w:cstheme="majorHAnsi"/>
                <w:sz w:val="18"/>
                <w:szCs w:val="18"/>
              </w:rPr>
              <w:t>70.d</w:t>
            </w:r>
          </w:p>
          <w:p w14:paraId="3947F915" w14:textId="77777777" w:rsidR="001469F7" w:rsidRPr="00286C98" w:rsidRDefault="001469F7" w:rsidP="001469F7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</w:p>
          <w:p w14:paraId="29AD3CDF" w14:textId="64E17B67" w:rsidR="001469F7" w:rsidRPr="00286C98" w:rsidRDefault="001469F7" w:rsidP="001469F7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W leczeniu nowotworów podścieliska przewodu pokarmowego (GIST) dodany został kod ICD-10 C19, który nie był uwzględniony w uprzednio obowiązującym programie lekowym B.3.</w:t>
            </w:r>
          </w:p>
        </w:tc>
      </w:tr>
      <w:tr w:rsidR="001469F7" w:rsidRPr="004D093B" w14:paraId="51A86B54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6E115B44" w:rsidR="001469F7" w:rsidRPr="00286C98" w:rsidRDefault="001469F7" w:rsidP="001469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BB58" w14:textId="258A9E24" w:rsidR="001469F7" w:rsidRPr="00286C98" w:rsidRDefault="001469F7" w:rsidP="001469F7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286C98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C.91.a</w:t>
            </w:r>
            <w:r w:rsidRPr="00286C98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br/>
              <w:t>C.91.b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636BF845" w:rsidR="001469F7" w:rsidRPr="00286C98" w:rsidRDefault="001469F7" w:rsidP="001469F7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286C98">
              <w:rPr>
                <w:rFonts w:ascii="Lato" w:hAnsi="Lato"/>
                <w:i/>
                <w:iCs/>
                <w:sz w:val="18"/>
                <w:szCs w:val="18"/>
              </w:rPr>
              <w:t>EVEROLIMUS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96A1" w14:textId="19FC9DEB" w:rsidR="001469F7" w:rsidRPr="00286C98" w:rsidRDefault="001469F7" w:rsidP="001469F7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Zmiana kategorii dostępności refundacyjnej e</w:t>
            </w:r>
            <w:r w:rsidR="00B31D55">
              <w:rPr>
                <w:rFonts w:ascii="Lato" w:hAnsi="Lato" w:cstheme="majorHAnsi"/>
                <w:sz w:val="18"/>
                <w:szCs w:val="18"/>
              </w:rPr>
              <w:t>w</w:t>
            </w:r>
            <w:r w:rsidRPr="00286C98">
              <w:rPr>
                <w:rFonts w:ascii="Lato" w:hAnsi="Lato" w:cstheme="majorHAnsi"/>
                <w:sz w:val="18"/>
                <w:szCs w:val="18"/>
              </w:rPr>
              <w:t>erolimusu:</w:t>
            </w:r>
          </w:p>
          <w:p w14:paraId="2681DC45" w14:textId="140B4930" w:rsidR="001469F7" w:rsidRPr="00286C98" w:rsidRDefault="001469F7" w:rsidP="00B31D55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B.10 - LECZENIE PACJENTÓW Z RAKIEM NERKI (ICD-10: C64) do katalogu chemioterapii C.91.a,</w:t>
            </w:r>
          </w:p>
          <w:p w14:paraId="08AF8C5C" w14:textId="54378D1A" w:rsidR="001469F7" w:rsidRPr="001469F7" w:rsidRDefault="001469F7" w:rsidP="001469F7">
            <w:pPr>
              <w:pStyle w:val="Akapitzlist"/>
              <w:numPr>
                <w:ilvl w:val="0"/>
                <w:numId w:val="24"/>
              </w:num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286C98">
              <w:rPr>
                <w:rFonts w:ascii="Lato" w:hAnsi="Lato" w:cstheme="majorHAnsi"/>
                <w:sz w:val="18"/>
                <w:szCs w:val="18"/>
              </w:rPr>
              <w:t>z programu lekowego B.53 - LECZENIE WYSOKO ZRÓŻNICOWANEGO NOWOTWORU NEUROENDOKRYNNEGO TRZUSTKI (ICD-10 C25.4) do katalogu chemioterapii C.91.b.</w:t>
            </w:r>
          </w:p>
        </w:tc>
      </w:tr>
    </w:tbl>
    <w:p w14:paraId="242DFDC3" w14:textId="77777777" w:rsidR="0009112E" w:rsidRPr="004D093B" w:rsidRDefault="0009112E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2" w:name="_Hlk90283710"/>
    </w:p>
    <w:p w14:paraId="703841AA" w14:textId="7D00716A" w:rsidR="0056748F" w:rsidRPr="004D093B" w:rsidRDefault="004D093B" w:rsidP="00D97597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br w:type="page"/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D97597" w:rsidRPr="004D093B" w14:paraId="29CFA8AC" w14:textId="77777777" w:rsidTr="00D97597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A8B" w14:textId="3A7DBAF7" w:rsidR="00D97597" w:rsidRPr="004D093B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87151D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BF08" w14:textId="44592C29" w:rsidR="00D97597" w:rsidRPr="004D093B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Neocate Syneo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42CA" w14:textId="2C00060D" w:rsidR="00D97597" w:rsidRPr="004D093B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dieta eliminacyjna mlekozastępcza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11A8" w14:textId="17F4DC71" w:rsidR="00D97597" w:rsidRPr="004D093B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670A57">
              <w:rPr>
                <w:rFonts w:ascii="Lato" w:hAnsi="Lato" w:cstheme="majorHAnsi"/>
                <w:color w:val="000000"/>
                <w:sz w:val="18"/>
                <w:szCs w:val="18"/>
              </w:rPr>
              <w:t>Postępowanie dietetyczne w ciężkiej alergii na białka mleka krowiego oraz złożonej nietolerancji białek pokarmowych u pacjentów do ukończenia 18 roku życia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1E71" w14:textId="27B9ABFA" w:rsidR="00D97597" w:rsidRPr="004D093B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Zabezpieczenie pacjentów pediatrycznych powyżej 1 roku życia z ciężką alergią na białka mleka krowiego.</w:t>
            </w:r>
          </w:p>
        </w:tc>
      </w:tr>
      <w:tr w:rsidR="00D97597" w:rsidRPr="004D093B" w14:paraId="3E62A70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3C7C52A0" w:rsidR="00D97597" w:rsidRPr="0087151D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7041C36B" w:rsidR="00D97597" w:rsidRPr="0087151D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7151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Ylpio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71238F4D" w:rsidR="00D97597" w:rsidRPr="00B31D55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B31D5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indapamid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7C3D7E98" w:rsidR="00D97597" w:rsidRPr="0087151D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87151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5E2E96B6" w:rsidR="00D97597" w:rsidRPr="0087151D" w:rsidRDefault="00D97597" w:rsidP="00D9759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7151D">
              <w:rPr>
                <w:rFonts w:ascii="Lato" w:hAnsi="Lato" w:cstheme="majorHAnsi"/>
                <w:color w:val="000000"/>
                <w:sz w:val="18"/>
                <w:szCs w:val="18"/>
              </w:rPr>
              <w:t>Nowe połączenie cząsteczek – objęcie refundacją w ramach grupy limitowej 45.0 Antagoniści angiotensyny II - produkty jednoskładnikowe i złożone</w:t>
            </w:r>
          </w:p>
        </w:tc>
      </w:tr>
    </w:tbl>
    <w:p w14:paraId="6B996492" w14:textId="7A109703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697E37BD" w14:textId="3EDD577A" w:rsidR="0087151D" w:rsidRDefault="0087151D" w:rsidP="00DB1E88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INFORMACJA DOTYCZĄCA PROGRAMU LEKOWEGO B.3 oraz B.53.</w:t>
      </w:r>
    </w:p>
    <w:p w14:paraId="4C71B478" w14:textId="32D5975B" w:rsidR="0087151D" w:rsidRDefault="0087151D" w:rsidP="001469F7">
      <w:pPr>
        <w:spacing w:line="360" w:lineRule="auto"/>
        <w:jc w:val="both"/>
        <w:rPr>
          <w:rFonts w:ascii="Lato" w:hAnsi="Lato"/>
        </w:rPr>
      </w:pPr>
      <w:r w:rsidRPr="0044465D">
        <w:rPr>
          <w:rFonts w:ascii="Lato" w:hAnsi="Lato"/>
        </w:rPr>
        <w:t xml:space="preserve">Zgodnie z obwieszczeniem Ministra </w:t>
      </w:r>
      <w:r w:rsidRPr="00D97597">
        <w:rPr>
          <w:rFonts w:ascii="Lato" w:hAnsi="Lato"/>
        </w:rPr>
        <w:t>Zdrowia z dnia 2</w:t>
      </w:r>
      <w:r w:rsidR="00D97597">
        <w:rPr>
          <w:rFonts w:ascii="Lato" w:hAnsi="Lato"/>
        </w:rPr>
        <w:t xml:space="preserve">0 </w:t>
      </w:r>
      <w:r w:rsidRPr="00D97597">
        <w:rPr>
          <w:rFonts w:ascii="Lato" w:hAnsi="Lato"/>
        </w:rPr>
        <w:t>kwietnia 2023</w:t>
      </w:r>
      <w:r w:rsidRPr="00DB1E88">
        <w:rPr>
          <w:rFonts w:ascii="Lato" w:hAnsi="Lato"/>
        </w:rPr>
        <w:t xml:space="preserve"> r.,</w:t>
      </w:r>
      <w:r w:rsidRPr="0044465D">
        <w:rPr>
          <w:rFonts w:ascii="Lato" w:hAnsi="Lato"/>
        </w:rPr>
        <w:t xml:space="preserve"> w sprawie wykazu refundowanych leków, środków spożywczych specjalnego przeznaczenia żywieniowego oraz wyrobów medycznych na 1 </w:t>
      </w:r>
      <w:r>
        <w:rPr>
          <w:rFonts w:ascii="Lato" w:hAnsi="Lato"/>
        </w:rPr>
        <w:t>maja</w:t>
      </w:r>
      <w:r w:rsidRPr="0044465D">
        <w:rPr>
          <w:rFonts w:ascii="Lato" w:hAnsi="Lato"/>
        </w:rPr>
        <w:t xml:space="preserve"> 2023 r.</w:t>
      </w:r>
      <w:r>
        <w:rPr>
          <w:rFonts w:ascii="Lato" w:hAnsi="Lato"/>
        </w:rPr>
        <w:t xml:space="preserve">, produkty lecznicze z </w:t>
      </w:r>
      <w:r w:rsidRPr="00B31D55">
        <w:rPr>
          <w:rFonts w:ascii="Lato" w:hAnsi="Lato"/>
          <w:i/>
          <w:iCs/>
        </w:rPr>
        <w:t>imatynibem</w:t>
      </w:r>
      <w:r w:rsidRPr="00DB1E88">
        <w:rPr>
          <w:rFonts w:ascii="Lato" w:hAnsi="Lato"/>
        </w:rPr>
        <w:t xml:space="preserve">, </w:t>
      </w:r>
      <w:r w:rsidRPr="00B31D55">
        <w:rPr>
          <w:rFonts w:ascii="Lato" w:hAnsi="Lato"/>
          <w:i/>
          <w:iCs/>
        </w:rPr>
        <w:t>ewerolimusem</w:t>
      </w:r>
      <w:r w:rsidRPr="00DB1E88">
        <w:rPr>
          <w:rFonts w:ascii="Lato" w:hAnsi="Lato"/>
        </w:rPr>
        <w:t xml:space="preserve">, </w:t>
      </w:r>
      <w:r w:rsidRPr="00B31D55">
        <w:rPr>
          <w:rFonts w:ascii="Lato" w:hAnsi="Lato"/>
          <w:i/>
          <w:iCs/>
        </w:rPr>
        <w:t>sorafenibem</w:t>
      </w:r>
      <w:r w:rsidRPr="00DB1E88">
        <w:rPr>
          <w:rFonts w:ascii="Lato" w:hAnsi="Lato"/>
        </w:rPr>
        <w:t xml:space="preserve"> oraz </w:t>
      </w:r>
      <w:r w:rsidRPr="00B31D55">
        <w:rPr>
          <w:rFonts w:ascii="Lato" w:hAnsi="Lato"/>
          <w:i/>
          <w:iCs/>
        </w:rPr>
        <w:t>sunitynibem</w:t>
      </w:r>
      <w:r>
        <w:rPr>
          <w:rFonts w:ascii="Lato" w:hAnsi="Lato"/>
        </w:rPr>
        <w:t xml:space="preserve"> zostają przeniesione z obecnie refundowanych programów lekowych:</w:t>
      </w:r>
    </w:p>
    <w:p w14:paraId="34D0E9AB" w14:textId="65B0CFB1" w:rsidR="0087151D" w:rsidRPr="00DB1E88" w:rsidRDefault="0087151D" w:rsidP="00146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Lato" w:hAnsi="Lato"/>
        </w:rPr>
      </w:pPr>
      <w:r w:rsidRPr="00DB1E88">
        <w:rPr>
          <w:rFonts w:ascii="Lato" w:hAnsi="Lato"/>
        </w:rPr>
        <w:t>B.3 - LECZENIE NOWOTWORÓW PODŚCIELISKA PRZEWODU POKARMOWEGO (GIST) (ICD-10 C 15, C 16, C 17, C 18, C 20, C 48)</w:t>
      </w:r>
      <w:r w:rsidR="00DB1E88" w:rsidRPr="00DB1E88">
        <w:rPr>
          <w:rFonts w:ascii="Lato" w:hAnsi="Lato"/>
        </w:rPr>
        <w:t>,</w:t>
      </w:r>
    </w:p>
    <w:p w14:paraId="1D26E448" w14:textId="4B1CB6F5" w:rsidR="0087151D" w:rsidRPr="00DB1E88" w:rsidRDefault="0087151D" w:rsidP="00146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Lato" w:hAnsi="Lato"/>
        </w:rPr>
      </w:pPr>
      <w:r w:rsidRPr="00DB1E88">
        <w:rPr>
          <w:rFonts w:ascii="Lato" w:hAnsi="Lato"/>
        </w:rPr>
        <w:t>B.5 - LECZENIE CHORYCH NA RAKA WĄTROBOWOKOMÓRKOWEGO (ICD-10: C22.0)</w:t>
      </w:r>
      <w:r w:rsidR="00DB1E88" w:rsidRPr="00DB1E88">
        <w:rPr>
          <w:rFonts w:ascii="Lato" w:hAnsi="Lato"/>
        </w:rPr>
        <w:t>,</w:t>
      </w:r>
    </w:p>
    <w:p w14:paraId="4DA11286" w14:textId="27A39FEF" w:rsidR="0087151D" w:rsidRPr="00DB1E88" w:rsidRDefault="0087151D" w:rsidP="00146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Lato" w:hAnsi="Lato"/>
        </w:rPr>
      </w:pPr>
      <w:r w:rsidRPr="00DB1E88">
        <w:rPr>
          <w:rFonts w:ascii="Lato" w:hAnsi="Lato"/>
        </w:rPr>
        <w:t>B.8 - LECZENIE CHORYCH NA MIĘSAKI TKANEK MIĘKKICH (ICD-10: C48, C49)</w:t>
      </w:r>
      <w:r w:rsidR="00DB1E88" w:rsidRPr="00DB1E88">
        <w:rPr>
          <w:rFonts w:ascii="Lato" w:hAnsi="Lato"/>
        </w:rPr>
        <w:t>,</w:t>
      </w:r>
    </w:p>
    <w:p w14:paraId="37506A82" w14:textId="4B3B5FE0" w:rsidR="0087151D" w:rsidRPr="00DB1E88" w:rsidRDefault="0087151D" w:rsidP="00146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Lato" w:hAnsi="Lato"/>
        </w:rPr>
      </w:pPr>
      <w:r w:rsidRPr="00DB1E88">
        <w:rPr>
          <w:rFonts w:ascii="Lato" w:hAnsi="Lato"/>
        </w:rPr>
        <w:t>B.10 - LECZENIE PACJENTÓW Z RAKIEM NERKI (ICD-10: C64)</w:t>
      </w:r>
      <w:r w:rsidR="00DB1E88" w:rsidRPr="00DB1E88">
        <w:rPr>
          <w:rFonts w:ascii="Lato" w:hAnsi="Lato"/>
        </w:rPr>
        <w:t>,</w:t>
      </w:r>
    </w:p>
    <w:p w14:paraId="1994D3D5" w14:textId="7D8F573C" w:rsidR="00DB1E88" w:rsidRDefault="0087151D" w:rsidP="001469F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Lato" w:hAnsi="Lato"/>
        </w:rPr>
      </w:pPr>
      <w:r w:rsidRPr="00DB1E88">
        <w:rPr>
          <w:rFonts w:ascii="Lato" w:hAnsi="Lato"/>
        </w:rPr>
        <w:t>B.53 - LECZENIE WYSOKO ZRÓŻNICOWANEGO NOWOTWORU NEUROENDOKRYNNEGO TRZUSTKI (ICD-10 C25.4)</w:t>
      </w:r>
      <w:r w:rsidR="00DB1E88">
        <w:rPr>
          <w:rFonts w:ascii="Lato" w:hAnsi="Lato"/>
        </w:rPr>
        <w:t xml:space="preserve"> </w:t>
      </w:r>
      <w:r w:rsidR="00DB1E88" w:rsidRPr="00DB1E88">
        <w:rPr>
          <w:rFonts w:ascii="Lato" w:hAnsi="Lato"/>
        </w:rPr>
        <w:t xml:space="preserve">do katalogu </w:t>
      </w:r>
    </w:p>
    <w:p w14:paraId="5CD267B2" w14:textId="102C9676" w:rsidR="00DB1E88" w:rsidRPr="00DB1E88" w:rsidRDefault="00DB1E88" w:rsidP="001469F7">
      <w:pPr>
        <w:pStyle w:val="Akapitzlist"/>
        <w:spacing w:line="360" w:lineRule="auto"/>
        <w:jc w:val="both"/>
        <w:rPr>
          <w:rFonts w:ascii="Lato" w:hAnsi="Lato"/>
        </w:rPr>
      </w:pPr>
      <w:r w:rsidRPr="00DB1E88">
        <w:rPr>
          <w:rFonts w:ascii="Lato" w:hAnsi="Lato"/>
        </w:rPr>
        <w:t xml:space="preserve">chemioterapii. </w:t>
      </w:r>
    </w:p>
    <w:p w14:paraId="0700E8C2" w14:textId="25631654" w:rsidR="00DB1E88" w:rsidRPr="00DB1E88" w:rsidRDefault="00DB1E88" w:rsidP="001469F7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Przez wzgląd, iż wszystkie obecnie refundowane w ramach programu lekowego</w:t>
      </w:r>
      <w:r w:rsidRPr="00DB1E88">
        <w:rPr>
          <w:rFonts w:ascii="Lato" w:hAnsi="Lato"/>
        </w:rPr>
        <w:t xml:space="preserve"> B.3 - LECZENIE NOWOTWORÓW PODŚCIELISKA PRZEWODU POKARMOWEGO (GIST) (ICD-10 C 15, C 16, C 17, C 18, C 20, C 48) oraz B.53 - LECZENIE WYSOKO ZRÓŻNICOWANEGO NOWOTWORU NEUROENDOKRYNNEGO TRZUSTKI (ICD-10 C25.4)</w:t>
      </w:r>
      <w:r>
        <w:rPr>
          <w:rFonts w:ascii="Lato" w:hAnsi="Lato"/>
        </w:rPr>
        <w:t xml:space="preserve"> terapie, </w:t>
      </w:r>
      <w:r w:rsidR="00B31D55">
        <w:rPr>
          <w:rFonts w:ascii="Lato" w:hAnsi="Lato"/>
        </w:rPr>
        <w:t>podlegają</w:t>
      </w:r>
      <w:r>
        <w:rPr>
          <w:rFonts w:ascii="Lato" w:hAnsi="Lato"/>
        </w:rPr>
        <w:t xml:space="preserve"> zmianie kategorii dostępności refundacyjnej i zostają przeniesione do odpowiednich katalogów chemioterapii, </w:t>
      </w:r>
      <w:r w:rsidRPr="00DB1E88">
        <w:rPr>
          <w:rFonts w:ascii="Lato" w:hAnsi="Lato"/>
          <w:b/>
          <w:bCs/>
        </w:rPr>
        <w:t xml:space="preserve">od maja 2023 r. </w:t>
      </w:r>
      <w:r w:rsidR="00286C98">
        <w:rPr>
          <w:rFonts w:ascii="Lato" w:hAnsi="Lato"/>
          <w:b/>
          <w:bCs/>
        </w:rPr>
        <w:t xml:space="preserve">programy </w:t>
      </w:r>
      <w:r w:rsidR="00B31D55">
        <w:rPr>
          <w:rFonts w:ascii="Lato" w:hAnsi="Lato"/>
          <w:b/>
          <w:bCs/>
        </w:rPr>
        <w:t xml:space="preserve">lekowe </w:t>
      </w:r>
      <w:r w:rsidR="00286C98">
        <w:rPr>
          <w:rFonts w:ascii="Lato" w:hAnsi="Lato"/>
          <w:b/>
          <w:bCs/>
        </w:rPr>
        <w:t>B.3 i B.53</w:t>
      </w:r>
      <w:r w:rsidRPr="00DB1E88">
        <w:rPr>
          <w:rFonts w:ascii="Lato" w:hAnsi="Lato"/>
          <w:b/>
          <w:bCs/>
        </w:rPr>
        <w:t xml:space="preserve"> przestają obowiązywać.</w:t>
      </w:r>
    </w:p>
    <w:p w14:paraId="422D024A" w14:textId="48EE112D" w:rsidR="0087151D" w:rsidRPr="00DB1E88" w:rsidRDefault="0087151D" w:rsidP="00DB1E88">
      <w:pPr>
        <w:suppressAutoHyphens w:val="0"/>
        <w:spacing w:line="360" w:lineRule="auto"/>
        <w:jc w:val="both"/>
        <w:rPr>
          <w:rFonts w:ascii="Lato" w:hAnsi="Lato"/>
        </w:rPr>
      </w:pPr>
    </w:p>
    <w:sectPr w:rsidR="0087151D" w:rsidRPr="00DB1E88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098F" w14:textId="77777777" w:rsidR="006E3B7F" w:rsidRDefault="006E3B7F">
      <w:pPr>
        <w:spacing w:after="0" w:line="240" w:lineRule="auto"/>
      </w:pPr>
      <w:r>
        <w:separator/>
      </w:r>
    </w:p>
  </w:endnote>
  <w:endnote w:type="continuationSeparator" w:id="0">
    <w:p w14:paraId="3DCFE8EA" w14:textId="77777777" w:rsidR="006E3B7F" w:rsidRDefault="006E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B14D" w14:textId="77777777" w:rsidR="006E3B7F" w:rsidRDefault="006E3B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D49B54" w14:textId="77777777" w:rsidR="006E3B7F" w:rsidRDefault="006E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3" w:name="_Hlk74147372"/>
    <w:bookmarkEnd w:id="3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14A01"/>
    <w:multiLevelType w:val="hybridMultilevel"/>
    <w:tmpl w:val="B428E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6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66E36"/>
    <w:multiLevelType w:val="hybridMultilevel"/>
    <w:tmpl w:val="B5C4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5"/>
  </w:num>
  <w:num w:numId="2" w16cid:durableId="983047750">
    <w:abstractNumId w:val="3"/>
  </w:num>
  <w:num w:numId="3" w16cid:durableId="912206815">
    <w:abstractNumId w:val="6"/>
  </w:num>
  <w:num w:numId="4" w16cid:durableId="1919241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1"/>
  </w:num>
  <w:num w:numId="6" w16cid:durableId="1164782895">
    <w:abstractNumId w:val="4"/>
  </w:num>
  <w:num w:numId="7" w16cid:durableId="1764568987">
    <w:abstractNumId w:val="8"/>
  </w:num>
  <w:num w:numId="8" w16cid:durableId="1605840971">
    <w:abstractNumId w:val="10"/>
  </w:num>
  <w:num w:numId="9" w16cid:durableId="969629549">
    <w:abstractNumId w:val="19"/>
  </w:num>
  <w:num w:numId="10" w16cid:durableId="1576276737">
    <w:abstractNumId w:val="1"/>
  </w:num>
  <w:num w:numId="11" w16cid:durableId="409036424">
    <w:abstractNumId w:val="22"/>
  </w:num>
  <w:num w:numId="12" w16cid:durableId="1526747669">
    <w:abstractNumId w:val="2"/>
  </w:num>
  <w:num w:numId="13" w16cid:durableId="1746950255">
    <w:abstractNumId w:val="11"/>
  </w:num>
  <w:num w:numId="14" w16cid:durableId="329715522">
    <w:abstractNumId w:val="13"/>
  </w:num>
  <w:num w:numId="15" w16cid:durableId="1837842867">
    <w:abstractNumId w:val="12"/>
  </w:num>
  <w:num w:numId="16" w16cid:durableId="1970238000">
    <w:abstractNumId w:val="20"/>
  </w:num>
  <w:num w:numId="17" w16cid:durableId="485172914">
    <w:abstractNumId w:val="15"/>
  </w:num>
  <w:num w:numId="18" w16cid:durableId="338780148">
    <w:abstractNumId w:val="7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18"/>
  </w:num>
  <w:num w:numId="22" w16cid:durableId="1157845039">
    <w:abstractNumId w:val="16"/>
  </w:num>
  <w:num w:numId="23" w16cid:durableId="1318220489">
    <w:abstractNumId w:val="14"/>
  </w:num>
  <w:num w:numId="24" w16cid:durableId="2099014795">
    <w:abstractNumId w:val="17"/>
  </w:num>
  <w:num w:numId="25" w16cid:durableId="717703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31E9F"/>
    <w:rsid w:val="00033ED5"/>
    <w:rsid w:val="0004009C"/>
    <w:rsid w:val="0005011B"/>
    <w:rsid w:val="00052E44"/>
    <w:rsid w:val="000702E4"/>
    <w:rsid w:val="00070A13"/>
    <w:rsid w:val="00070A89"/>
    <w:rsid w:val="0008118E"/>
    <w:rsid w:val="00086074"/>
    <w:rsid w:val="0009112E"/>
    <w:rsid w:val="00097B17"/>
    <w:rsid w:val="000A4576"/>
    <w:rsid w:val="000A688D"/>
    <w:rsid w:val="000A6B96"/>
    <w:rsid w:val="000B21F0"/>
    <w:rsid w:val="000B270A"/>
    <w:rsid w:val="000B32C4"/>
    <w:rsid w:val="000B7075"/>
    <w:rsid w:val="000D02C0"/>
    <w:rsid w:val="000D2FED"/>
    <w:rsid w:val="000E23B7"/>
    <w:rsid w:val="000E3BBE"/>
    <w:rsid w:val="000E649C"/>
    <w:rsid w:val="000F077F"/>
    <w:rsid w:val="000F2F56"/>
    <w:rsid w:val="000F3ED2"/>
    <w:rsid w:val="000F5E24"/>
    <w:rsid w:val="001030B2"/>
    <w:rsid w:val="001204EA"/>
    <w:rsid w:val="0014120D"/>
    <w:rsid w:val="00143D0B"/>
    <w:rsid w:val="00144B55"/>
    <w:rsid w:val="001469F7"/>
    <w:rsid w:val="00155C8E"/>
    <w:rsid w:val="00161605"/>
    <w:rsid w:val="00163E40"/>
    <w:rsid w:val="00170D7F"/>
    <w:rsid w:val="00172790"/>
    <w:rsid w:val="00173D8E"/>
    <w:rsid w:val="00180F5C"/>
    <w:rsid w:val="00186CB7"/>
    <w:rsid w:val="00190358"/>
    <w:rsid w:val="001933DE"/>
    <w:rsid w:val="00194CB4"/>
    <w:rsid w:val="001A1A5B"/>
    <w:rsid w:val="001A7E82"/>
    <w:rsid w:val="001B0859"/>
    <w:rsid w:val="001B2583"/>
    <w:rsid w:val="001B354B"/>
    <w:rsid w:val="001B7475"/>
    <w:rsid w:val="001D6485"/>
    <w:rsid w:val="001E2320"/>
    <w:rsid w:val="001E610A"/>
    <w:rsid w:val="001E721F"/>
    <w:rsid w:val="001F5934"/>
    <w:rsid w:val="002035D9"/>
    <w:rsid w:val="00205C55"/>
    <w:rsid w:val="00206C0B"/>
    <w:rsid w:val="0022110C"/>
    <w:rsid w:val="00221A2A"/>
    <w:rsid w:val="002270E2"/>
    <w:rsid w:val="00230BB7"/>
    <w:rsid w:val="0024697E"/>
    <w:rsid w:val="00255E53"/>
    <w:rsid w:val="00275115"/>
    <w:rsid w:val="00280311"/>
    <w:rsid w:val="00281BE7"/>
    <w:rsid w:val="00286651"/>
    <w:rsid w:val="00286C98"/>
    <w:rsid w:val="00287196"/>
    <w:rsid w:val="0029287B"/>
    <w:rsid w:val="0029403F"/>
    <w:rsid w:val="00297BE9"/>
    <w:rsid w:val="002C0340"/>
    <w:rsid w:val="002C15D0"/>
    <w:rsid w:val="002C19DE"/>
    <w:rsid w:val="002D55B8"/>
    <w:rsid w:val="002D6ED9"/>
    <w:rsid w:val="002E435A"/>
    <w:rsid w:val="002E46AC"/>
    <w:rsid w:val="002F0FB2"/>
    <w:rsid w:val="002F61E3"/>
    <w:rsid w:val="003051DF"/>
    <w:rsid w:val="0031104C"/>
    <w:rsid w:val="003130CA"/>
    <w:rsid w:val="003145EB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935E8"/>
    <w:rsid w:val="003975D4"/>
    <w:rsid w:val="003A0F16"/>
    <w:rsid w:val="003A5B7D"/>
    <w:rsid w:val="003A6433"/>
    <w:rsid w:val="003B46BF"/>
    <w:rsid w:val="003C1E86"/>
    <w:rsid w:val="003D2AE2"/>
    <w:rsid w:val="003D71C6"/>
    <w:rsid w:val="003F072E"/>
    <w:rsid w:val="00404F9B"/>
    <w:rsid w:val="004052C1"/>
    <w:rsid w:val="00411C64"/>
    <w:rsid w:val="004156E6"/>
    <w:rsid w:val="00415707"/>
    <w:rsid w:val="00416F70"/>
    <w:rsid w:val="0041703B"/>
    <w:rsid w:val="004403B4"/>
    <w:rsid w:val="00446466"/>
    <w:rsid w:val="00447CE9"/>
    <w:rsid w:val="004506E0"/>
    <w:rsid w:val="00453B55"/>
    <w:rsid w:val="00457779"/>
    <w:rsid w:val="00466FE8"/>
    <w:rsid w:val="004744CD"/>
    <w:rsid w:val="0048011A"/>
    <w:rsid w:val="00482638"/>
    <w:rsid w:val="004850DC"/>
    <w:rsid w:val="00490715"/>
    <w:rsid w:val="00491267"/>
    <w:rsid w:val="00491300"/>
    <w:rsid w:val="00492210"/>
    <w:rsid w:val="00492285"/>
    <w:rsid w:val="004A2F20"/>
    <w:rsid w:val="004A2F45"/>
    <w:rsid w:val="004A5135"/>
    <w:rsid w:val="004B2F38"/>
    <w:rsid w:val="004C35E7"/>
    <w:rsid w:val="004D093B"/>
    <w:rsid w:val="004D2191"/>
    <w:rsid w:val="004D7DDC"/>
    <w:rsid w:val="004E4723"/>
    <w:rsid w:val="004F3FEF"/>
    <w:rsid w:val="005058F2"/>
    <w:rsid w:val="00512C38"/>
    <w:rsid w:val="005130EF"/>
    <w:rsid w:val="005143E4"/>
    <w:rsid w:val="0055182D"/>
    <w:rsid w:val="00557EB2"/>
    <w:rsid w:val="00563942"/>
    <w:rsid w:val="00564EC8"/>
    <w:rsid w:val="0056748F"/>
    <w:rsid w:val="00574D83"/>
    <w:rsid w:val="005871C9"/>
    <w:rsid w:val="005B06B3"/>
    <w:rsid w:val="005B202E"/>
    <w:rsid w:val="005B598A"/>
    <w:rsid w:val="005C1959"/>
    <w:rsid w:val="005C499F"/>
    <w:rsid w:val="005C608D"/>
    <w:rsid w:val="005C6551"/>
    <w:rsid w:val="005D269A"/>
    <w:rsid w:val="005D3140"/>
    <w:rsid w:val="005D5D31"/>
    <w:rsid w:val="005E4CF5"/>
    <w:rsid w:val="005E60B8"/>
    <w:rsid w:val="005E7898"/>
    <w:rsid w:val="005F48E8"/>
    <w:rsid w:val="005F70FE"/>
    <w:rsid w:val="006008CD"/>
    <w:rsid w:val="00633806"/>
    <w:rsid w:val="00633883"/>
    <w:rsid w:val="00634434"/>
    <w:rsid w:val="0064109C"/>
    <w:rsid w:val="0064487F"/>
    <w:rsid w:val="006648F3"/>
    <w:rsid w:val="00670C14"/>
    <w:rsid w:val="0068046C"/>
    <w:rsid w:val="00680B0E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7964"/>
    <w:rsid w:val="006E3B7F"/>
    <w:rsid w:val="006F498A"/>
    <w:rsid w:val="006F5BEB"/>
    <w:rsid w:val="007123D7"/>
    <w:rsid w:val="007135A8"/>
    <w:rsid w:val="00715293"/>
    <w:rsid w:val="007156F6"/>
    <w:rsid w:val="00715B91"/>
    <w:rsid w:val="007321D8"/>
    <w:rsid w:val="00733618"/>
    <w:rsid w:val="00733AF9"/>
    <w:rsid w:val="00734732"/>
    <w:rsid w:val="00740ABA"/>
    <w:rsid w:val="0074295D"/>
    <w:rsid w:val="007455E2"/>
    <w:rsid w:val="00755E27"/>
    <w:rsid w:val="00761ADB"/>
    <w:rsid w:val="00780987"/>
    <w:rsid w:val="0078723A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260D"/>
    <w:rsid w:val="007F016E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151D"/>
    <w:rsid w:val="008771C8"/>
    <w:rsid w:val="00882DCA"/>
    <w:rsid w:val="0088727A"/>
    <w:rsid w:val="00896D35"/>
    <w:rsid w:val="008B00C4"/>
    <w:rsid w:val="008B43A3"/>
    <w:rsid w:val="008B43B0"/>
    <w:rsid w:val="008C0493"/>
    <w:rsid w:val="008C0E92"/>
    <w:rsid w:val="008D45C3"/>
    <w:rsid w:val="008D6BD1"/>
    <w:rsid w:val="008E18D7"/>
    <w:rsid w:val="008E33C7"/>
    <w:rsid w:val="008E4334"/>
    <w:rsid w:val="008F1D35"/>
    <w:rsid w:val="009066C7"/>
    <w:rsid w:val="0091011D"/>
    <w:rsid w:val="0092216D"/>
    <w:rsid w:val="00923214"/>
    <w:rsid w:val="00933339"/>
    <w:rsid w:val="00953B84"/>
    <w:rsid w:val="00982754"/>
    <w:rsid w:val="009930ED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E495C"/>
    <w:rsid w:val="009E55F7"/>
    <w:rsid w:val="009F413F"/>
    <w:rsid w:val="009F550A"/>
    <w:rsid w:val="009F7497"/>
    <w:rsid w:val="00A01F60"/>
    <w:rsid w:val="00A118F0"/>
    <w:rsid w:val="00A159DA"/>
    <w:rsid w:val="00A22494"/>
    <w:rsid w:val="00A22A7B"/>
    <w:rsid w:val="00A242D8"/>
    <w:rsid w:val="00A434EB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4608"/>
    <w:rsid w:val="00AA6179"/>
    <w:rsid w:val="00AB1235"/>
    <w:rsid w:val="00AB2D5E"/>
    <w:rsid w:val="00AC0511"/>
    <w:rsid w:val="00AD08C5"/>
    <w:rsid w:val="00AD341B"/>
    <w:rsid w:val="00AD400C"/>
    <w:rsid w:val="00AE069A"/>
    <w:rsid w:val="00AF1EBC"/>
    <w:rsid w:val="00B10EED"/>
    <w:rsid w:val="00B1467F"/>
    <w:rsid w:val="00B31928"/>
    <w:rsid w:val="00B31D55"/>
    <w:rsid w:val="00B326A9"/>
    <w:rsid w:val="00B45ED3"/>
    <w:rsid w:val="00B543E9"/>
    <w:rsid w:val="00B57127"/>
    <w:rsid w:val="00B76B2B"/>
    <w:rsid w:val="00B777B1"/>
    <w:rsid w:val="00B8251D"/>
    <w:rsid w:val="00B94288"/>
    <w:rsid w:val="00B9538B"/>
    <w:rsid w:val="00BA15A9"/>
    <w:rsid w:val="00BB30C0"/>
    <w:rsid w:val="00BC376D"/>
    <w:rsid w:val="00BD18E8"/>
    <w:rsid w:val="00BD20BC"/>
    <w:rsid w:val="00C022B9"/>
    <w:rsid w:val="00C15673"/>
    <w:rsid w:val="00C15E6F"/>
    <w:rsid w:val="00C210A9"/>
    <w:rsid w:val="00C22821"/>
    <w:rsid w:val="00C243BF"/>
    <w:rsid w:val="00C25F63"/>
    <w:rsid w:val="00C276AE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2E2B"/>
    <w:rsid w:val="00CB3D33"/>
    <w:rsid w:val="00CC0463"/>
    <w:rsid w:val="00CC7F58"/>
    <w:rsid w:val="00CD0EF7"/>
    <w:rsid w:val="00CD47C3"/>
    <w:rsid w:val="00CE099F"/>
    <w:rsid w:val="00CE73E2"/>
    <w:rsid w:val="00CF402D"/>
    <w:rsid w:val="00CF5E4F"/>
    <w:rsid w:val="00CF7674"/>
    <w:rsid w:val="00D17D3E"/>
    <w:rsid w:val="00D44A5D"/>
    <w:rsid w:val="00D510E8"/>
    <w:rsid w:val="00D554A2"/>
    <w:rsid w:val="00D5628B"/>
    <w:rsid w:val="00D63F4F"/>
    <w:rsid w:val="00D6426A"/>
    <w:rsid w:val="00D66456"/>
    <w:rsid w:val="00D67833"/>
    <w:rsid w:val="00D77CD0"/>
    <w:rsid w:val="00D9306F"/>
    <w:rsid w:val="00D97597"/>
    <w:rsid w:val="00DB0B88"/>
    <w:rsid w:val="00DB1E88"/>
    <w:rsid w:val="00DC5090"/>
    <w:rsid w:val="00DD18C6"/>
    <w:rsid w:val="00DD6D00"/>
    <w:rsid w:val="00DE00F0"/>
    <w:rsid w:val="00DE1894"/>
    <w:rsid w:val="00DE5079"/>
    <w:rsid w:val="00DF6B3A"/>
    <w:rsid w:val="00E04D9C"/>
    <w:rsid w:val="00E10271"/>
    <w:rsid w:val="00E232FA"/>
    <w:rsid w:val="00E34DF7"/>
    <w:rsid w:val="00E35A64"/>
    <w:rsid w:val="00E35DF6"/>
    <w:rsid w:val="00E50D44"/>
    <w:rsid w:val="00E52765"/>
    <w:rsid w:val="00E64133"/>
    <w:rsid w:val="00E66456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2B8F"/>
    <w:rsid w:val="00EC3DD8"/>
    <w:rsid w:val="00EC74BA"/>
    <w:rsid w:val="00ED15F0"/>
    <w:rsid w:val="00EE4384"/>
    <w:rsid w:val="00EE4BD7"/>
    <w:rsid w:val="00EF3551"/>
    <w:rsid w:val="00F017D6"/>
    <w:rsid w:val="00F12CF6"/>
    <w:rsid w:val="00F147FC"/>
    <w:rsid w:val="00F15BD4"/>
    <w:rsid w:val="00F31A79"/>
    <w:rsid w:val="00F42214"/>
    <w:rsid w:val="00F5061B"/>
    <w:rsid w:val="00F5589A"/>
    <w:rsid w:val="00F61A7D"/>
    <w:rsid w:val="00F63AA8"/>
    <w:rsid w:val="00F67CA2"/>
    <w:rsid w:val="00F859A8"/>
    <w:rsid w:val="00F9203E"/>
    <w:rsid w:val="00F957B7"/>
    <w:rsid w:val="00FA3530"/>
    <w:rsid w:val="00FA53DF"/>
    <w:rsid w:val="00FB2364"/>
    <w:rsid w:val="00FB2A70"/>
    <w:rsid w:val="00FB30AC"/>
    <w:rsid w:val="00FB3B6F"/>
    <w:rsid w:val="00FC712D"/>
    <w:rsid w:val="00FD39E3"/>
    <w:rsid w:val="00FD48BC"/>
    <w:rsid w:val="00FE1242"/>
    <w:rsid w:val="00FE267D"/>
    <w:rsid w:val="00FE6EDA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1933DE"/>
  </w:style>
  <w:style w:type="paragraph" w:styleId="Poprawka">
    <w:name w:val="Revision"/>
    <w:hidden/>
    <w:uiPriority w:val="99"/>
    <w:semiHidden/>
    <w:rsid w:val="005F48E8"/>
    <w:pPr>
      <w:autoSpaceDN/>
      <w:spacing w:after="0" w:line="240" w:lineRule="auto"/>
      <w:textAlignment w:val="auto"/>
    </w:pPr>
  </w:style>
  <w:style w:type="character" w:customStyle="1" w:styleId="ui-provider">
    <w:name w:val="ui-provider"/>
    <w:basedOn w:val="Domylnaczcionkaakapitu"/>
    <w:rsid w:val="0071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j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9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9021437349233078E-2"/>
          <c:y val="0.13625000000000001"/>
          <c:w val="0.91153406763460931"/>
          <c:h val="0.705270412626993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43-476D-96F8-A9C0194667EA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F43-476D-96F8-A9C0194667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335169086523145"/>
          <c:y val="0.92968736050850787"/>
          <c:w val="0.69329661826953715"/>
          <c:h val="7.03126394914921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9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0376089352467306E-2"/>
          <c:y val="0.13625000000000001"/>
          <c:w val="0.92017952301416872"/>
          <c:h val="0.705505026157444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76-4E5F-9D0A-D00699CC896A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476-4E5F-9D0A-D00699CC89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631955096522028"/>
          <c:y val="0.92968736050850787"/>
          <c:w val="0.40736067082523775"/>
          <c:h val="7.03126394914921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 (stan na maj)</a:t>
            </a:r>
          </a:p>
        </c:rich>
      </c:tx>
      <c:layout>
        <c:manualLayout>
          <c:xMode val="edge"/>
          <c:yMode val="edge"/>
          <c:x val="0.15731302065502681"/>
          <c:y val="8.512977209651318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0.10882992668396359"/>
          <c:w val="0.84009663854336591"/>
          <c:h val="0.80748058616668328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maj)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2023'!$A$3:$A$12</c:f>
              <c:strCache>
                <c:ptCount val="6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Hematoonkologia</c:v>
                </c:pt>
              </c:strCache>
              <c:extLst/>
            </c:strRef>
          </c:cat>
          <c:val>
            <c:numRef>
              <c:f>'miesiące 2023'!$B$3:$B$12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  <c:pt idx="5">
                  <c:v>20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915-4E35-A930-49AFAA470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0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latin typeface="Lato" panose="020F0502020204030203" pitchFamily="34" charset="-18"/>
              </a:rPr>
              <a:t>Cząsteczko-wskazania nieonkologiczne w 2023 r. (stan na maj)</a:t>
            </a:r>
          </a:p>
        </c:rich>
      </c:tx>
      <c:layout>
        <c:manualLayout>
          <c:xMode val="edge"/>
          <c:yMode val="edge"/>
          <c:x val="0.14823942461737735"/>
          <c:y val="4.576659038901601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1526172864755538"/>
          <c:y val="0.10020937314185842"/>
          <c:w val="0.76067150697071961"/>
          <c:h val="0.816388403394655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maj)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2023'!$A$20:$A$38</c:f>
              <c:strCache>
                <c:ptCount val="9"/>
                <c:pt idx="0">
                  <c:v>Reumatologia</c:v>
                </c:pt>
                <c:pt idx="1">
                  <c:v>Neurologia</c:v>
                </c:pt>
                <c:pt idx="2">
                  <c:v>Kardiologia</c:v>
                </c:pt>
                <c:pt idx="3">
                  <c:v>Immunologia</c:v>
                </c:pt>
                <c:pt idx="4">
                  <c:v>Hematologia</c:v>
                </c:pt>
                <c:pt idx="5">
                  <c:v>Gastroenterologia</c:v>
                </c:pt>
                <c:pt idx="6">
                  <c:v>Diabetologia</c:v>
                </c:pt>
                <c:pt idx="7">
                  <c:v>Dermatologia</c:v>
                </c:pt>
                <c:pt idx="8">
                  <c:v>Choroby metaboliczne</c:v>
                </c:pt>
              </c:strCache>
              <c:extLst/>
            </c:strRef>
          </c:cat>
          <c:val>
            <c:numRef>
              <c:f>'miesiące 2023'!$B$20:$B$38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36E-4D7F-BA36-3670D1E09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  <c:max val="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1707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2</cp:revision>
  <dcterms:created xsi:type="dcterms:W3CDTF">2023-04-20T13:36:00Z</dcterms:created>
  <dcterms:modified xsi:type="dcterms:W3CDTF">2023-04-20T13:36:00Z</dcterms:modified>
</cp:coreProperties>
</file>