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1B07D" w14:textId="77777777" w:rsidR="002A4B3D" w:rsidRDefault="00F175B8" w:rsidP="002A4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20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E86721">
        <w:tab/>
        <w:t xml:space="preserve">    </w:t>
      </w:r>
    </w:p>
    <w:p w14:paraId="754C59B7" w14:textId="77777777" w:rsidR="00F175B8" w:rsidRDefault="00F175B8" w:rsidP="00E86721">
      <w:pPr>
        <w:autoSpaceDE w:val="0"/>
        <w:autoSpaceDN w:val="0"/>
        <w:adjustRightInd w:val="0"/>
        <w:spacing w:after="0" w:line="240" w:lineRule="auto"/>
        <w:ind w:left="3540"/>
        <w:jc w:val="both"/>
      </w:pPr>
      <w:r w:rsidRPr="00E86721">
        <w:rPr>
          <w:sz w:val="20"/>
          <w:szCs w:val="20"/>
        </w:rPr>
        <w:t>Zestawienie tematyczne – Wydaleni</w:t>
      </w:r>
      <w:r w:rsidR="00991B69">
        <w:rPr>
          <w:sz w:val="20"/>
          <w:szCs w:val="20"/>
        </w:rPr>
        <w:t>a</w:t>
      </w:r>
      <w:r w:rsidRPr="00E86721">
        <w:rPr>
          <w:sz w:val="20"/>
          <w:szCs w:val="20"/>
        </w:rPr>
        <w:t xml:space="preserve"> zbiorowe cudzoziemców</w:t>
      </w:r>
    </w:p>
    <w:p w14:paraId="0D1AA510" w14:textId="77777777" w:rsidR="00F175B8" w:rsidRDefault="00F175B8" w:rsidP="0009369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FF9900"/>
          <w:sz w:val="20"/>
          <w:szCs w:val="20"/>
          <w:lang w:eastAsia="pl-PL"/>
        </w:rPr>
      </w:pPr>
      <w:r>
        <w:t>__________________________________________________________________________________</w:t>
      </w:r>
      <w:r>
        <w:br/>
      </w:r>
    </w:p>
    <w:p w14:paraId="523B19B9" w14:textId="77777777" w:rsidR="008003FF" w:rsidRPr="008003FF" w:rsidRDefault="00B35105" w:rsidP="00F175B8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Verdana" w:eastAsia="Times New Roman" w:hAnsi="Verdana" w:cs="Verdana"/>
          <w:color w:val="FF9900"/>
          <w:sz w:val="20"/>
          <w:szCs w:val="20"/>
          <w:lang w:eastAsia="pl-PL"/>
        </w:rPr>
      </w:pPr>
      <w:r>
        <w:rPr>
          <w:rFonts w:ascii="Verdana" w:eastAsia="Times New Roman" w:hAnsi="Verdana" w:cs="Verdana"/>
          <w:color w:val="FF9900"/>
          <w:sz w:val="20"/>
          <w:szCs w:val="20"/>
          <w:lang w:eastAsia="pl-PL"/>
        </w:rPr>
        <w:t xml:space="preserve">Marzec </w:t>
      </w:r>
      <w:r w:rsidR="008003FF">
        <w:rPr>
          <w:rFonts w:ascii="Verdana" w:eastAsia="Times New Roman" w:hAnsi="Verdana" w:cs="Verdana"/>
          <w:color w:val="FF9900"/>
          <w:sz w:val="20"/>
          <w:szCs w:val="20"/>
          <w:lang w:eastAsia="pl-PL"/>
        </w:rPr>
        <w:t>20</w:t>
      </w:r>
      <w:r>
        <w:rPr>
          <w:rFonts w:ascii="Verdana" w:eastAsia="Times New Roman" w:hAnsi="Verdana" w:cs="Verdana"/>
          <w:color w:val="FF9900"/>
          <w:sz w:val="20"/>
          <w:szCs w:val="20"/>
          <w:lang w:eastAsia="pl-PL"/>
        </w:rPr>
        <w:t>20</w:t>
      </w:r>
      <w:r w:rsidR="008003FF" w:rsidRPr="008003FF">
        <w:rPr>
          <w:rFonts w:ascii="Verdana" w:eastAsia="Times New Roman" w:hAnsi="Verdana" w:cs="Verdana"/>
          <w:color w:val="FF9900"/>
          <w:sz w:val="20"/>
          <w:szCs w:val="20"/>
          <w:lang w:eastAsia="pl-PL"/>
        </w:rPr>
        <w:t xml:space="preserve"> roku </w:t>
      </w:r>
    </w:p>
    <w:p w14:paraId="4056AFEA" w14:textId="77777777" w:rsidR="008003FF" w:rsidRDefault="008003FF" w:rsidP="002A4B3D">
      <w:pPr>
        <w:pStyle w:val="PCFCountrytitle"/>
        <w:spacing w:after="120"/>
        <w:jc w:val="right"/>
        <w:rPr>
          <w:rFonts w:eastAsia="Times New Roman" w:cs="Verdana"/>
          <w:color w:val="FF9900"/>
          <w:sz w:val="20"/>
          <w:szCs w:val="20"/>
          <w:lang w:eastAsia="pl-PL"/>
        </w:rPr>
      </w:pPr>
      <w:r w:rsidRPr="008003FF">
        <w:rPr>
          <w:rFonts w:eastAsia="Times New Roman" w:cs="Verdana"/>
          <w:color w:val="FF9900"/>
          <w:sz w:val="20"/>
          <w:szCs w:val="20"/>
          <w:lang w:eastAsia="pl-PL"/>
        </w:rPr>
        <w:t xml:space="preserve">Niniejsze zestawienie nie jest wiążące dla Trybunału </w:t>
      </w:r>
      <w:r w:rsidR="002A4B3D">
        <w:rPr>
          <w:rFonts w:eastAsia="Times New Roman" w:cs="Verdana"/>
          <w:color w:val="FF9900"/>
          <w:sz w:val="20"/>
          <w:szCs w:val="20"/>
          <w:lang w:eastAsia="pl-PL"/>
        </w:rPr>
        <w:br/>
      </w:r>
      <w:r w:rsidRPr="008003FF">
        <w:rPr>
          <w:rFonts w:eastAsia="Times New Roman" w:cs="Verdana"/>
          <w:color w:val="FF9900"/>
          <w:sz w:val="20"/>
          <w:szCs w:val="20"/>
          <w:lang w:eastAsia="pl-PL"/>
        </w:rPr>
        <w:t>i nie ma charakteru wyczerpującego</w:t>
      </w:r>
    </w:p>
    <w:p w14:paraId="58A77873" w14:textId="77777777" w:rsidR="002F0C7B" w:rsidRDefault="00D43092" w:rsidP="002A4B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48"/>
          <w:szCs w:val="48"/>
        </w:rPr>
      </w:pPr>
      <w:r>
        <w:rPr>
          <w:rFonts w:ascii="Verdana" w:hAnsi="Verdana" w:cs="Verdana"/>
          <w:color w:val="0072BD"/>
          <w:sz w:val="48"/>
          <w:szCs w:val="48"/>
        </w:rPr>
        <w:t>Wydaleni</w:t>
      </w:r>
      <w:r w:rsidR="00991B69">
        <w:rPr>
          <w:rFonts w:ascii="Verdana" w:hAnsi="Verdana" w:cs="Verdana"/>
          <w:color w:val="0072BD"/>
          <w:sz w:val="48"/>
          <w:szCs w:val="48"/>
        </w:rPr>
        <w:t>a</w:t>
      </w:r>
      <w:r>
        <w:rPr>
          <w:rFonts w:ascii="Verdana" w:hAnsi="Verdana" w:cs="Verdana"/>
          <w:color w:val="0072BD"/>
          <w:sz w:val="48"/>
          <w:szCs w:val="48"/>
        </w:rPr>
        <w:t xml:space="preserve"> zbiorowe</w:t>
      </w:r>
      <w:r w:rsidR="00F175B8">
        <w:rPr>
          <w:rFonts w:ascii="Verdana" w:hAnsi="Verdana" w:cs="Verdana"/>
          <w:color w:val="0072BD"/>
          <w:sz w:val="48"/>
          <w:szCs w:val="48"/>
        </w:rPr>
        <w:t xml:space="preserve"> cudzoziemców</w:t>
      </w:r>
    </w:p>
    <w:p w14:paraId="2BC4C8D1" w14:textId="77777777" w:rsidR="00160A3A" w:rsidRDefault="00160A3A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48"/>
          <w:szCs w:val="48"/>
        </w:rPr>
      </w:pPr>
    </w:p>
    <w:p w14:paraId="3758C920" w14:textId="77777777" w:rsidR="00160A3A" w:rsidRDefault="00160A3A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  <w:r>
        <w:rPr>
          <w:rFonts w:ascii="Verdana" w:hAnsi="Verdana" w:cs="Verdana"/>
          <w:color w:val="0072BD"/>
          <w:sz w:val="28"/>
          <w:szCs w:val="28"/>
        </w:rPr>
        <w:t>Artykuł 4 Protokołu 4 do Konwencji: zakaz zbiorowego wydalania cudzoziemców</w:t>
      </w:r>
    </w:p>
    <w:p w14:paraId="6428AA3D" w14:textId="77777777" w:rsidR="00160A3A" w:rsidRDefault="00160A3A" w:rsidP="002A4B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</w:p>
    <w:p w14:paraId="0717C94B" w14:textId="77777777" w:rsidR="00160A3A" w:rsidRDefault="00160A3A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</w:p>
    <w:p w14:paraId="369201A3" w14:textId="77777777" w:rsidR="00551F94" w:rsidRPr="002A4B3D" w:rsidRDefault="00551F94" w:rsidP="002A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2A4B3D">
        <w:rPr>
          <w:rFonts w:ascii="Verdana" w:hAnsi="Verdana" w:cs="Verdana"/>
          <w:color w:val="808080"/>
          <w:sz w:val="20"/>
          <w:szCs w:val="20"/>
        </w:rPr>
        <w:t>„</w:t>
      </w:r>
      <w:r w:rsidR="00D43092" w:rsidRPr="002A4B3D">
        <w:rPr>
          <w:rFonts w:ascii="Verdana" w:hAnsi="Verdana" w:cs="Verdana"/>
          <w:color w:val="808080"/>
          <w:sz w:val="20"/>
          <w:szCs w:val="20"/>
        </w:rPr>
        <w:t>Wydalenie zbiorowe</w:t>
      </w:r>
      <w:r w:rsidR="00981FF3" w:rsidRPr="002A4B3D">
        <w:rPr>
          <w:rFonts w:ascii="Verdana" w:hAnsi="Verdana" w:cs="Verdana"/>
          <w:color w:val="808080"/>
          <w:sz w:val="20"/>
          <w:szCs w:val="20"/>
        </w:rPr>
        <w:t>”</w:t>
      </w:r>
      <w:r w:rsidRPr="002A4B3D">
        <w:rPr>
          <w:rFonts w:ascii="Verdana" w:hAnsi="Verdana" w:cs="Verdana"/>
          <w:color w:val="808080"/>
          <w:sz w:val="20"/>
          <w:szCs w:val="20"/>
        </w:rPr>
        <w:t xml:space="preserve"> = jakikolwiek środek </w:t>
      </w:r>
      <w:r w:rsidR="00981FF3" w:rsidRPr="002A4B3D">
        <w:rPr>
          <w:rFonts w:ascii="Verdana" w:hAnsi="Verdana" w:cs="Verdana"/>
          <w:color w:val="808080"/>
          <w:sz w:val="20"/>
          <w:szCs w:val="20"/>
        </w:rPr>
        <w:t xml:space="preserve">zmuszający </w:t>
      </w:r>
      <w:r w:rsidR="00C90F98" w:rsidRPr="002A4B3D">
        <w:rPr>
          <w:rFonts w:ascii="Verdana" w:hAnsi="Verdana" w:cs="Verdana"/>
          <w:color w:val="808080"/>
          <w:sz w:val="20"/>
          <w:szCs w:val="20"/>
        </w:rPr>
        <w:t xml:space="preserve">cudzoziemców </w:t>
      </w:r>
      <w:r w:rsidR="00FD702C" w:rsidRPr="002A4B3D">
        <w:rPr>
          <w:rFonts w:ascii="Verdana" w:hAnsi="Verdana" w:cs="Verdana"/>
          <w:color w:val="808080"/>
          <w:sz w:val="20"/>
          <w:szCs w:val="20"/>
        </w:rPr>
        <w:t>traktowanych jako grupa</w:t>
      </w:r>
      <w:r w:rsidR="00981FF3" w:rsidRPr="002A4B3D">
        <w:rPr>
          <w:rFonts w:ascii="Verdana" w:hAnsi="Verdana" w:cs="Verdana"/>
          <w:color w:val="808080"/>
          <w:sz w:val="20"/>
          <w:szCs w:val="20"/>
        </w:rPr>
        <w:t xml:space="preserve"> do</w:t>
      </w:r>
      <w:r w:rsidR="00C90F98" w:rsidRPr="002A4B3D">
        <w:rPr>
          <w:rFonts w:ascii="Verdana" w:hAnsi="Verdana" w:cs="Verdana"/>
          <w:color w:val="808080"/>
          <w:sz w:val="20"/>
          <w:szCs w:val="20"/>
        </w:rPr>
        <w:t xml:space="preserve"> opu</w:t>
      </w:r>
      <w:r w:rsidR="00FD702C" w:rsidRPr="002A4B3D">
        <w:rPr>
          <w:rFonts w:ascii="Verdana" w:hAnsi="Verdana" w:cs="Verdana"/>
          <w:color w:val="808080"/>
          <w:sz w:val="20"/>
          <w:szCs w:val="20"/>
        </w:rPr>
        <w:t>szczenia kraju, z wyjątkiem środka podjętego</w:t>
      </w:r>
      <w:r w:rsidR="00C90F98" w:rsidRPr="002A4B3D">
        <w:rPr>
          <w:rFonts w:ascii="Verdana" w:hAnsi="Verdana" w:cs="Verdana"/>
          <w:color w:val="808080"/>
          <w:sz w:val="20"/>
          <w:szCs w:val="20"/>
        </w:rPr>
        <w:t xml:space="preserve"> na podstawie </w:t>
      </w:r>
      <w:r w:rsidR="0040095E" w:rsidRPr="002A4B3D">
        <w:rPr>
          <w:rFonts w:ascii="Verdana" w:hAnsi="Verdana" w:cs="Verdana"/>
          <w:color w:val="808080"/>
          <w:sz w:val="20"/>
          <w:szCs w:val="20"/>
        </w:rPr>
        <w:t>rozważnego i obiektywnego zbadania danej sprawy w aspekcie</w:t>
      </w:r>
      <w:r w:rsidR="00160A3A" w:rsidRPr="002A4B3D">
        <w:rPr>
          <w:rFonts w:ascii="Verdana" w:hAnsi="Verdana" w:cs="Verdana"/>
          <w:color w:val="808080"/>
          <w:sz w:val="20"/>
          <w:szCs w:val="20"/>
        </w:rPr>
        <w:t xml:space="preserve"> każdego</w:t>
      </w:r>
      <w:r w:rsidR="0040095E" w:rsidRPr="002A4B3D">
        <w:rPr>
          <w:rFonts w:ascii="Verdana" w:hAnsi="Verdana" w:cs="Verdana"/>
          <w:color w:val="808080"/>
          <w:sz w:val="20"/>
          <w:szCs w:val="20"/>
        </w:rPr>
        <w:t xml:space="preserve"> konkretnego cudzoziemca należącego do danej grupy.</w:t>
      </w:r>
    </w:p>
    <w:p w14:paraId="1A559752" w14:textId="77777777" w:rsidR="00551F94" w:rsidRDefault="00551F94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</w:p>
    <w:p w14:paraId="609AD4BE" w14:textId="77777777" w:rsidR="002F0C7B" w:rsidRPr="00FA2EAD" w:rsidRDefault="00B35105" w:rsidP="002A4B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33CCCC"/>
          <w:sz w:val="28"/>
          <w:szCs w:val="28"/>
        </w:rPr>
      </w:pPr>
      <w:bookmarkStart w:id="0" w:name="_Hlk42602568"/>
      <w:r>
        <w:rPr>
          <w:rFonts w:ascii="Verdana" w:hAnsi="Verdana" w:cs="Verdana"/>
          <w:color w:val="0072BD"/>
          <w:sz w:val="28"/>
          <w:szCs w:val="28"/>
        </w:rPr>
        <w:t>Sprawy</w:t>
      </w:r>
      <w:r w:rsidR="005C6EDE">
        <w:rPr>
          <w:rFonts w:ascii="Verdana" w:hAnsi="Verdana" w:cs="Verdana"/>
          <w:color w:val="0072BD"/>
          <w:sz w:val="28"/>
          <w:szCs w:val="28"/>
        </w:rPr>
        <w:t>, w których Trybunał stwierdził naruszenie</w:t>
      </w:r>
      <w:r w:rsidR="00160A3A">
        <w:rPr>
          <w:rFonts w:ascii="Verdana" w:hAnsi="Verdana" w:cs="Verdana"/>
          <w:color w:val="0072BD"/>
          <w:sz w:val="28"/>
          <w:szCs w:val="28"/>
        </w:rPr>
        <w:t xml:space="preserve"> art. 4 Protokołu nr 4 do Konwencji</w:t>
      </w:r>
    </w:p>
    <w:bookmarkEnd w:id="0"/>
    <w:p w14:paraId="2EE06074" w14:textId="77777777" w:rsidR="00160A3A" w:rsidRDefault="00160A3A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</w:p>
    <w:p w14:paraId="70E11D67" w14:textId="77777777" w:rsidR="00575520" w:rsidRPr="00B21606" w:rsidRDefault="00E9135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</w:rPr>
      </w:pPr>
      <w:r w:rsidRPr="00B21606">
        <w:rPr>
          <w:rFonts w:ascii="Garamond" w:hAnsi="Garamond" w:cs="Verdana"/>
          <w:b/>
          <w:bCs/>
          <w:color w:val="0070C0"/>
          <w:sz w:val="20"/>
          <w:szCs w:val="20"/>
          <w:u w:val="single"/>
        </w:rPr>
        <w:t>Č</w:t>
      </w:r>
      <w:r w:rsidR="00720F41" w:rsidRPr="00B21606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onka przeciwko</w:t>
      </w:r>
      <w:r w:rsidRPr="00B21606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 xml:space="preserve"> Belgii</w:t>
      </w:r>
    </w:p>
    <w:p w14:paraId="0731DB67" w14:textId="77777777" w:rsidR="00E9135F" w:rsidRPr="000D1C49" w:rsidRDefault="00575520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0D1C49">
        <w:rPr>
          <w:rFonts w:ascii="Verdana" w:hAnsi="Verdana" w:cs="Verdana"/>
          <w:color w:val="808080"/>
          <w:sz w:val="20"/>
          <w:szCs w:val="20"/>
        </w:rPr>
        <w:t xml:space="preserve">Wyrok Izby z dnia </w:t>
      </w:r>
      <w:r w:rsidR="00E9135F" w:rsidRPr="000D1C49">
        <w:rPr>
          <w:rFonts w:ascii="Verdana" w:hAnsi="Verdana" w:cs="Verdana"/>
          <w:color w:val="808080"/>
          <w:sz w:val="20"/>
          <w:szCs w:val="20"/>
        </w:rPr>
        <w:t>5</w:t>
      </w:r>
      <w:r w:rsidRPr="000D1C49">
        <w:rPr>
          <w:rFonts w:ascii="Verdana" w:hAnsi="Verdana" w:cs="Verdana"/>
          <w:color w:val="808080"/>
          <w:sz w:val="20"/>
          <w:szCs w:val="20"/>
        </w:rPr>
        <w:t xml:space="preserve"> lutego</w:t>
      </w:r>
      <w:r w:rsidR="00E9135F" w:rsidRPr="000D1C49">
        <w:rPr>
          <w:rFonts w:ascii="Verdana" w:hAnsi="Verdana" w:cs="Verdana"/>
          <w:color w:val="808080"/>
          <w:sz w:val="20"/>
          <w:szCs w:val="20"/>
        </w:rPr>
        <w:t xml:space="preserve"> 2002</w:t>
      </w:r>
      <w:r w:rsidR="00295694" w:rsidRPr="000D1C49">
        <w:rPr>
          <w:rFonts w:ascii="Verdana" w:hAnsi="Verdana" w:cs="Verdana"/>
          <w:color w:val="808080"/>
          <w:sz w:val="20"/>
          <w:szCs w:val="20"/>
        </w:rPr>
        <w:t>r.</w:t>
      </w:r>
    </w:p>
    <w:p w14:paraId="1EBAAFF3" w14:textId="77777777" w:rsidR="00575520" w:rsidRPr="000D1C49" w:rsidRDefault="00575520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D1C49">
        <w:rPr>
          <w:rFonts w:ascii="Verdana" w:hAnsi="Verdana" w:cs="Verdana"/>
          <w:color w:val="000000"/>
          <w:sz w:val="20"/>
          <w:szCs w:val="20"/>
        </w:rPr>
        <w:t xml:space="preserve">Skarżący, obywatele Słowacji pochodzenia romskiego, podnieśli, iż uciekli ze Słowacji, gdzie byli podmiotem ataków rasistowskich, w których Policja odmawiała interwencji. Zostali oni aresztowani w związku z możliwością wydalenia po wypełnieniu ich wniosków o azyl. Skarżący </w:t>
      </w:r>
      <w:r w:rsidR="005C6EDE" w:rsidRPr="000D1C49">
        <w:rPr>
          <w:rFonts w:ascii="Verdana" w:hAnsi="Verdana" w:cs="Verdana"/>
          <w:color w:val="000000"/>
          <w:sz w:val="20"/>
          <w:szCs w:val="20"/>
        </w:rPr>
        <w:t xml:space="preserve">podnosili zarzuty w szczególności w aspekcie okoliczności ich aresztowania i wydalenia ze Słowacji. </w:t>
      </w:r>
    </w:p>
    <w:p w14:paraId="7AFCB339" w14:textId="77777777" w:rsidR="00720F41" w:rsidRDefault="005C6EDE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5C6EDE">
        <w:rPr>
          <w:rFonts w:ascii="Verdana" w:hAnsi="Verdana" w:cs="Verdana"/>
          <w:color w:val="0070C0"/>
          <w:sz w:val="20"/>
          <w:szCs w:val="20"/>
        </w:rPr>
        <w:t xml:space="preserve">Trybunał stwierdził </w:t>
      </w:r>
      <w:r w:rsidRPr="00295694">
        <w:rPr>
          <w:rFonts w:ascii="Verdana" w:hAnsi="Verdana" w:cs="Verdana"/>
          <w:b/>
          <w:bCs/>
          <w:color w:val="0070C0"/>
          <w:sz w:val="20"/>
          <w:szCs w:val="20"/>
        </w:rPr>
        <w:t>n</w:t>
      </w:r>
      <w:r w:rsidR="00E9135F" w:rsidRPr="00295694">
        <w:rPr>
          <w:rFonts w:ascii="Verdana" w:hAnsi="Verdana" w:cs="Verdana"/>
          <w:b/>
          <w:bCs/>
          <w:color w:val="0070C0"/>
          <w:sz w:val="20"/>
          <w:szCs w:val="20"/>
        </w:rPr>
        <w:t>aruszenie art. 4 Protokołu nr 4 do Konwencji</w:t>
      </w:r>
      <w:r>
        <w:rPr>
          <w:rFonts w:ascii="Verdana" w:hAnsi="Verdana" w:cs="Verdana"/>
          <w:color w:val="0070C0"/>
          <w:sz w:val="20"/>
          <w:szCs w:val="20"/>
        </w:rPr>
        <w:t xml:space="preserve"> wskazując w szczególności, że</w:t>
      </w:r>
      <w:r w:rsidR="00FD702C" w:rsidRPr="005C6EDE">
        <w:rPr>
          <w:rFonts w:ascii="Verdana" w:hAnsi="Verdana" w:cs="Verdana"/>
          <w:color w:val="0070C0"/>
          <w:sz w:val="20"/>
          <w:szCs w:val="20"/>
        </w:rPr>
        <w:t xml:space="preserve"> </w:t>
      </w:r>
      <w:r>
        <w:rPr>
          <w:rFonts w:ascii="Verdana" w:hAnsi="Verdana" w:cs="Verdana"/>
          <w:color w:val="0070C0"/>
          <w:sz w:val="20"/>
          <w:szCs w:val="20"/>
        </w:rPr>
        <w:t>p</w:t>
      </w:r>
      <w:r w:rsidR="00FD702C" w:rsidRPr="005C6EDE">
        <w:rPr>
          <w:rFonts w:ascii="Verdana" w:hAnsi="Verdana" w:cs="Verdana"/>
          <w:color w:val="0070C0"/>
          <w:sz w:val="20"/>
          <w:szCs w:val="20"/>
        </w:rPr>
        <w:t>ostępowanie dotyczące</w:t>
      </w:r>
      <w:r w:rsidR="00E9135F" w:rsidRPr="005C6EDE">
        <w:rPr>
          <w:rFonts w:ascii="Verdana" w:hAnsi="Verdana" w:cs="Verdana"/>
          <w:color w:val="0070C0"/>
          <w:sz w:val="20"/>
          <w:szCs w:val="20"/>
        </w:rPr>
        <w:t xml:space="preserve"> wydalenia (</w:t>
      </w:r>
      <w:r w:rsidR="00FD702C" w:rsidRPr="005C6EDE">
        <w:rPr>
          <w:rFonts w:ascii="Verdana" w:hAnsi="Verdana" w:cs="Verdana"/>
          <w:color w:val="0070C0"/>
          <w:sz w:val="20"/>
          <w:szCs w:val="20"/>
        </w:rPr>
        <w:t>prowadzone wobec obywateli</w:t>
      </w:r>
      <w:r w:rsidR="00E9135F" w:rsidRPr="005C6EDE">
        <w:rPr>
          <w:rFonts w:ascii="Verdana" w:hAnsi="Verdana" w:cs="Verdana"/>
          <w:color w:val="0070C0"/>
          <w:sz w:val="20"/>
          <w:szCs w:val="20"/>
        </w:rPr>
        <w:t xml:space="preserve"> Słowacji pochodzenia romskiego)</w:t>
      </w:r>
      <w:r w:rsidR="00BF36FC" w:rsidRPr="005C6EDE">
        <w:rPr>
          <w:rFonts w:ascii="Verdana" w:hAnsi="Verdana" w:cs="Verdana"/>
          <w:color w:val="0070C0"/>
          <w:sz w:val="20"/>
          <w:szCs w:val="20"/>
        </w:rPr>
        <w:t xml:space="preserve"> nie zapewniała, aby</w:t>
      </w:r>
      <w:r w:rsidR="00DE2EE1" w:rsidRPr="005C6EDE">
        <w:rPr>
          <w:rFonts w:ascii="Verdana" w:hAnsi="Verdana" w:cs="Verdana"/>
          <w:color w:val="0070C0"/>
          <w:sz w:val="20"/>
          <w:szCs w:val="20"/>
        </w:rPr>
        <w:t xml:space="preserve"> </w:t>
      </w:r>
      <w:r w:rsidR="00375509" w:rsidRPr="005C6EDE">
        <w:rPr>
          <w:rFonts w:ascii="Verdana" w:hAnsi="Verdana" w:cs="Verdana"/>
          <w:color w:val="0070C0"/>
          <w:sz w:val="20"/>
          <w:szCs w:val="20"/>
        </w:rPr>
        <w:t>okoliczności o charakterze indywidualnym</w:t>
      </w:r>
      <w:r w:rsidR="00BF36FC" w:rsidRPr="005C6EDE">
        <w:rPr>
          <w:rFonts w:ascii="Verdana" w:hAnsi="Verdana" w:cs="Verdana"/>
          <w:color w:val="0070C0"/>
          <w:sz w:val="20"/>
          <w:szCs w:val="20"/>
        </w:rPr>
        <w:t>,</w:t>
      </w:r>
      <w:r w:rsidR="00375509" w:rsidRPr="005C6EDE">
        <w:rPr>
          <w:rFonts w:ascii="Verdana" w:hAnsi="Verdana" w:cs="Verdana"/>
          <w:color w:val="0070C0"/>
          <w:sz w:val="20"/>
          <w:szCs w:val="20"/>
        </w:rPr>
        <w:t xml:space="preserve"> dotyczące każdego z zainteresowanych</w:t>
      </w:r>
      <w:r w:rsidR="00BF36FC" w:rsidRPr="005C6EDE">
        <w:rPr>
          <w:rFonts w:ascii="Verdana" w:hAnsi="Verdana" w:cs="Verdana"/>
          <w:color w:val="0070C0"/>
          <w:sz w:val="20"/>
          <w:szCs w:val="20"/>
        </w:rPr>
        <w:t>, brane były</w:t>
      </w:r>
      <w:r w:rsidR="00FD4621" w:rsidRPr="005C6EDE">
        <w:rPr>
          <w:rFonts w:ascii="Verdana" w:hAnsi="Verdana" w:cs="Verdana"/>
          <w:color w:val="0070C0"/>
          <w:sz w:val="20"/>
          <w:szCs w:val="20"/>
        </w:rPr>
        <w:t xml:space="preserve"> autentycznie i jednostkowo</w:t>
      </w:r>
      <w:r w:rsidR="002C795D" w:rsidRPr="005C6EDE">
        <w:rPr>
          <w:rFonts w:ascii="Verdana" w:hAnsi="Verdana" w:cs="Verdana"/>
          <w:color w:val="0070C0"/>
          <w:sz w:val="20"/>
          <w:szCs w:val="20"/>
        </w:rPr>
        <w:t xml:space="preserve"> pod uwagę</w:t>
      </w:r>
      <w:r w:rsidR="00375509" w:rsidRPr="005C6EDE">
        <w:rPr>
          <w:rFonts w:ascii="Verdana" w:hAnsi="Verdana" w:cs="Verdana"/>
          <w:color w:val="0070C0"/>
          <w:sz w:val="20"/>
          <w:szCs w:val="20"/>
        </w:rPr>
        <w:t>.</w:t>
      </w:r>
      <w:r w:rsidR="002C795D" w:rsidRPr="005C6EDE">
        <w:rPr>
          <w:rFonts w:ascii="Verdana" w:hAnsi="Verdana" w:cs="Verdana"/>
          <w:color w:val="0070C0"/>
          <w:sz w:val="20"/>
          <w:szCs w:val="20"/>
        </w:rPr>
        <w:t xml:space="preserve"> Zdaniem Trybunału przeprowadzone postępowanie </w:t>
      </w:r>
      <w:r w:rsidR="004D3BFD" w:rsidRPr="005C6EDE">
        <w:rPr>
          <w:rFonts w:ascii="Verdana" w:hAnsi="Verdana" w:cs="Verdana"/>
          <w:color w:val="0070C0"/>
          <w:sz w:val="20"/>
          <w:szCs w:val="20"/>
        </w:rPr>
        <w:t xml:space="preserve">nie było w stanie </w:t>
      </w:r>
      <w:r w:rsidR="00996F9D" w:rsidRPr="005C6EDE">
        <w:rPr>
          <w:rFonts w:ascii="Verdana" w:hAnsi="Verdana" w:cs="Verdana"/>
          <w:color w:val="0070C0"/>
          <w:sz w:val="20"/>
          <w:szCs w:val="20"/>
        </w:rPr>
        <w:t>wyelim</w:t>
      </w:r>
      <w:r w:rsidR="00FD4621" w:rsidRPr="005C6EDE">
        <w:rPr>
          <w:rFonts w:ascii="Verdana" w:hAnsi="Verdana" w:cs="Verdana"/>
          <w:color w:val="0070C0"/>
          <w:sz w:val="20"/>
          <w:szCs w:val="20"/>
        </w:rPr>
        <w:t>inować wszystkich wątpliwości co do tego, czy</w:t>
      </w:r>
      <w:r w:rsidR="00996F9D" w:rsidRPr="005C6EDE">
        <w:rPr>
          <w:rFonts w:ascii="Verdana" w:hAnsi="Verdana" w:cs="Verdana"/>
          <w:color w:val="0070C0"/>
          <w:sz w:val="20"/>
          <w:szCs w:val="20"/>
        </w:rPr>
        <w:t xml:space="preserve"> wydalenie było zbiorowe, a wątpliwości te </w:t>
      </w:r>
      <w:r w:rsidR="002444C1" w:rsidRPr="005C6EDE">
        <w:rPr>
          <w:rFonts w:ascii="Verdana" w:hAnsi="Verdana" w:cs="Verdana"/>
          <w:color w:val="0070C0"/>
          <w:sz w:val="20"/>
          <w:szCs w:val="20"/>
        </w:rPr>
        <w:t>wynikały z</w:t>
      </w:r>
      <w:r w:rsidR="00996F9D" w:rsidRPr="005C6EDE">
        <w:rPr>
          <w:rFonts w:ascii="Verdana" w:hAnsi="Verdana" w:cs="Verdana"/>
          <w:color w:val="0070C0"/>
          <w:sz w:val="20"/>
          <w:szCs w:val="20"/>
        </w:rPr>
        <w:t xml:space="preserve"> następujących</w:t>
      </w:r>
      <w:r w:rsidR="002444C1" w:rsidRPr="005C6EDE">
        <w:rPr>
          <w:rFonts w:ascii="Verdana" w:hAnsi="Verdana" w:cs="Verdana"/>
          <w:color w:val="0070C0"/>
          <w:sz w:val="20"/>
          <w:szCs w:val="20"/>
        </w:rPr>
        <w:t xml:space="preserve"> czynników: władze państwowe uprzednio wydały </w:t>
      </w:r>
      <w:r w:rsidR="006B2740" w:rsidRPr="005C6EDE">
        <w:rPr>
          <w:rFonts w:ascii="Verdana" w:hAnsi="Verdana" w:cs="Verdana"/>
          <w:color w:val="0070C0"/>
          <w:sz w:val="20"/>
          <w:szCs w:val="20"/>
        </w:rPr>
        <w:t xml:space="preserve">właściwym organom </w:t>
      </w:r>
      <w:r w:rsidR="002444C1" w:rsidRPr="005C6EDE">
        <w:rPr>
          <w:rFonts w:ascii="Verdana" w:hAnsi="Verdana" w:cs="Verdana"/>
          <w:color w:val="0070C0"/>
          <w:sz w:val="20"/>
          <w:szCs w:val="20"/>
        </w:rPr>
        <w:t>zalecenia</w:t>
      </w:r>
      <w:r w:rsidR="006B2740" w:rsidRPr="005C6EDE">
        <w:rPr>
          <w:rFonts w:ascii="Verdana" w:hAnsi="Verdana" w:cs="Verdana"/>
          <w:color w:val="0070C0"/>
          <w:sz w:val="20"/>
          <w:szCs w:val="20"/>
        </w:rPr>
        <w:t xml:space="preserve"> dotyczące</w:t>
      </w:r>
      <w:r w:rsidR="00FD4621" w:rsidRPr="005C6EDE">
        <w:rPr>
          <w:rFonts w:ascii="Verdana" w:hAnsi="Verdana" w:cs="Verdana"/>
          <w:color w:val="0070C0"/>
          <w:sz w:val="20"/>
          <w:szCs w:val="20"/>
        </w:rPr>
        <w:t xml:space="preserve"> wdrożenia podobnych działań</w:t>
      </w:r>
      <w:r w:rsidR="004C081C" w:rsidRPr="005C6EDE">
        <w:rPr>
          <w:rFonts w:ascii="Verdana" w:hAnsi="Verdana" w:cs="Verdana"/>
          <w:color w:val="0070C0"/>
          <w:sz w:val="20"/>
          <w:szCs w:val="20"/>
        </w:rPr>
        <w:t xml:space="preserve">; wszyscy obcokrajowcy zostali wezwani na policję w tym samym czasie; nakazy nakładające na nich obowiązek opuszczenia terytorium i aresztowania </w:t>
      </w:r>
      <w:r w:rsidR="00720F41" w:rsidRPr="005C6EDE">
        <w:rPr>
          <w:rFonts w:ascii="Verdana" w:hAnsi="Verdana" w:cs="Verdana"/>
          <w:color w:val="0070C0"/>
          <w:sz w:val="20"/>
          <w:szCs w:val="20"/>
        </w:rPr>
        <w:t xml:space="preserve">zostały sformułowane w identyczny sposób; obcokrajowcy mieli duże trudności aby skontaktować się z </w:t>
      </w:r>
      <w:r w:rsidR="006B2740" w:rsidRPr="005C6EDE">
        <w:rPr>
          <w:rFonts w:ascii="Verdana" w:hAnsi="Verdana" w:cs="Verdana"/>
          <w:color w:val="0070C0"/>
          <w:sz w:val="20"/>
          <w:szCs w:val="20"/>
        </w:rPr>
        <w:t>prawnikiem;</w:t>
      </w:r>
      <w:r w:rsidR="00720F41" w:rsidRPr="005C6EDE">
        <w:rPr>
          <w:rFonts w:ascii="Verdana" w:hAnsi="Verdana" w:cs="Verdana"/>
          <w:color w:val="0070C0"/>
          <w:sz w:val="20"/>
          <w:szCs w:val="20"/>
        </w:rPr>
        <w:t xml:space="preserve"> nie został</w:t>
      </w:r>
      <w:r w:rsidR="006B2740" w:rsidRPr="005C6EDE">
        <w:rPr>
          <w:rFonts w:ascii="Verdana" w:hAnsi="Verdana" w:cs="Verdana"/>
          <w:color w:val="0070C0"/>
          <w:sz w:val="20"/>
          <w:szCs w:val="20"/>
        </w:rPr>
        <w:t>o zakończone postępowanie dotyczące udzielenia azylu.</w:t>
      </w:r>
    </w:p>
    <w:p w14:paraId="4B748984" w14:textId="77777777" w:rsidR="005C6EDE" w:rsidRPr="005C6EDE" w:rsidRDefault="005C6EDE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>
        <w:rPr>
          <w:rFonts w:ascii="Verdana" w:hAnsi="Verdana" w:cs="Verdana"/>
          <w:color w:val="0070C0"/>
          <w:sz w:val="20"/>
          <w:szCs w:val="20"/>
        </w:rPr>
        <w:t xml:space="preserve">W tym postępowaniu Trybunał stwierdził również naruszenie </w:t>
      </w:r>
      <w:r w:rsidRPr="00295694">
        <w:rPr>
          <w:rFonts w:ascii="Verdana" w:hAnsi="Verdana" w:cs="Verdana"/>
          <w:b/>
          <w:bCs/>
          <w:color w:val="0070C0"/>
          <w:sz w:val="20"/>
          <w:szCs w:val="20"/>
        </w:rPr>
        <w:t>art. 5 ust. 1</w:t>
      </w:r>
      <w:r>
        <w:rPr>
          <w:rFonts w:ascii="Verdana" w:hAnsi="Verdana" w:cs="Verdana"/>
          <w:color w:val="0070C0"/>
          <w:sz w:val="20"/>
          <w:szCs w:val="20"/>
        </w:rPr>
        <w:t xml:space="preserve"> (prawo do wolności i bezpieczeństwa) i </w:t>
      </w:r>
      <w:r w:rsidRPr="00295694">
        <w:rPr>
          <w:rFonts w:ascii="Verdana" w:hAnsi="Verdana" w:cs="Verdana"/>
          <w:b/>
          <w:bCs/>
          <w:color w:val="0070C0"/>
          <w:sz w:val="20"/>
          <w:szCs w:val="20"/>
        </w:rPr>
        <w:t>ust. 4 Konwencji</w:t>
      </w:r>
      <w:r>
        <w:rPr>
          <w:rFonts w:ascii="Verdana" w:hAnsi="Verdana" w:cs="Verdana"/>
          <w:color w:val="0070C0"/>
          <w:sz w:val="20"/>
          <w:szCs w:val="20"/>
        </w:rPr>
        <w:t xml:space="preserve"> (prawo do wszczęcia postępowania kontrolnego w zakresie legalności zatrzymania)</w:t>
      </w:r>
      <w:r w:rsidR="00295694">
        <w:rPr>
          <w:rFonts w:ascii="Verdana" w:hAnsi="Verdana" w:cs="Verdana"/>
          <w:color w:val="0070C0"/>
          <w:sz w:val="20"/>
          <w:szCs w:val="20"/>
        </w:rPr>
        <w:t xml:space="preserve"> oraz </w:t>
      </w:r>
      <w:r w:rsidR="00295694" w:rsidRPr="00295694">
        <w:rPr>
          <w:rFonts w:ascii="Verdana" w:hAnsi="Verdana" w:cs="Verdana"/>
          <w:b/>
          <w:bCs/>
          <w:color w:val="0070C0"/>
          <w:sz w:val="20"/>
          <w:szCs w:val="20"/>
        </w:rPr>
        <w:t>art. 13</w:t>
      </w:r>
      <w:r w:rsidR="00295694">
        <w:rPr>
          <w:rFonts w:ascii="Verdana" w:hAnsi="Verdana" w:cs="Verdana"/>
          <w:color w:val="0070C0"/>
          <w:sz w:val="20"/>
          <w:szCs w:val="20"/>
        </w:rPr>
        <w:t xml:space="preserve"> (prawo do środka odwoławczego) </w:t>
      </w:r>
      <w:r w:rsidR="00295694" w:rsidRPr="00295694">
        <w:rPr>
          <w:rFonts w:ascii="Verdana" w:hAnsi="Verdana" w:cs="Verdana"/>
          <w:b/>
          <w:bCs/>
          <w:color w:val="0070C0"/>
          <w:sz w:val="20"/>
          <w:szCs w:val="20"/>
        </w:rPr>
        <w:t>w zw. z art. 4 Protokołu nr</w:t>
      </w:r>
      <w:r w:rsidR="00295694">
        <w:rPr>
          <w:rFonts w:ascii="Verdana" w:hAnsi="Verdana" w:cs="Verdana"/>
          <w:color w:val="0070C0"/>
          <w:sz w:val="20"/>
          <w:szCs w:val="20"/>
        </w:rPr>
        <w:t xml:space="preserve"> </w:t>
      </w:r>
      <w:r w:rsidR="00295694" w:rsidRPr="00295694">
        <w:rPr>
          <w:rFonts w:ascii="Verdana" w:hAnsi="Verdana" w:cs="Verdana"/>
          <w:b/>
          <w:bCs/>
          <w:color w:val="0070C0"/>
          <w:sz w:val="20"/>
          <w:szCs w:val="20"/>
        </w:rPr>
        <w:t>4</w:t>
      </w:r>
      <w:r w:rsidR="00295694">
        <w:rPr>
          <w:rFonts w:ascii="Verdana" w:hAnsi="Verdana" w:cs="Verdana"/>
          <w:color w:val="0070C0"/>
          <w:sz w:val="20"/>
          <w:szCs w:val="20"/>
        </w:rPr>
        <w:t xml:space="preserve">. Trybunał stwierdził brak naruszenia art. </w:t>
      </w:r>
      <w:r w:rsidR="00295694" w:rsidRPr="00295694">
        <w:rPr>
          <w:rFonts w:ascii="Verdana" w:hAnsi="Verdana" w:cs="Verdana"/>
          <w:b/>
          <w:bCs/>
          <w:color w:val="0070C0"/>
          <w:sz w:val="20"/>
          <w:szCs w:val="20"/>
        </w:rPr>
        <w:t>5 ust. 2 Konwencji</w:t>
      </w:r>
      <w:r w:rsidR="00295694">
        <w:rPr>
          <w:rFonts w:ascii="Verdana" w:hAnsi="Verdana" w:cs="Verdana"/>
          <w:color w:val="0070C0"/>
          <w:sz w:val="20"/>
          <w:szCs w:val="20"/>
        </w:rPr>
        <w:t xml:space="preserve"> (prawo do informacji o przyczynach zatrzymania) i </w:t>
      </w:r>
      <w:r w:rsidR="00295694" w:rsidRPr="00295694">
        <w:rPr>
          <w:rFonts w:ascii="Verdana" w:hAnsi="Verdana" w:cs="Verdana"/>
          <w:b/>
          <w:bCs/>
          <w:color w:val="0070C0"/>
          <w:sz w:val="20"/>
          <w:szCs w:val="20"/>
        </w:rPr>
        <w:t>art. 13</w:t>
      </w:r>
      <w:r w:rsidR="00295694">
        <w:rPr>
          <w:rFonts w:ascii="Verdana" w:hAnsi="Verdana" w:cs="Verdana"/>
          <w:color w:val="0070C0"/>
          <w:sz w:val="20"/>
          <w:szCs w:val="20"/>
        </w:rPr>
        <w:t xml:space="preserve"> (prawo do środka odwoławczego) w zw. z </w:t>
      </w:r>
      <w:r w:rsidR="00295694" w:rsidRPr="00295694">
        <w:rPr>
          <w:rFonts w:ascii="Verdana" w:hAnsi="Verdana" w:cs="Verdana"/>
          <w:b/>
          <w:bCs/>
          <w:color w:val="0070C0"/>
          <w:sz w:val="20"/>
          <w:szCs w:val="20"/>
        </w:rPr>
        <w:t>art. 3</w:t>
      </w:r>
      <w:r w:rsidR="00295694">
        <w:rPr>
          <w:rFonts w:ascii="Verdana" w:hAnsi="Verdana" w:cs="Verdana"/>
          <w:color w:val="0070C0"/>
          <w:sz w:val="20"/>
          <w:szCs w:val="20"/>
        </w:rPr>
        <w:t xml:space="preserve"> Konwencji (zakaz tortur). </w:t>
      </w:r>
      <w:r>
        <w:rPr>
          <w:rFonts w:ascii="Verdana" w:hAnsi="Verdana" w:cs="Verdana"/>
          <w:color w:val="0070C0"/>
          <w:sz w:val="20"/>
          <w:szCs w:val="20"/>
        </w:rPr>
        <w:t xml:space="preserve">  </w:t>
      </w:r>
    </w:p>
    <w:p w14:paraId="50CC77E0" w14:textId="77777777" w:rsidR="00720F41" w:rsidRPr="00B21606" w:rsidRDefault="00720F41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B21606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lastRenderedPageBreak/>
        <w:t>Hirsi Jamaa i in. przeciwko Włochom</w:t>
      </w:r>
    </w:p>
    <w:p w14:paraId="4F1FADEE" w14:textId="77777777" w:rsidR="00720F41" w:rsidRPr="000D1C49" w:rsidRDefault="00720F41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0D1C49">
        <w:rPr>
          <w:rFonts w:ascii="Verdana" w:hAnsi="Verdana" w:cs="Verdana"/>
          <w:color w:val="808080"/>
          <w:sz w:val="20"/>
          <w:szCs w:val="20"/>
        </w:rPr>
        <w:t xml:space="preserve">Wyrok Wielkiej Izby </w:t>
      </w:r>
      <w:r w:rsidR="00FB016B" w:rsidRPr="000D1C49">
        <w:rPr>
          <w:rFonts w:ascii="Verdana" w:hAnsi="Verdana" w:cs="Verdana"/>
          <w:color w:val="808080"/>
          <w:sz w:val="20"/>
          <w:szCs w:val="20"/>
        </w:rPr>
        <w:t xml:space="preserve">z dnia </w:t>
      </w:r>
      <w:r w:rsidRPr="000D1C49">
        <w:rPr>
          <w:rFonts w:ascii="Verdana" w:hAnsi="Verdana" w:cs="Verdana"/>
          <w:color w:val="808080"/>
          <w:sz w:val="20"/>
          <w:szCs w:val="20"/>
        </w:rPr>
        <w:t>23</w:t>
      </w:r>
      <w:r w:rsidR="00295694" w:rsidRPr="000D1C49">
        <w:rPr>
          <w:rFonts w:ascii="Verdana" w:hAnsi="Verdana" w:cs="Verdana"/>
          <w:color w:val="808080"/>
          <w:sz w:val="20"/>
          <w:szCs w:val="20"/>
        </w:rPr>
        <w:t xml:space="preserve"> lutego</w:t>
      </w:r>
      <w:r w:rsidRPr="000D1C49">
        <w:rPr>
          <w:rFonts w:ascii="Verdana" w:hAnsi="Verdana" w:cs="Verdana"/>
          <w:color w:val="808080"/>
          <w:sz w:val="20"/>
          <w:szCs w:val="20"/>
        </w:rPr>
        <w:t xml:space="preserve"> 2012</w:t>
      </w:r>
      <w:r w:rsidR="00295694" w:rsidRPr="000D1C49">
        <w:rPr>
          <w:rFonts w:ascii="Verdana" w:hAnsi="Verdana" w:cs="Verdana"/>
          <w:color w:val="808080"/>
          <w:sz w:val="20"/>
          <w:szCs w:val="20"/>
        </w:rPr>
        <w:t>r.</w:t>
      </w:r>
    </w:p>
    <w:p w14:paraId="0D607056" w14:textId="77777777" w:rsidR="00A07308" w:rsidRDefault="00720F41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Sprawa dotyczyła imigrantów somalijskich i </w:t>
      </w:r>
      <w:r w:rsidR="006B2740">
        <w:rPr>
          <w:rFonts w:ascii="Verdana" w:hAnsi="Verdana" w:cs="Verdana"/>
          <w:sz w:val="20"/>
          <w:szCs w:val="20"/>
        </w:rPr>
        <w:t>erytrejskich, podróżujących</w:t>
      </w:r>
      <w:r>
        <w:rPr>
          <w:rFonts w:ascii="Verdana" w:hAnsi="Verdana" w:cs="Verdana"/>
          <w:sz w:val="20"/>
          <w:szCs w:val="20"/>
        </w:rPr>
        <w:t xml:space="preserve"> z</w:t>
      </w:r>
      <w:r w:rsidR="006B2740">
        <w:rPr>
          <w:rFonts w:ascii="Verdana" w:hAnsi="Verdana" w:cs="Verdana"/>
          <w:sz w:val="20"/>
          <w:szCs w:val="20"/>
        </w:rPr>
        <w:t xml:space="preserve"> terytorium</w:t>
      </w:r>
      <w:r>
        <w:rPr>
          <w:rFonts w:ascii="Verdana" w:hAnsi="Verdana" w:cs="Verdana"/>
          <w:sz w:val="20"/>
          <w:szCs w:val="20"/>
        </w:rPr>
        <w:t xml:space="preserve"> Libii, którzy zostali </w:t>
      </w:r>
      <w:r w:rsidR="00A07308">
        <w:rPr>
          <w:rFonts w:ascii="Verdana" w:hAnsi="Verdana" w:cs="Verdana"/>
          <w:sz w:val="20"/>
          <w:szCs w:val="20"/>
        </w:rPr>
        <w:t>przechwyceni</w:t>
      </w:r>
      <w:r>
        <w:rPr>
          <w:rFonts w:ascii="Verdana" w:hAnsi="Verdana" w:cs="Verdana"/>
          <w:sz w:val="20"/>
          <w:szCs w:val="20"/>
        </w:rPr>
        <w:t xml:space="preserve"> </w:t>
      </w:r>
      <w:r w:rsidR="00A07308">
        <w:rPr>
          <w:rFonts w:ascii="Verdana" w:hAnsi="Verdana" w:cs="Verdana"/>
          <w:sz w:val="20"/>
          <w:szCs w:val="20"/>
        </w:rPr>
        <w:t xml:space="preserve">na morzu </w:t>
      </w:r>
      <w:r>
        <w:rPr>
          <w:rFonts w:ascii="Verdana" w:hAnsi="Verdana" w:cs="Verdana"/>
          <w:sz w:val="20"/>
          <w:szCs w:val="20"/>
        </w:rPr>
        <w:t>przez władze włoskie i odesłani z powrotem do Libii.</w:t>
      </w:r>
      <w:r w:rsidR="00996F9D">
        <w:rPr>
          <w:rFonts w:ascii="Verdana" w:hAnsi="Verdana" w:cs="Verdana"/>
          <w:sz w:val="20"/>
          <w:szCs w:val="20"/>
        </w:rPr>
        <w:t xml:space="preserve"> </w:t>
      </w:r>
      <w:r w:rsidR="00DA55B6">
        <w:rPr>
          <w:rFonts w:ascii="Verdana" w:hAnsi="Verdana" w:cs="Verdana"/>
          <w:sz w:val="20"/>
          <w:szCs w:val="20"/>
        </w:rPr>
        <w:t>Skarżący podnieśli m. in., że byli podmiotami wydalenia zbiorowego zakazanego przez art. 4 Protokołu nr 4 do Konwencji. Podnieśli ponadto, iż nie mieli dostępu do skutecznego środka odwoławczego w tym zakresie na terenie Włoch.</w:t>
      </w:r>
    </w:p>
    <w:p w14:paraId="47C243CC" w14:textId="77777777" w:rsidR="00A07308" w:rsidRPr="00DA55B6" w:rsidRDefault="00A07308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DA55B6">
        <w:rPr>
          <w:rFonts w:ascii="Verdana" w:hAnsi="Verdana" w:cs="Verdana"/>
          <w:color w:val="0070C0"/>
          <w:sz w:val="20"/>
          <w:szCs w:val="20"/>
        </w:rPr>
        <w:t>Trybunał stwierdził, ż</w:t>
      </w:r>
      <w:r w:rsidR="006B2740" w:rsidRPr="00DA55B6">
        <w:rPr>
          <w:rFonts w:ascii="Verdana" w:hAnsi="Verdana" w:cs="Verdana"/>
          <w:color w:val="0070C0"/>
          <w:sz w:val="20"/>
          <w:szCs w:val="20"/>
        </w:rPr>
        <w:t xml:space="preserve">e skarżący </w:t>
      </w:r>
      <w:r w:rsidR="006B2740" w:rsidRPr="00DA55B6">
        <w:rPr>
          <w:rFonts w:ascii="Verdana" w:hAnsi="Verdana" w:cs="Verdana"/>
          <w:b/>
          <w:bCs/>
          <w:color w:val="0070C0"/>
          <w:sz w:val="20"/>
          <w:szCs w:val="20"/>
        </w:rPr>
        <w:t xml:space="preserve">podlegali jurysdykcji </w:t>
      </w:r>
      <w:r w:rsidR="006B2740" w:rsidRPr="00DA55B6">
        <w:rPr>
          <w:rFonts w:ascii="Verdana" w:hAnsi="Verdana" w:cs="Verdana"/>
          <w:color w:val="0070C0"/>
          <w:sz w:val="20"/>
          <w:szCs w:val="20"/>
        </w:rPr>
        <w:t xml:space="preserve">włoskiej </w:t>
      </w:r>
      <w:r w:rsidR="006B2740" w:rsidRPr="00DA55B6">
        <w:rPr>
          <w:rFonts w:ascii="Verdana" w:hAnsi="Verdana" w:cs="Verdana"/>
          <w:b/>
          <w:bCs/>
          <w:color w:val="0070C0"/>
          <w:sz w:val="20"/>
          <w:szCs w:val="20"/>
        </w:rPr>
        <w:t>w rozumieniu</w:t>
      </w:r>
      <w:r w:rsidRPr="00DA55B6">
        <w:rPr>
          <w:rFonts w:ascii="Verdana" w:hAnsi="Verdana" w:cs="Verdana"/>
          <w:b/>
          <w:bCs/>
          <w:color w:val="0070C0"/>
          <w:sz w:val="20"/>
          <w:szCs w:val="20"/>
        </w:rPr>
        <w:t xml:space="preserve"> art. 1 Konwencji</w:t>
      </w:r>
      <w:r w:rsidR="00DA55B6">
        <w:rPr>
          <w:rFonts w:ascii="Verdana" w:hAnsi="Verdana" w:cs="Verdana"/>
          <w:color w:val="0070C0"/>
          <w:sz w:val="20"/>
          <w:szCs w:val="20"/>
        </w:rPr>
        <w:t xml:space="preserve"> (prawo do poszanowania praw człowieka)</w:t>
      </w:r>
      <w:r w:rsidRPr="00DA55B6">
        <w:rPr>
          <w:rFonts w:ascii="Verdana" w:hAnsi="Verdana" w:cs="Verdana"/>
          <w:color w:val="0070C0"/>
          <w:sz w:val="20"/>
          <w:szCs w:val="20"/>
        </w:rPr>
        <w:t xml:space="preserve">: w czasie pomiędzy </w:t>
      </w:r>
      <w:r w:rsidR="00EC567A" w:rsidRPr="00DA55B6">
        <w:rPr>
          <w:rFonts w:ascii="Verdana" w:hAnsi="Verdana" w:cs="Verdana"/>
          <w:color w:val="0070C0"/>
          <w:sz w:val="20"/>
          <w:szCs w:val="20"/>
        </w:rPr>
        <w:t>załadowaniem na statek, a przekazaniem władzom libijskim i</w:t>
      </w:r>
      <w:r w:rsidR="00051FCE" w:rsidRPr="00DA55B6">
        <w:rPr>
          <w:rFonts w:ascii="Verdana" w:hAnsi="Verdana" w:cs="Verdana"/>
          <w:color w:val="0070C0"/>
          <w:sz w:val="20"/>
          <w:szCs w:val="20"/>
        </w:rPr>
        <w:t xml:space="preserve"> faktycznie oraz z mocy prawa pozostawali pod kontrolą władz włoskich.</w:t>
      </w:r>
    </w:p>
    <w:p w14:paraId="02AFB790" w14:textId="77777777" w:rsidR="00F7131D" w:rsidRPr="00DA55B6" w:rsidRDefault="00DA55B6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>
        <w:rPr>
          <w:rFonts w:ascii="Verdana" w:hAnsi="Verdana" w:cs="Verdana"/>
          <w:color w:val="0070C0"/>
          <w:sz w:val="20"/>
          <w:szCs w:val="20"/>
        </w:rPr>
        <w:t xml:space="preserve">W tej sprawie </w:t>
      </w:r>
      <w:r w:rsidR="00051FCE" w:rsidRPr="00DA55B6">
        <w:rPr>
          <w:rFonts w:ascii="Verdana" w:hAnsi="Verdana" w:cs="Verdana"/>
          <w:color w:val="0070C0"/>
          <w:sz w:val="20"/>
          <w:szCs w:val="20"/>
        </w:rPr>
        <w:t xml:space="preserve">Trybunał </w:t>
      </w:r>
      <w:r w:rsidR="008864D5" w:rsidRPr="00DA55B6">
        <w:rPr>
          <w:rFonts w:ascii="Verdana" w:hAnsi="Verdana" w:cs="Verdana"/>
          <w:b/>
          <w:bCs/>
          <w:color w:val="0070C0"/>
          <w:sz w:val="20"/>
          <w:szCs w:val="20"/>
        </w:rPr>
        <w:t xml:space="preserve">został </w:t>
      </w:r>
      <w:r w:rsidR="002B44A5" w:rsidRPr="00DA55B6">
        <w:rPr>
          <w:rFonts w:ascii="Verdana" w:hAnsi="Verdana" w:cs="Verdana"/>
          <w:b/>
          <w:bCs/>
          <w:color w:val="0070C0"/>
          <w:sz w:val="20"/>
          <w:szCs w:val="20"/>
        </w:rPr>
        <w:t xml:space="preserve">po raz pierwszy </w:t>
      </w:r>
      <w:r w:rsidR="008864D5" w:rsidRPr="00DA55B6">
        <w:rPr>
          <w:rFonts w:ascii="Verdana" w:hAnsi="Verdana" w:cs="Verdana"/>
          <w:b/>
          <w:bCs/>
          <w:color w:val="0070C0"/>
          <w:sz w:val="20"/>
          <w:szCs w:val="20"/>
        </w:rPr>
        <w:t>zmuszony do zbadania, czy art. 4 Protokołu</w:t>
      </w:r>
      <w:r>
        <w:rPr>
          <w:rFonts w:ascii="Verdana" w:hAnsi="Verdana" w:cs="Verdana"/>
          <w:b/>
          <w:bCs/>
          <w:color w:val="0070C0"/>
          <w:sz w:val="20"/>
          <w:szCs w:val="20"/>
        </w:rPr>
        <w:t xml:space="preserve"> nr</w:t>
      </w:r>
      <w:r w:rsidR="008864D5" w:rsidRPr="00DA55B6">
        <w:rPr>
          <w:rFonts w:ascii="Verdana" w:hAnsi="Verdana" w:cs="Verdana"/>
          <w:b/>
          <w:bCs/>
          <w:color w:val="0070C0"/>
          <w:sz w:val="20"/>
          <w:szCs w:val="20"/>
        </w:rPr>
        <w:t xml:space="preserve"> 4</w:t>
      </w:r>
      <w:r w:rsidR="008864D5" w:rsidRPr="00DA55B6">
        <w:rPr>
          <w:rFonts w:ascii="Verdana" w:hAnsi="Verdana" w:cs="Verdana"/>
          <w:color w:val="0070C0"/>
          <w:sz w:val="20"/>
          <w:szCs w:val="20"/>
        </w:rPr>
        <w:t xml:space="preserve"> </w:t>
      </w:r>
      <w:r>
        <w:rPr>
          <w:rFonts w:ascii="Verdana" w:hAnsi="Verdana" w:cs="Verdana"/>
          <w:color w:val="0070C0"/>
          <w:sz w:val="20"/>
          <w:szCs w:val="20"/>
        </w:rPr>
        <w:t xml:space="preserve">do Konwencji </w:t>
      </w:r>
      <w:r w:rsidR="001F3F56" w:rsidRPr="00DA55B6">
        <w:rPr>
          <w:rFonts w:ascii="Verdana" w:hAnsi="Verdana" w:cs="Verdana"/>
          <w:b/>
          <w:bCs/>
          <w:color w:val="0070C0"/>
          <w:sz w:val="20"/>
          <w:szCs w:val="20"/>
        </w:rPr>
        <w:t>miał</w:t>
      </w:r>
      <w:r w:rsidR="008864D5" w:rsidRPr="00DA55B6">
        <w:rPr>
          <w:rFonts w:ascii="Verdana" w:hAnsi="Verdana" w:cs="Verdana"/>
          <w:b/>
          <w:bCs/>
          <w:color w:val="0070C0"/>
          <w:sz w:val="20"/>
          <w:szCs w:val="20"/>
        </w:rPr>
        <w:t xml:space="preserve"> z</w:t>
      </w:r>
      <w:r w:rsidR="00E93DF1" w:rsidRPr="00DA55B6">
        <w:rPr>
          <w:rFonts w:ascii="Verdana" w:hAnsi="Verdana" w:cs="Verdana"/>
          <w:b/>
          <w:bCs/>
          <w:color w:val="0070C0"/>
          <w:sz w:val="20"/>
          <w:szCs w:val="20"/>
        </w:rPr>
        <w:t>astosowanie do sytuacji, w której obcokrajowcy są przekazywani z danego państwa do państwa trzeciego</w:t>
      </w:r>
      <w:r w:rsidR="00E93DF1" w:rsidRPr="00DA55B6">
        <w:rPr>
          <w:rFonts w:ascii="Verdana" w:hAnsi="Verdana" w:cs="Verdana"/>
          <w:color w:val="0070C0"/>
          <w:sz w:val="20"/>
          <w:szCs w:val="20"/>
        </w:rPr>
        <w:t>.</w:t>
      </w:r>
      <w:r w:rsidR="00964FEC" w:rsidRPr="00DA55B6">
        <w:rPr>
          <w:rFonts w:ascii="Verdana" w:hAnsi="Verdana" w:cs="Verdana"/>
          <w:color w:val="0070C0"/>
          <w:sz w:val="20"/>
          <w:szCs w:val="20"/>
        </w:rPr>
        <w:t xml:space="preserve"> Trybunał zauważył</w:t>
      </w:r>
      <w:r w:rsidR="00E93DF1" w:rsidRPr="00DA55B6">
        <w:rPr>
          <w:rFonts w:ascii="Verdana" w:hAnsi="Verdana" w:cs="Verdana"/>
          <w:color w:val="0070C0"/>
          <w:sz w:val="20"/>
          <w:szCs w:val="20"/>
        </w:rPr>
        <w:t xml:space="preserve">, że </w:t>
      </w:r>
      <w:r w:rsidR="009009B6" w:rsidRPr="00DA55B6">
        <w:rPr>
          <w:rFonts w:ascii="Verdana" w:hAnsi="Verdana" w:cs="Verdana"/>
          <w:color w:val="0070C0"/>
          <w:sz w:val="20"/>
          <w:szCs w:val="20"/>
        </w:rPr>
        <w:t>pojęcie wydalenia</w:t>
      </w:r>
      <w:r w:rsidR="00E93DF1" w:rsidRPr="00DA55B6">
        <w:rPr>
          <w:rFonts w:ascii="Verdana" w:hAnsi="Verdana" w:cs="Verdana"/>
          <w:color w:val="0070C0"/>
          <w:sz w:val="20"/>
          <w:szCs w:val="20"/>
        </w:rPr>
        <w:t xml:space="preserve">, podobnie jak koncepcja </w:t>
      </w:r>
      <w:r w:rsidR="009009B6" w:rsidRPr="00DA55B6">
        <w:rPr>
          <w:rFonts w:ascii="Verdana" w:hAnsi="Verdana" w:cs="Verdana"/>
          <w:color w:val="0070C0"/>
          <w:sz w:val="20"/>
          <w:szCs w:val="20"/>
        </w:rPr>
        <w:t>„jurysdykcji”, miało zasadniczo charakter terytorialny</w:t>
      </w:r>
      <w:r w:rsidR="00964FEC" w:rsidRPr="00DA55B6">
        <w:rPr>
          <w:rFonts w:ascii="Verdana" w:hAnsi="Verdana" w:cs="Verdana"/>
          <w:color w:val="0070C0"/>
          <w:sz w:val="20"/>
          <w:szCs w:val="20"/>
        </w:rPr>
        <w:t>, ale stwierdził, że tam gdzie państwo, na zasadzie wyjątku, wykonywało swoją jurysdykcję poza granicami swojego teryto</w:t>
      </w:r>
      <w:r w:rsidR="00461843" w:rsidRPr="00DA55B6">
        <w:rPr>
          <w:rFonts w:ascii="Verdana" w:hAnsi="Verdana" w:cs="Verdana"/>
          <w:color w:val="0070C0"/>
          <w:sz w:val="20"/>
          <w:szCs w:val="20"/>
        </w:rPr>
        <w:t xml:space="preserve">rium – Trybunał stwierdził, że skarżący w niniejszej sprawie podlegali jurysdykcji włoskiej – należy </w:t>
      </w:r>
      <w:r w:rsidR="00D43092" w:rsidRPr="00DA55B6">
        <w:rPr>
          <w:rFonts w:ascii="Verdana" w:hAnsi="Verdana" w:cs="Verdana"/>
          <w:color w:val="0070C0"/>
          <w:sz w:val="20"/>
          <w:szCs w:val="20"/>
        </w:rPr>
        <w:t>przyjąć</w:t>
      </w:r>
      <w:r w:rsidR="00461843" w:rsidRPr="00DA55B6">
        <w:rPr>
          <w:rFonts w:ascii="Verdana" w:hAnsi="Verdana" w:cs="Verdana"/>
          <w:color w:val="0070C0"/>
          <w:sz w:val="20"/>
          <w:szCs w:val="20"/>
        </w:rPr>
        <w:t xml:space="preserve">, że wykonywanie jurysdykcji </w:t>
      </w:r>
      <w:r w:rsidR="00B82B8B" w:rsidRPr="00DA55B6">
        <w:rPr>
          <w:rFonts w:ascii="Verdana" w:hAnsi="Verdana" w:cs="Verdana"/>
          <w:color w:val="0070C0"/>
          <w:sz w:val="20"/>
          <w:szCs w:val="20"/>
        </w:rPr>
        <w:t>eks</w:t>
      </w:r>
      <w:r w:rsidR="00461843" w:rsidRPr="00DA55B6">
        <w:rPr>
          <w:rFonts w:ascii="Verdana" w:hAnsi="Verdana" w:cs="Verdana"/>
          <w:color w:val="0070C0"/>
          <w:sz w:val="20"/>
          <w:szCs w:val="20"/>
        </w:rPr>
        <w:t>terytorialnej przez dane państwo</w:t>
      </w:r>
      <w:r w:rsidR="00FA4F3D" w:rsidRPr="00DA55B6">
        <w:rPr>
          <w:rFonts w:ascii="Verdana" w:hAnsi="Verdana" w:cs="Verdana"/>
          <w:color w:val="0070C0"/>
          <w:sz w:val="20"/>
          <w:szCs w:val="20"/>
        </w:rPr>
        <w:t xml:space="preserve"> przyjęło</w:t>
      </w:r>
      <w:r w:rsidR="00D43092" w:rsidRPr="00DA55B6">
        <w:rPr>
          <w:rFonts w:ascii="Verdana" w:hAnsi="Verdana" w:cs="Verdana"/>
          <w:color w:val="0070C0"/>
          <w:sz w:val="20"/>
          <w:szCs w:val="20"/>
        </w:rPr>
        <w:t xml:space="preserve"> postać wydalenia zbiorowego. Przekazanie skarżących do Libii </w:t>
      </w:r>
      <w:r w:rsidR="00605EB0" w:rsidRPr="00DA55B6">
        <w:rPr>
          <w:rFonts w:ascii="Verdana" w:hAnsi="Verdana" w:cs="Verdana"/>
          <w:color w:val="0070C0"/>
          <w:sz w:val="20"/>
          <w:szCs w:val="20"/>
        </w:rPr>
        <w:t>odbyło się bez zbadania jednostkowych przypadków każdego  z nic</w:t>
      </w:r>
      <w:r w:rsidR="00FA4F3D" w:rsidRPr="00DA55B6">
        <w:rPr>
          <w:rFonts w:ascii="Verdana" w:hAnsi="Verdana" w:cs="Verdana"/>
          <w:color w:val="0070C0"/>
          <w:sz w:val="20"/>
          <w:szCs w:val="20"/>
        </w:rPr>
        <w:t>h. Władze włoskie dokonały jedynie</w:t>
      </w:r>
      <w:r w:rsidR="00605EB0" w:rsidRPr="00DA55B6">
        <w:rPr>
          <w:rFonts w:ascii="Verdana" w:hAnsi="Verdana" w:cs="Verdana"/>
          <w:color w:val="0070C0"/>
          <w:sz w:val="20"/>
          <w:szCs w:val="20"/>
        </w:rPr>
        <w:t xml:space="preserve"> ich</w:t>
      </w:r>
      <w:r w:rsidR="00FA4F3D" w:rsidRPr="00DA55B6">
        <w:rPr>
          <w:rFonts w:ascii="Verdana" w:hAnsi="Verdana" w:cs="Verdana"/>
          <w:color w:val="0070C0"/>
          <w:sz w:val="20"/>
          <w:szCs w:val="20"/>
        </w:rPr>
        <w:t xml:space="preserve"> załadunku</w:t>
      </w:r>
      <w:r w:rsidR="00605EB0" w:rsidRPr="00DA55B6">
        <w:rPr>
          <w:rFonts w:ascii="Verdana" w:hAnsi="Verdana" w:cs="Verdana"/>
          <w:color w:val="0070C0"/>
          <w:sz w:val="20"/>
          <w:szCs w:val="20"/>
        </w:rPr>
        <w:t xml:space="preserve"> </w:t>
      </w:r>
      <w:r w:rsidR="00B82B8B" w:rsidRPr="00DA55B6">
        <w:rPr>
          <w:rFonts w:ascii="Verdana" w:hAnsi="Verdana" w:cs="Verdana"/>
          <w:color w:val="0070C0"/>
          <w:sz w:val="20"/>
          <w:szCs w:val="20"/>
        </w:rPr>
        <w:t>na statki, a następnie wysadzenia</w:t>
      </w:r>
      <w:r w:rsidR="00605EB0" w:rsidRPr="00DA55B6">
        <w:rPr>
          <w:rFonts w:ascii="Verdana" w:hAnsi="Verdana" w:cs="Verdana"/>
          <w:color w:val="0070C0"/>
          <w:sz w:val="20"/>
          <w:szCs w:val="20"/>
        </w:rPr>
        <w:t xml:space="preserve"> na terytorium Libii. Trybunał stwierdził, że </w:t>
      </w:r>
      <w:r w:rsidR="007C1408" w:rsidRPr="00DA55B6">
        <w:rPr>
          <w:rFonts w:ascii="Verdana" w:hAnsi="Verdana" w:cs="Verdana"/>
          <w:color w:val="0070C0"/>
          <w:sz w:val="20"/>
          <w:szCs w:val="20"/>
        </w:rPr>
        <w:t xml:space="preserve">usunięcie skarżących miało charakter zbiorowy, </w:t>
      </w:r>
      <w:r w:rsidR="00FA4F3D" w:rsidRPr="00DA55B6">
        <w:rPr>
          <w:rFonts w:ascii="Verdana" w:hAnsi="Verdana" w:cs="Verdana"/>
          <w:color w:val="0070C0"/>
          <w:sz w:val="20"/>
          <w:szCs w:val="20"/>
        </w:rPr>
        <w:t xml:space="preserve">z </w:t>
      </w:r>
      <w:r w:rsidR="00FA4F3D" w:rsidRPr="00DA55B6">
        <w:rPr>
          <w:rFonts w:ascii="Verdana" w:hAnsi="Verdana" w:cs="Verdana"/>
          <w:b/>
          <w:bCs/>
          <w:color w:val="0070C0"/>
          <w:sz w:val="20"/>
          <w:szCs w:val="20"/>
        </w:rPr>
        <w:t>naruszeniem art. 4 Pro</w:t>
      </w:r>
      <w:r w:rsidR="00F7131D" w:rsidRPr="00DA55B6">
        <w:rPr>
          <w:rFonts w:ascii="Verdana" w:hAnsi="Verdana" w:cs="Verdana"/>
          <w:b/>
          <w:bCs/>
          <w:color w:val="0070C0"/>
          <w:sz w:val="20"/>
          <w:szCs w:val="20"/>
        </w:rPr>
        <w:t>tokołu nr 4 do Konwencji</w:t>
      </w:r>
      <w:r w:rsidR="00F7131D" w:rsidRPr="00DA55B6">
        <w:rPr>
          <w:rFonts w:ascii="Verdana" w:hAnsi="Verdana" w:cs="Verdana"/>
          <w:color w:val="0070C0"/>
          <w:sz w:val="20"/>
          <w:szCs w:val="20"/>
        </w:rPr>
        <w:t>.</w:t>
      </w:r>
    </w:p>
    <w:p w14:paraId="2A21C99C" w14:textId="77777777" w:rsidR="00010703" w:rsidRPr="00DA55B6" w:rsidRDefault="00F7131D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DA55B6">
        <w:rPr>
          <w:rFonts w:ascii="Verdana" w:hAnsi="Verdana" w:cs="Verdana"/>
          <w:color w:val="0070C0"/>
          <w:sz w:val="20"/>
          <w:szCs w:val="20"/>
        </w:rPr>
        <w:t xml:space="preserve">Trybunał stwierdził ponadto, że doszło do naruszeń art. 3 Konwencji (zakaz nieludzkiego lub poniżającego traktowania), ponieważ skarżący zostali narażeni </w:t>
      </w:r>
      <w:r w:rsidR="008855E3" w:rsidRPr="00DA55B6">
        <w:rPr>
          <w:rFonts w:ascii="Verdana" w:hAnsi="Verdana" w:cs="Verdana"/>
          <w:color w:val="0070C0"/>
          <w:sz w:val="20"/>
          <w:szCs w:val="20"/>
        </w:rPr>
        <w:t>na znęcanie w Libii i wydalenie</w:t>
      </w:r>
      <w:r w:rsidR="00C960B6" w:rsidRPr="00DA55B6">
        <w:rPr>
          <w:rFonts w:ascii="Verdana" w:hAnsi="Verdana" w:cs="Verdana"/>
          <w:color w:val="0070C0"/>
          <w:sz w:val="20"/>
          <w:szCs w:val="20"/>
        </w:rPr>
        <w:t xml:space="preserve"> do Somalii i Erytrei. </w:t>
      </w:r>
      <w:r w:rsidR="00AA1F39">
        <w:rPr>
          <w:rFonts w:ascii="Verdana" w:hAnsi="Verdana" w:cs="Verdana"/>
          <w:color w:val="0070C0"/>
          <w:sz w:val="20"/>
          <w:szCs w:val="20"/>
        </w:rPr>
        <w:t xml:space="preserve">Wreszcie Trybunał stwierdził </w:t>
      </w:r>
      <w:r w:rsidR="000604B1" w:rsidRPr="00DA55B6">
        <w:rPr>
          <w:rFonts w:ascii="Verdana" w:hAnsi="Verdana" w:cs="Verdana"/>
          <w:color w:val="0070C0"/>
          <w:sz w:val="20"/>
          <w:szCs w:val="20"/>
        </w:rPr>
        <w:t>naruszenia art. 13 (prawo do skutecznego środka odwoławczego) w związku z art. 3 Konwencji</w:t>
      </w:r>
      <w:r w:rsidR="00AA1F39">
        <w:rPr>
          <w:rFonts w:ascii="Verdana" w:hAnsi="Verdana" w:cs="Verdana"/>
          <w:color w:val="0070C0"/>
          <w:sz w:val="20"/>
          <w:szCs w:val="20"/>
        </w:rPr>
        <w:t xml:space="preserve"> i z art. 4 Protokołu nr 4 do Konwencji</w:t>
      </w:r>
      <w:r w:rsidR="000604B1" w:rsidRPr="00DA55B6">
        <w:rPr>
          <w:rFonts w:ascii="Verdana" w:hAnsi="Verdana" w:cs="Verdana"/>
          <w:color w:val="0070C0"/>
          <w:sz w:val="20"/>
          <w:szCs w:val="20"/>
        </w:rPr>
        <w:t xml:space="preserve">, ponieważ skarżący nie mieli możliwości wniesienia zażalenia do właściwego organu i otrzymania </w:t>
      </w:r>
      <w:r w:rsidR="00806995" w:rsidRPr="00DA55B6">
        <w:rPr>
          <w:rFonts w:ascii="Verdana" w:hAnsi="Verdana" w:cs="Verdana"/>
          <w:color w:val="0070C0"/>
          <w:sz w:val="20"/>
          <w:szCs w:val="20"/>
        </w:rPr>
        <w:t>całościowej oraz wnikliwej oceny ich wniosków</w:t>
      </w:r>
      <w:r w:rsidR="007C058A" w:rsidRPr="00DA55B6">
        <w:rPr>
          <w:rFonts w:ascii="Verdana" w:hAnsi="Verdana" w:cs="Verdana"/>
          <w:color w:val="0070C0"/>
          <w:sz w:val="20"/>
          <w:szCs w:val="20"/>
        </w:rPr>
        <w:t xml:space="preserve"> przed zastosowaniem środka w postaci wydalenia</w:t>
      </w:r>
      <w:r w:rsidR="00AA1F39">
        <w:rPr>
          <w:rFonts w:ascii="Verdana" w:hAnsi="Verdana" w:cs="Verdana"/>
          <w:color w:val="0070C0"/>
          <w:sz w:val="20"/>
          <w:szCs w:val="20"/>
        </w:rPr>
        <w:t xml:space="preserve"> oraz dlatego, że</w:t>
      </w:r>
      <w:r w:rsidR="00010703" w:rsidRPr="00DA55B6">
        <w:rPr>
          <w:rFonts w:ascii="Verdana" w:hAnsi="Verdana" w:cs="Verdana"/>
          <w:color w:val="0070C0"/>
          <w:sz w:val="20"/>
          <w:szCs w:val="20"/>
        </w:rPr>
        <w:t xml:space="preserve"> środek </w:t>
      </w:r>
      <w:r w:rsidR="001B3D5E" w:rsidRPr="00DA55B6">
        <w:rPr>
          <w:rFonts w:ascii="Verdana" w:hAnsi="Verdana" w:cs="Verdana"/>
          <w:color w:val="0070C0"/>
          <w:sz w:val="20"/>
          <w:szCs w:val="20"/>
        </w:rPr>
        <w:t>o charakterze karny</w:t>
      </w:r>
      <w:r w:rsidR="00806995" w:rsidRPr="00DA55B6">
        <w:rPr>
          <w:rFonts w:ascii="Verdana" w:hAnsi="Verdana" w:cs="Verdana"/>
          <w:color w:val="0070C0"/>
          <w:sz w:val="20"/>
          <w:szCs w:val="20"/>
        </w:rPr>
        <w:t>m</w:t>
      </w:r>
      <w:r w:rsidR="00AA1F39">
        <w:rPr>
          <w:rFonts w:ascii="Verdana" w:hAnsi="Verdana" w:cs="Verdana"/>
          <w:color w:val="0070C0"/>
          <w:sz w:val="20"/>
          <w:szCs w:val="20"/>
        </w:rPr>
        <w:t>,</w:t>
      </w:r>
      <w:r w:rsidR="001B3D5E" w:rsidRPr="00DA55B6">
        <w:rPr>
          <w:rFonts w:ascii="Verdana" w:hAnsi="Verdana" w:cs="Verdana"/>
          <w:color w:val="0070C0"/>
          <w:sz w:val="20"/>
          <w:szCs w:val="20"/>
        </w:rPr>
        <w:t xml:space="preserve"> zastosowan</w:t>
      </w:r>
      <w:r w:rsidR="00806995" w:rsidRPr="00DA55B6">
        <w:rPr>
          <w:rFonts w:ascii="Verdana" w:hAnsi="Verdana" w:cs="Verdana"/>
          <w:color w:val="0070C0"/>
          <w:sz w:val="20"/>
          <w:szCs w:val="20"/>
        </w:rPr>
        <w:t>y przeciwko wojskowej załodze</w:t>
      </w:r>
      <w:r w:rsidR="00C170D4" w:rsidRPr="00DA55B6">
        <w:rPr>
          <w:rFonts w:ascii="Verdana" w:hAnsi="Verdana" w:cs="Verdana"/>
          <w:color w:val="0070C0"/>
          <w:sz w:val="20"/>
          <w:szCs w:val="20"/>
        </w:rPr>
        <w:t xml:space="preserve"> statku</w:t>
      </w:r>
      <w:r w:rsidR="00AA1F39">
        <w:rPr>
          <w:rFonts w:ascii="Verdana" w:hAnsi="Verdana" w:cs="Verdana"/>
          <w:color w:val="0070C0"/>
          <w:sz w:val="20"/>
          <w:szCs w:val="20"/>
        </w:rPr>
        <w:t>,</w:t>
      </w:r>
      <w:r w:rsidR="00C170D4" w:rsidRPr="00DA55B6">
        <w:rPr>
          <w:rFonts w:ascii="Verdana" w:hAnsi="Verdana" w:cs="Verdana"/>
          <w:color w:val="0070C0"/>
          <w:sz w:val="20"/>
          <w:szCs w:val="20"/>
        </w:rPr>
        <w:t xml:space="preserve"> nie</w:t>
      </w:r>
      <w:r w:rsidR="00F954B7" w:rsidRPr="00DA55B6">
        <w:rPr>
          <w:rFonts w:ascii="Verdana" w:hAnsi="Verdana" w:cs="Verdana"/>
          <w:color w:val="0070C0"/>
          <w:sz w:val="20"/>
          <w:szCs w:val="20"/>
        </w:rPr>
        <w:t xml:space="preserve"> spełniał wymogów środka o skutku zawieszającym.</w:t>
      </w:r>
    </w:p>
    <w:p w14:paraId="6D402549" w14:textId="77777777" w:rsidR="00AA1F39" w:rsidRDefault="00AA1F39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50E35A87" w14:textId="77777777" w:rsidR="00AA1F39" w:rsidRPr="009363F1" w:rsidRDefault="00AA1F39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9363F1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Gruzja przeciwko Rosji (I)</w:t>
      </w:r>
    </w:p>
    <w:p w14:paraId="3D14D45F" w14:textId="77777777" w:rsidR="00AA1F39" w:rsidRPr="000D1C49" w:rsidRDefault="00AA1F39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0D1C49">
        <w:rPr>
          <w:rFonts w:ascii="Verdana" w:hAnsi="Verdana" w:cs="Verdana"/>
          <w:color w:val="808080"/>
          <w:sz w:val="20"/>
          <w:szCs w:val="20"/>
        </w:rPr>
        <w:t>Wyrok Wielkiej Izby z dnia 3 lipca 2014 roku</w:t>
      </w:r>
    </w:p>
    <w:p w14:paraId="6324067E" w14:textId="77777777" w:rsidR="00AA1F39" w:rsidRPr="009363F1" w:rsidRDefault="00AA1F39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363F1">
        <w:rPr>
          <w:rFonts w:ascii="Verdana" w:hAnsi="Verdana" w:cs="Verdana"/>
          <w:sz w:val="20"/>
          <w:szCs w:val="20"/>
        </w:rPr>
        <w:t>Ta sprawa pierwotnie dotyczyła domniemanego istnienia administracyjnej praktyki dotyczącej zatrzymania, aresztowania i zbiorowego wydalenia obywateli Gruzji z Federacji Rosyjskiej jesienią 2006 roku.</w:t>
      </w:r>
    </w:p>
    <w:p w14:paraId="781A02A3" w14:textId="77777777" w:rsidR="00F40D40" w:rsidRPr="009363F1" w:rsidRDefault="00F40D40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9363F1">
        <w:rPr>
          <w:rFonts w:ascii="Verdana" w:hAnsi="Verdana" w:cs="Verdana"/>
          <w:color w:val="0070C0"/>
          <w:sz w:val="20"/>
          <w:szCs w:val="20"/>
        </w:rPr>
        <w:t xml:space="preserve">Trybunał stwierdził w szczególności, że doszło do </w:t>
      </w:r>
      <w:r w:rsidRPr="009363F1">
        <w:rPr>
          <w:rFonts w:ascii="Verdana" w:hAnsi="Verdana" w:cs="Verdana"/>
          <w:b/>
          <w:bCs/>
          <w:color w:val="0070C0"/>
          <w:sz w:val="20"/>
          <w:szCs w:val="20"/>
        </w:rPr>
        <w:t>naruszenia art. 4 Protokołu nr 4 do Konwencji</w:t>
      </w:r>
      <w:r w:rsidRPr="009363F1">
        <w:rPr>
          <w:rFonts w:ascii="Verdana" w:hAnsi="Verdana" w:cs="Verdana"/>
          <w:color w:val="0070C0"/>
          <w:sz w:val="20"/>
          <w:szCs w:val="20"/>
        </w:rPr>
        <w:t xml:space="preserve">, w związku z tym, że wydalenia obywateli Gruzji w omawianym czasie sprowadzały się do praktyki administracyjnej niezgodnej z tym artykułem Konwencji. Trybunał wskazał, że art. 4 Protokołu nr 4 miał zastosowanie bez względu na to, czy wydaleni obywatele Gruzji mieli prawo pobytu czy też nie, </w:t>
      </w:r>
      <w:r w:rsidR="00C73B22" w:rsidRPr="009363F1">
        <w:rPr>
          <w:rFonts w:ascii="Verdana" w:hAnsi="Verdana" w:cs="Verdana"/>
          <w:color w:val="0070C0"/>
          <w:sz w:val="20"/>
          <w:szCs w:val="20"/>
        </w:rPr>
        <w:t>z tego powodu, że wskazany artykuł odnosi się nie tylko do osób, które mają prawo stałego pobytu w danym państwie.</w:t>
      </w:r>
    </w:p>
    <w:p w14:paraId="18E41284" w14:textId="77777777" w:rsidR="008A1398" w:rsidRPr="009363F1" w:rsidRDefault="00C73B2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9363F1">
        <w:rPr>
          <w:rFonts w:ascii="Verdana" w:hAnsi="Verdana" w:cs="Verdana"/>
          <w:color w:val="0070C0"/>
          <w:sz w:val="20"/>
          <w:szCs w:val="20"/>
        </w:rPr>
        <w:t>W zakresie pytania, czy środki służące do wydalenia zostały przedsięwzięte na podstawie i po obiektywnym i rozsądnym zbadaniu szczególnej sytuacji każdego z obywateli Gruzji, Trybunał zwrócił uwagę na zgodne opisy procedur prowadzonych przed rosyjskimi sądami, dokonane przez gruzińskich świadków oraz międzynarodowe organizacje rządowe i pozarządowe</w:t>
      </w:r>
      <w:r w:rsidR="008A1398" w:rsidRPr="009363F1">
        <w:rPr>
          <w:rFonts w:ascii="Verdana" w:hAnsi="Verdana" w:cs="Verdana"/>
          <w:color w:val="0070C0"/>
          <w:sz w:val="20"/>
          <w:szCs w:val="20"/>
        </w:rPr>
        <w:t xml:space="preserve">. Trybunał zwrócił uwagę w szczególności, że zgodnie z Komitetem Monitorującym Zgromadzenia Parlamentarnego Rady Europy, wydalenia miały podobny schemat w całym kraju, zaś organizacje międzynarodowe odnosiły się do współpracy władz administracyjnych i sądowych. </w:t>
      </w:r>
    </w:p>
    <w:p w14:paraId="00A709A1" w14:textId="77777777" w:rsidR="00C73B22" w:rsidRPr="009363F1" w:rsidRDefault="008A1398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9363F1">
        <w:rPr>
          <w:rFonts w:ascii="Verdana" w:hAnsi="Verdana" w:cs="Verdana"/>
          <w:color w:val="0070C0"/>
          <w:sz w:val="20"/>
          <w:szCs w:val="20"/>
        </w:rPr>
        <w:t xml:space="preserve">W rzeczonym okresie rosyjskie sądy wydały tysiące nakazów wydaleń obywateli gruzińskich. Nawet jeśli, z formalnego punktu widzenia, decyzje sądowe dotyczyły </w:t>
      </w:r>
      <w:r w:rsidRPr="009363F1">
        <w:rPr>
          <w:rFonts w:ascii="Verdana" w:hAnsi="Verdana" w:cs="Verdana"/>
          <w:color w:val="0070C0"/>
          <w:sz w:val="20"/>
          <w:szCs w:val="20"/>
        </w:rPr>
        <w:lastRenderedPageBreak/>
        <w:t xml:space="preserve">poszczególnych obywateli gruzińskich, Trybunał stwierdził, że sposób prowadzenia postępowań </w:t>
      </w:r>
      <w:r w:rsidR="006F7721" w:rsidRPr="009363F1">
        <w:rPr>
          <w:rFonts w:ascii="Verdana" w:hAnsi="Verdana" w:cs="Verdana"/>
          <w:color w:val="0070C0"/>
          <w:sz w:val="20"/>
          <w:szCs w:val="20"/>
        </w:rPr>
        <w:t>w sprawie wydaleń</w:t>
      </w:r>
      <w:r w:rsidRPr="009363F1">
        <w:rPr>
          <w:rFonts w:ascii="Verdana" w:hAnsi="Verdana" w:cs="Verdana"/>
          <w:color w:val="0070C0"/>
          <w:sz w:val="20"/>
          <w:szCs w:val="20"/>
        </w:rPr>
        <w:t xml:space="preserve"> w tamtych czasie</w:t>
      </w:r>
      <w:r w:rsidR="006F7721" w:rsidRPr="009363F1">
        <w:rPr>
          <w:rFonts w:ascii="Verdana" w:hAnsi="Verdana" w:cs="Verdana"/>
          <w:color w:val="0070C0"/>
          <w:sz w:val="20"/>
          <w:szCs w:val="20"/>
        </w:rPr>
        <w:t>, po wydaniu okólników i instrukcji, mając na uwadze liczbę wydalonych obywateli gruzińskich w okresie do października 2006 roku, uniemożliwiał rozsądne i obiektywne zbadanie każdej z indywidualnych spraw.</w:t>
      </w:r>
    </w:p>
    <w:p w14:paraId="23291765" w14:textId="77777777" w:rsidR="006F7721" w:rsidRDefault="009363F1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9363F1">
        <w:rPr>
          <w:rFonts w:ascii="Verdana" w:hAnsi="Verdana" w:cs="Verdana"/>
          <w:color w:val="0070C0"/>
          <w:sz w:val="20"/>
          <w:szCs w:val="20"/>
        </w:rPr>
        <w:t>Nawet jeśli</w:t>
      </w:r>
      <w:r w:rsidR="006F7721" w:rsidRPr="009363F1">
        <w:rPr>
          <w:rFonts w:ascii="Verdana" w:hAnsi="Verdana" w:cs="Verdana"/>
          <w:color w:val="0070C0"/>
          <w:sz w:val="20"/>
          <w:szCs w:val="20"/>
        </w:rPr>
        <w:t xml:space="preserve"> Państwo miało prawo ustanowić swoją własną politykę imigracyjną, Trybunał</w:t>
      </w:r>
      <w:r w:rsidRPr="009363F1">
        <w:rPr>
          <w:rFonts w:ascii="Verdana" w:hAnsi="Verdana" w:cs="Verdana"/>
          <w:color w:val="0070C0"/>
          <w:sz w:val="20"/>
          <w:szCs w:val="20"/>
        </w:rPr>
        <w:t xml:space="preserve"> stwierdził, że podkreślenia wymaga to, iż problemy z opanowaniem fal imigracyjnych nie może usprawiedliwiać praktyk niezgodnych z zobowiązaniami Państwa wynikającymi z Konwencji.</w:t>
      </w:r>
    </w:p>
    <w:p w14:paraId="7A73301E" w14:textId="77777777" w:rsidR="009363F1" w:rsidRPr="000D1C49" w:rsidRDefault="009363F1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0D1C49">
        <w:rPr>
          <w:rFonts w:ascii="Verdana" w:hAnsi="Verdana" w:cs="Verdana"/>
          <w:i/>
          <w:iCs/>
          <w:color w:val="808080"/>
          <w:sz w:val="20"/>
          <w:szCs w:val="20"/>
        </w:rPr>
        <w:t>Zob.</w:t>
      </w:r>
      <w:r>
        <w:rPr>
          <w:rFonts w:ascii="Verdana" w:hAnsi="Verdana" w:cs="Verdana"/>
          <w:color w:val="0070C0"/>
          <w:sz w:val="20"/>
          <w:szCs w:val="20"/>
        </w:rPr>
        <w:t xml:space="preserve"> </w:t>
      </w:r>
      <w:r w:rsidRPr="000D1C49">
        <w:rPr>
          <w:rFonts w:ascii="Verdana" w:hAnsi="Verdana" w:cs="Verdana"/>
          <w:i/>
          <w:iCs/>
          <w:color w:val="808080"/>
          <w:sz w:val="20"/>
          <w:szCs w:val="20"/>
        </w:rPr>
        <w:t>także</w:t>
      </w:r>
      <w:r>
        <w:rPr>
          <w:rFonts w:ascii="Verdana" w:hAnsi="Verdana" w:cs="Verdana"/>
          <w:color w:val="0070C0"/>
          <w:sz w:val="20"/>
          <w:szCs w:val="20"/>
        </w:rPr>
        <w:t xml:space="preserve"> </w:t>
      </w:r>
      <w:r w:rsidRPr="009363F1">
        <w:rPr>
          <w:rFonts w:ascii="Verdana" w:hAnsi="Verdana" w:cs="Verdana"/>
          <w:b/>
          <w:bCs/>
          <w:color w:val="0070C0"/>
          <w:sz w:val="20"/>
          <w:szCs w:val="20"/>
        </w:rPr>
        <w:t>Berdzeishvili i Inni p. Rosji</w:t>
      </w:r>
      <w:r>
        <w:rPr>
          <w:rFonts w:ascii="Verdana" w:hAnsi="Verdana" w:cs="Verdana"/>
          <w:color w:val="0070C0"/>
          <w:sz w:val="20"/>
          <w:szCs w:val="20"/>
        </w:rPr>
        <w:t xml:space="preserve"> oraz </w:t>
      </w:r>
      <w:r w:rsidRPr="009363F1">
        <w:rPr>
          <w:rFonts w:ascii="Verdana" w:hAnsi="Verdana" w:cs="Verdana"/>
          <w:b/>
          <w:bCs/>
          <w:color w:val="0070C0"/>
          <w:sz w:val="20"/>
          <w:szCs w:val="20"/>
        </w:rPr>
        <w:t>Shioshvili i Inni p. Rosji</w:t>
      </w:r>
      <w:r>
        <w:rPr>
          <w:rFonts w:ascii="Verdana" w:hAnsi="Verdana" w:cs="Verdana"/>
          <w:b/>
          <w:bCs/>
          <w:color w:val="0070C0"/>
          <w:sz w:val="20"/>
          <w:szCs w:val="20"/>
        </w:rPr>
        <w:t xml:space="preserve">, </w:t>
      </w:r>
      <w:r w:rsidRPr="000D1C49">
        <w:rPr>
          <w:rFonts w:ascii="Verdana" w:hAnsi="Verdana" w:cs="Verdana"/>
          <w:color w:val="808080"/>
          <w:sz w:val="20"/>
          <w:szCs w:val="20"/>
        </w:rPr>
        <w:t>wyroki Izby z dnia 20 grudnia 2016 roku.</w:t>
      </w:r>
    </w:p>
    <w:p w14:paraId="3009DD9B" w14:textId="77777777" w:rsidR="009363F1" w:rsidRPr="000D1C49" w:rsidRDefault="009363F1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</w:p>
    <w:p w14:paraId="0587585B" w14:textId="77777777" w:rsidR="00244552" w:rsidRPr="00B21606" w:rsidRDefault="0024455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B21606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Sharifi i Inni p. Włochom i Grecji</w:t>
      </w:r>
    </w:p>
    <w:p w14:paraId="345554C1" w14:textId="77777777" w:rsidR="00244552" w:rsidRPr="000D1C49" w:rsidRDefault="0024455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0D1C49">
        <w:rPr>
          <w:rFonts w:ascii="Verdana" w:hAnsi="Verdana" w:cs="Verdana"/>
          <w:color w:val="808080"/>
          <w:sz w:val="20"/>
          <w:szCs w:val="20"/>
        </w:rPr>
        <w:t>Wyrok Izby z dnia 21 października 2014 roku.</w:t>
      </w:r>
    </w:p>
    <w:p w14:paraId="48A144B5" w14:textId="77777777" w:rsidR="00244552" w:rsidRPr="000D1C49" w:rsidRDefault="0024455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0D1C49">
        <w:rPr>
          <w:rFonts w:ascii="Verdana" w:hAnsi="Verdana" w:cs="Verdana"/>
          <w:color w:val="808080"/>
          <w:sz w:val="20"/>
          <w:szCs w:val="20"/>
        </w:rPr>
        <w:t>Sprawa dotyczyła 32 obywateli Afganistanu, 2 Sudańczyków i 1 Erytrejczyka, którzy twierdzili w szczególności, że przedostali się nielegalnie do Włoch z Grecji i zostali zawróceni do tego kraju z groźbą deportacji do krajów pochodzenia, gdzie narażeni byli na utratę życia, tortury i nieludzkie oraz poniżające traktowanie. Podnieśli ponadto, że byli podmiotem masowych wydaleń zbiorowych.</w:t>
      </w:r>
    </w:p>
    <w:p w14:paraId="6DD5B05D" w14:textId="77777777" w:rsidR="00244552" w:rsidRPr="00C378A2" w:rsidRDefault="0024455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C378A2">
        <w:rPr>
          <w:rFonts w:ascii="Verdana" w:hAnsi="Verdana" w:cs="Verdana"/>
          <w:color w:val="0070C0"/>
          <w:sz w:val="20"/>
          <w:szCs w:val="20"/>
        </w:rPr>
        <w:t xml:space="preserve">Trybunał stwierdził </w:t>
      </w:r>
      <w:r w:rsidRPr="00C378A2">
        <w:rPr>
          <w:rFonts w:ascii="Verdana" w:hAnsi="Verdana" w:cs="Verdana"/>
          <w:b/>
          <w:bCs/>
          <w:color w:val="0070C0"/>
          <w:sz w:val="20"/>
          <w:szCs w:val="20"/>
        </w:rPr>
        <w:t>naruszenie</w:t>
      </w:r>
      <w:r w:rsidRPr="00C378A2">
        <w:rPr>
          <w:rFonts w:ascii="Verdana" w:hAnsi="Verdana" w:cs="Verdana"/>
          <w:color w:val="0070C0"/>
          <w:sz w:val="20"/>
          <w:szCs w:val="20"/>
        </w:rPr>
        <w:t xml:space="preserve"> przez Włochy </w:t>
      </w:r>
      <w:r w:rsidRPr="00C378A2">
        <w:rPr>
          <w:rFonts w:ascii="Verdana" w:hAnsi="Verdana" w:cs="Verdana"/>
          <w:b/>
          <w:bCs/>
          <w:color w:val="0070C0"/>
          <w:sz w:val="20"/>
          <w:szCs w:val="20"/>
        </w:rPr>
        <w:t>art. 4 Protokołu nr 4 do Konwencji</w:t>
      </w:r>
      <w:r w:rsidRPr="00C378A2">
        <w:rPr>
          <w:rFonts w:ascii="Verdana" w:hAnsi="Verdana" w:cs="Verdana"/>
          <w:color w:val="0070C0"/>
          <w:sz w:val="20"/>
          <w:szCs w:val="20"/>
        </w:rPr>
        <w:t xml:space="preserve"> w zakresie czterech skarżących, którzy </w:t>
      </w:r>
      <w:r w:rsidR="00EF4E62" w:rsidRPr="00C378A2">
        <w:rPr>
          <w:rFonts w:ascii="Verdana" w:hAnsi="Verdana" w:cs="Verdana"/>
          <w:color w:val="0070C0"/>
          <w:sz w:val="20"/>
          <w:szCs w:val="20"/>
        </w:rPr>
        <w:t>utrzymali regularny kontakt z prawnikiem reprezentującym ich w postępowaniu przed Trybunałem</w:t>
      </w:r>
      <w:r w:rsidR="00EF4E62" w:rsidRPr="00C378A2">
        <w:rPr>
          <w:rStyle w:val="Odwoanieprzypisudolnego"/>
          <w:rFonts w:ascii="Verdana" w:hAnsi="Verdana" w:cs="Verdana"/>
          <w:color w:val="0070C0"/>
          <w:sz w:val="20"/>
          <w:szCs w:val="20"/>
        </w:rPr>
        <w:footnoteReference w:id="1"/>
      </w:r>
      <w:r w:rsidR="007E566D" w:rsidRPr="00C378A2">
        <w:rPr>
          <w:rFonts w:ascii="Verdana" w:hAnsi="Verdana" w:cs="Verdana"/>
          <w:color w:val="0070C0"/>
          <w:sz w:val="20"/>
          <w:szCs w:val="20"/>
        </w:rPr>
        <w:t xml:space="preserve">, w związku z tym, że środki zastosowane wobec nich w porcie Ankona skutkowały zbiorowymi i masowymi wydaleniami. Trybunał stwierdził także odnośnie do tych czterech skarżących, że doszło do </w:t>
      </w:r>
      <w:r w:rsidR="007E566D" w:rsidRPr="00C378A2">
        <w:rPr>
          <w:rFonts w:ascii="Verdana" w:hAnsi="Verdana" w:cs="Verdana"/>
          <w:b/>
          <w:bCs/>
          <w:color w:val="0070C0"/>
          <w:sz w:val="20"/>
          <w:szCs w:val="20"/>
        </w:rPr>
        <w:t>naruszenia art. 13 Konwencji</w:t>
      </w:r>
      <w:r w:rsidR="007E566D" w:rsidRPr="00C378A2">
        <w:rPr>
          <w:rFonts w:ascii="Verdana" w:hAnsi="Verdana" w:cs="Verdana"/>
          <w:color w:val="0070C0"/>
          <w:sz w:val="20"/>
          <w:szCs w:val="20"/>
        </w:rPr>
        <w:t xml:space="preserve"> (prawo do efektywnego środka odwoławczego) w zw. z </w:t>
      </w:r>
      <w:r w:rsidR="007E566D" w:rsidRPr="00C378A2">
        <w:rPr>
          <w:rFonts w:ascii="Verdana" w:hAnsi="Verdana" w:cs="Verdana"/>
          <w:b/>
          <w:bCs/>
          <w:color w:val="0070C0"/>
          <w:sz w:val="20"/>
          <w:szCs w:val="20"/>
        </w:rPr>
        <w:t>art. 3 Konwencji</w:t>
      </w:r>
      <w:r w:rsidR="007E566D" w:rsidRPr="00C378A2">
        <w:rPr>
          <w:rFonts w:ascii="Verdana" w:hAnsi="Verdana" w:cs="Verdana"/>
          <w:color w:val="0070C0"/>
          <w:sz w:val="20"/>
          <w:szCs w:val="20"/>
        </w:rPr>
        <w:t xml:space="preserve"> (zakaz nieludzkiego i poniżającego traktowania) i </w:t>
      </w:r>
      <w:r w:rsidR="007E566D" w:rsidRPr="00C378A2">
        <w:rPr>
          <w:rFonts w:ascii="Verdana" w:hAnsi="Verdana" w:cs="Verdana"/>
          <w:b/>
          <w:bCs/>
          <w:color w:val="0070C0"/>
          <w:sz w:val="20"/>
          <w:szCs w:val="20"/>
        </w:rPr>
        <w:t>art. 4 Protokołu nr 4 do Konwencji</w:t>
      </w:r>
      <w:r w:rsidR="007E566D" w:rsidRPr="00C378A2">
        <w:rPr>
          <w:rFonts w:ascii="Verdana" w:hAnsi="Verdana" w:cs="Verdana"/>
          <w:color w:val="0070C0"/>
          <w:sz w:val="20"/>
          <w:szCs w:val="20"/>
        </w:rPr>
        <w:t xml:space="preserve"> z tego powodu, że nie mieli dostępu do procedury azylowej albo jakiegokolwiek środka w porcie Ankona. Trybunał stwierdził </w:t>
      </w:r>
      <w:r w:rsidR="007E566D" w:rsidRPr="00C378A2">
        <w:rPr>
          <w:rFonts w:ascii="Verdana" w:hAnsi="Verdana" w:cs="Verdana"/>
          <w:b/>
          <w:bCs/>
          <w:color w:val="0070C0"/>
          <w:sz w:val="20"/>
          <w:szCs w:val="20"/>
        </w:rPr>
        <w:t>naruszenie art. 13</w:t>
      </w:r>
      <w:r w:rsidR="00C378A2">
        <w:rPr>
          <w:rFonts w:ascii="Verdana" w:hAnsi="Verdana" w:cs="Verdana"/>
          <w:b/>
          <w:bCs/>
          <w:color w:val="0070C0"/>
          <w:sz w:val="20"/>
          <w:szCs w:val="20"/>
        </w:rPr>
        <w:t xml:space="preserve"> Konwencji</w:t>
      </w:r>
      <w:r w:rsidR="007E566D" w:rsidRPr="00C378A2">
        <w:rPr>
          <w:rFonts w:ascii="Verdana" w:hAnsi="Verdana" w:cs="Verdana"/>
          <w:color w:val="0070C0"/>
          <w:sz w:val="20"/>
          <w:szCs w:val="20"/>
        </w:rPr>
        <w:t xml:space="preserve"> w zw. z </w:t>
      </w:r>
      <w:r w:rsidR="007E566D" w:rsidRPr="00C378A2">
        <w:rPr>
          <w:rFonts w:ascii="Verdana" w:hAnsi="Verdana" w:cs="Verdana"/>
          <w:b/>
          <w:bCs/>
          <w:color w:val="0070C0"/>
          <w:sz w:val="20"/>
          <w:szCs w:val="20"/>
        </w:rPr>
        <w:t>art. 3 Konwencji</w:t>
      </w:r>
      <w:r w:rsidR="007E566D" w:rsidRPr="00C378A2">
        <w:rPr>
          <w:rFonts w:ascii="Verdana" w:hAnsi="Verdana" w:cs="Verdana"/>
          <w:color w:val="0070C0"/>
          <w:sz w:val="20"/>
          <w:szCs w:val="20"/>
        </w:rPr>
        <w:t xml:space="preserve"> w stosunku do Grecji w związku z brakiem procedury azylowej  i ryzykiem wydalenia do Afganistanu, gdzie </w:t>
      </w:r>
      <w:r w:rsidR="000C4EDC" w:rsidRPr="00C378A2">
        <w:rPr>
          <w:rFonts w:ascii="Verdana" w:hAnsi="Verdana" w:cs="Verdana"/>
          <w:color w:val="0070C0"/>
          <w:sz w:val="20"/>
          <w:szCs w:val="20"/>
        </w:rPr>
        <w:t xml:space="preserve">prawdopodobnie byliby podmiotem złego traktowania, oraz naruszenie przez Włochy </w:t>
      </w:r>
      <w:r w:rsidR="000C4EDC" w:rsidRPr="00C378A2">
        <w:rPr>
          <w:rFonts w:ascii="Verdana" w:hAnsi="Verdana" w:cs="Verdana"/>
          <w:b/>
          <w:bCs/>
          <w:color w:val="0070C0"/>
          <w:sz w:val="20"/>
          <w:szCs w:val="20"/>
        </w:rPr>
        <w:t>art. 3 Konwencji</w:t>
      </w:r>
      <w:r w:rsidR="000C4EDC" w:rsidRPr="00C378A2">
        <w:rPr>
          <w:rFonts w:ascii="Verdana" w:hAnsi="Verdana" w:cs="Verdana"/>
          <w:color w:val="0070C0"/>
          <w:sz w:val="20"/>
          <w:szCs w:val="20"/>
        </w:rPr>
        <w:t>, jako że wydalając skarżących do Grecji władze włoskie narażały ich na ryzyka wynikające z niedoskonałości w krajowej procedurze azylowej.</w:t>
      </w:r>
    </w:p>
    <w:p w14:paraId="39DBCD1B" w14:textId="77777777" w:rsidR="000C4EDC" w:rsidRPr="00C378A2" w:rsidRDefault="000C4EDC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C378A2">
        <w:rPr>
          <w:rFonts w:ascii="Verdana" w:hAnsi="Verdana" w:cs="Verdana"/>
          <w:color w:val="0070C0"/>
          <w:sz w:val="20"/>
          <w:szCs w:val="20"/>
        </w:rPr>
        <w:t>W tej sprawie Trybunał stwierdził w szczególności, że podziela obawy wielu obserwatorów w zakresie automatycznego wydal</w:t>
      </w:r>
      <w:r w:rsidR="00D90603" w:rsidRPr="00C378A2">
        <w:rPr>
          <w:rFonts w:ascii="Verdana" w:hAnsi="Verdana" w:cs="Verdana"/>
          <w:color w:val="0070C0"/>
          <w:sz w:val="20"/>
          <w:szCs w:val="20"/>
        </w:rPr>
        <w:t>a</w:t>
      </w:r>
      <w:r w:rsidRPr="00C378A2">
        <w:rPr>
          <w:rFonts w:ascii="Verdana" w:hAnsi="Verdana" w:cs="Verdana"/>
          <w:color w:val="0070C0"/>
          <w:sz w:val="20"/>
          <w:szCs w:val="20"/>
        </w:rPr>
        <w:t xml:space="preserve">nia osób, które w większości spraw były </w:t>
      </w:r>
      <w:r w:rsidR="00D90603" w:rsidRPr="00C378A2">
        <w:rPr>
          <w:rFonts w:ascii="Verdana" w:hAnsi="Verdana" w:cs="Verdana"/>
          <w:color w:val="0070C0"/>
          <w:sz w:val="20"/>
          <w:szCs w:val="20"/>
        </w:rPr>
        <w:t>wydawane kapitanom statków w celu przewiezienia do Grecji</w:t>
      </w:r>
      <w:r w:rsidRPr="00C378A2">
        <w:rPr>
          <w:rFonts w:ascii="Verdana" w:hAnsi="Verdana" w:cs="Verdana"/>
          <w:color w:val="0070C0"/>
          <w:sz w:val="20"/>
          <w:szCs w:val="20"/>
        </w:rPr>
        <w:t>, dokonywanego przez władze graniczne Włoch w portach Morza Adriatyckiego</w:t>
      </w:r>
      <w:r w:rsidR="00D90603" w:rsidRPr="00C378A2">
        <w:rPr>
          <w:rFonts w:ascii="Verdana" w:hAnsi="Verdana" w:cs="Verdana"/>
          <w:color w:val="0070C0"/>
          <w:sz w:val="20"/>
          <w:szCs w:val="20"/>
        </w:rPr>
        <w:t xml:space="preserve"> z pozbawieniem  jakichkolwiek praw procesowych i materialnych.</w:t>
      </w:r>
    </w:p>
    <w:p w14:paraId="40585F3F" w14:textId="77777777" w:rsidR="00D90603" w:rsidRPr="000D1C49" w:rsidRDefault="00D90603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C378A2">
        <w:rPr>
          <w:rFonts w:ascii="Verdana" w:hAnsi="Verdana" w:cs="Verdana"/>
          <w:color w:val="0070C0"/>
          <w:sz w:val="20"/>
          <w:szCs w:val="20"/>
        </w:rPr>
        <w:t>Dodatkowo, Trybunał przypomniał system spraw Dublińskich</w:t>
      </w:r>
      <w:r w:rsidRPr="00C378A2">
        <w:rPr>
          <w:rStyle w:val="Odwoanieprzypisudolnego"/>
          <w:rFonts w:ascii="Verdana" w:hAnsi="Verdana" w:cs="Verdana"/>
          <w:color w:val="0070C0"/>
          <w:sz w:val="20"/>
          <w:szCs w:val="20"/>
        </w:rPr>
        <w:footnoteReference w:id="2"/>
      </w:r>
      <w:r w:rsidRPr="00C378A2">
        <w:rPr>
          <w:rFonts w:ascii="Verdana" w:hAnsi="Verdana" w:cs="Verdana"/>
          <w:color w:val="0070C0"/>
          <w:sz w:val="20"/>
          <w:szCs w:val="20"/>
        </w:rPr>
        <w:t xml:space="preserve"> - które rozstrzygnęły kwestię tego, które Państwo Członkowskie UE jest odpowiedzialne za rozpoznanie wniosku o udzielenie azylu, złożonego w jednym z Państw Członkowskich przez obywatela państwa trzeciego – musi zostać zastosowany w sposób zgodny z Konwencją: </w:t>
      </w:r>
      <w:r w:rsidR="007D7A57" w:rsidRPr="00C378A2">
        <w:rPr>
          <w:rFonts w:ascii="Verdana" w:hAnsi="Verdana" w:cs="Verdana"/>
          <w:color w:val="0070C0"/>
          <w:sz w:val="20"/>
          <w:szCs w:val="20"/>
        </w:rPr>
        <w:t>żadna forma wydalenia zbiorowego lub masowych zawróceni nie może znaleźć usprawiedliwienia z odwołaniem do tego systemu i to Państwo przeprowadzające wydalenie musi się upewnić, że kraj docelowy zapewnia wystarczające gwarancje przy stosowaniu prawa azylowego aby uchronić osoby wydalane do krajów pochodzenia przed brakiem rozważenia ewentualnych ryzyk</w:t>
      </w:r>
      <w:r w:rsidR="00C378A2">
        <w:rPr>
          <w:rFonts w:ascii="Verdana" w:hAnsi="Verdana" w:cs="Verdana"/>
          <w:color w:val="0070C0"/>
          <w:sz w:val="20"/>
          <w:szCs w:val="20"/>
        </w:rPr>
        <w:t xml:space="preserve"> z tym związanych</w:t>
      </w:r>
      <w:r w:rsidR="007D7A57" w:rsidRPr="00C378A2">
        <w:rPr>
          <w:rFonts w:ascii="Verdana" w:hAnsi="Verdana" w:cs="Verdana"/>
          <w:color w:val="0070C0"/>
          <w:sz w:val="20"/>
          <w:szCs w:val="20"/>
        </w:rPr>
        <w:t>.</w:t>
      </w:r>
      <w:r w:rsidR="007D7A57" w:rsidRPr="000D1C49">
        <w:rPr>
          <w:rFonts w:ascii="Verdana" w:hAnsi="Verdana" w:cs="Verdana"/>
          <w:color w:val="808080"/>
          <w:sz w:val="20"/>
          <w:szCs w:val="20"/>
        </w:rPr>
        <w:t xml:space="preserve"> </w:t>
      </w:r>
    </w:p>
    <w:p w14:paraId="194AD6F2" w14:textId="77777777" w:rsidR="00244552" w:rsidRPr="009363F1" w:rsidRDefault="0024455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6724BA55" w14:textId="77777777" w:rsidR="002A4B3D" w:rsidRDefault="002A4B3D" w:rsidP="002A4B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  <w:bookmarkStart w:id="1" w:name="_Hlk42608559"/>
    </w:p>
    <w:p w14:paraId="070D4678" w14:textId="77777777" w:rsidR="002A4B3D" w:rsidRDefault="002A4B3D" w:rsidP="002A4B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</w:p>
    <w:p w14:paraId="2355192D" w14:textId="77777777" w:rsidR="00B35105" w:rsidRPr="00FA2EAD" w:rsidRDefault="00B35105" w:rsidP="002A4B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33CCCC"/>
          <w:sz w:val="28"/>
          <w:szCs w:val="28"/>
        </w:rPr>
      </w:pPr>
      <w:r>
        <w:rPr>
          <w:rFonts w:ascii="Verdana" w:hAnsi="Verdana" w:cs="Verdana"/>
          <w:color w:val="0072BD"/>
          <w:sz w:val="28"/>
          <w:szCs w:val="28"/>
        </w:rPr>
        <w:lastRenderedPageBreak/>
        <w:t>Sprawy, w których Trybunał stwierdził naruszenie art. 4 Protokołu nr 4 do Konwencji</w:t>
      </w:r>
    </w:p>
    <w:bookmarkEnd w:id="1"/>
    <w:p w14:paraId="12B393F0" w14:textId="77777777" w:rsidR="00B35105" w:rsidRPr="00E6498A" w:rsidRDefault="00B3510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  <w:u w:val="single"/>
        </w:rPr>
      </w:pPr>
    </w:p>
    <w:p w14:paraId="0E3F27B2" w14:textId="77777777" w:rsidR="00B35105" w:rsidRPr="00B21606" w:rsidRDefault="00B3510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</w:rPr>
      </w:pPr>
      <w:r w:rsidRPr="00B21606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Sultani przeciwko Francji</w:t>
      </w:r>
      <w:r w:rsidRPr="00B21606">
        <w:rPr>
          <w:rFonts w:ascii="Verdana" w:hAnsi="Verdana" w:cs="Verdana"/>
          <w:b/>
          <w:bCs/>
          <w:color w:val="0070C0"/>
          <w:sz w:val="20"/>
          <w:szCs w:val="20"/>
        </w:rPr>
        <w:t xml:space="preserve"> </w:t>
      </w:r>
    </w:p>
    <w:p w14:paraId="27E29269" w14:textId="77777777" w:rsidR="00B35105" w:rsidRPr="000D1C49" w:rsidRDefault="00B3510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0D1C49">
        <w:rPr>
          <w:rFonts w:ascii="Verdana" w:hAnsi="Verdana" w:cs="Verdana"/>
          <w:color w:val="808080"/>
          <w:sz w:val="20"/>
          <w:szCs w:val="20"/>
        </w:rPr>
        <w:t>Wyrok Izby z dnia 20 września  2007</w:t>
      </w:r>
    </w:p>
    <w:p w14:paraId="3A178935" w14:textId="77777777" w:rsidR="00B35105" w:rsidRPr="00E6498A" w:rsidRDefault="00B3510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6498A">
        <w:rPr>
          <w:rFonts w:ascii="Verdana" w:hAnsi="Verdana" w:cs="Verdana"/>
          <w:sz w:val="20"/>
          <w:szCs w:val="20"/>
        </w:rPr>
        <w:t xml:space="preserve">Ta sprawa dotyczyła ryzyka deportacji na zbiorowym rejsie lotniczym służącym deportacji nielegalnych imigrantów. Skarżący </w:t>
      </w:r>
      <w:r w:rsidR="00E6498A" w:rsidRPr="00E6498A">
        <w:rPr>
          <w:rFonts w:ascii="Verdana" w:hAnsi="Verdana" w:cs="Verdana"/>
          <w:sz w:val="20"/>
          <w:szCs w:val="20"/>
        </w:rPr>
        <w:t xml:space="preserve">podniósł w szczególności, że w przypadku deportacji do Afganistanu grozi mu ryzyko nieludzkiego lub poniżającego traktowania. Skarżący podważał postępowanie deportacyjnego wobec siebie, a w szczególności krótki czas, w jakim Francuska Agencja ds. Ochrony Uchodźców i Bezpaństwowców (OFPRA) rozpoznała  jego drugi wniosek azylowy.  </w:t>
      </w:r>
    </w:p>
    <w:p w14:paraId="33F77F89" w14:textId="77777777" w:rsidR="00B35105" w:rsidRPr="00E6498A" w:rsidRDefault="00E6498A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E6498A">
        <w:rPr>
          <w:rFonts w:ascii="Verdana" w:hAnsi="Verdana" w:cs="Verdana"/>
          <w:color w:val="0070C0"/>
          <w:sz w:val="20"/>
          <w:szCs w:val="20"/>
        </w:rPr>
        <w:t>Trybunał</w:t>
      </w:r>
      <w:r w:rsidRPr="00E6498A">
        <w:rPr>
          <w:rFonts w:ascii="Verdana" w:hAnsi="Verdana" w:cs="Verdana"/>
          <w:b/>
          <w:bCs/>
          <w:color w:val="0070C0"/>
          <w:sz w:val="20"/>
          <w:szCs w:val="20"/>
        </w:rPr>
        <w:t xml:space="preserve"> stwierdził</w:t>
      </w:r>
      <w:r>
        <w:rPr>
          <w:rFonts w:ascii="Verdana" w:hAnsi="Verdana" w:cs="Verdana"/>
          <w:b/>
          <w:bCs/>
          <w:color w:val="0070C0"/>
          <w:sz w:val="20"/>
          <w:szCs w:val="20"/>
        </w:rPr>
        <w:t xml:space="preserve">, że nie </w:t>
      </w:r>
      <w:r w:rsidR="00FA2FD3">
        <w:rPr>
          <w:rFonts w:ascii="Verdana" w:hAnsi="Verdana" w:cs="Verdana"/>
          <w:b/>
          <w:bCs/>
          <w:color w:val="0070C0"/>
          <w:sz w:val="20"/>
          <w:szCs w:val="20"/>
        </w:rPr>
        <w:t>doszłoby</w:t>
      </w:r>
      <w:r w:rsidR="00B35105" w:rsidRPr="00E6498A">
        <w:rPr>
          <w:rFonts w:ascii="Verdana" w:hAnsi="Verdana" w:cs="Verdana"/>
          <w:b/>
          <w:bCs/>
          <w:color w:val="0070C0"/>
          <w:sz w:val="20"/>
          <w:szCs w:val="20"/>
        </w:rPr>
        <w:t xml:space="preserve"> naruszenia art. 4 Protokołu nr 4 do Konwencji</w:t>
      </w:r>
      <w:r>
        <w:rPr>
          <w:rFonts w:ascii="Verdana" w:hAnsi="Verdana" w:cs="Verdana"/>
          <w:b/>
          <w:bCs/>
          <w:color w:val="0070C0"/>
          <w:sz w:val="20"/>
          <w:szCs w:val="20"/>
        </w:rPr>
        <w:t xml:space="preserve"> gdyby weszła w życie decyzja w sprawie deportacji</w:t>
      </w:r>
      <w:r>
        <w:rPr>
          <w:rFonts w:ascii="Verdana" w:hAnsi="Verdana" w:cs="Verdana"/>
          <w:color w:val="0070C0"/>
          <w:sz w:val="20"/>
          <w:szCs w:val="20"/>
        </w:rPr>
        <w:t>.</w:t>
      </w:r>
      <w:r w:rsidR="00B35105" w:rsidRPr="00E6498A">
        <w:rPr>
          <w:rFonts w:ascii="Verdana" w:hAnsi="Verdana" w:cs="Verdana"/>
          <w:color w:val="0070C0"/>
          <w:sz w:val="20"/>
          <w:szCs w:val="20"/>
        </w:rPr>
        <w:t xml:space="preserve"> </w:t>
      </w:r>
      <w:r>
        <w:rPr>
          <w:rFonts w:ascii="Verdana" w:hAnsi="Verdana" w:cs="Verdana"/>
          <w:color w:val="0070C0"/>
          <w:sz w:val="20"/>
          <w:szCs w:val="20"/>
        </w:rPr>
        <w:t>Francuskie w</w:t>
      </w:r>
      <w:r w:rsidR="00B35105" w:rsidRPr="00E6498A">
        <w:rPr>
          <w:rFonts w:ascii="Verdana" w:hAnsi="Verdana" w:cs="Verdana"/>
          <w:color w:val="0070C0"/>
          <w:sz w:val="20"/>
          <w:szCs w:val="20"/>
        </w:rPr>
        <w:t>ładze, podejmując decyzję o odmowie udzielenia skarżącemu azylu, wzięły pod uwagę nie tylko całokształt sytuacji w Afganistanie, ale także oświadczenia samego skarżącego odnośnie jego sytuacji osobistej i domniemanych zagrożeń w przypadku wydalenia. Sytuacja skarżącego została oceniona jednostkowo, wyniku czego stwierdzono istnienie podstaw do wydalenia.</w:t>
      </w:r>
      <w:r>
        <w:rPr>
          <w:rFonts w:ascii="Verdana" w:hAnsi="Verdana" w:cs="Verdana"/>
          <w:color w:val="0070C0"/>
          <w:sz w:val="20"/>
          <w:szCs w:val="20"/>
        </w:rPr>
        <w:t xml:space="preserve"> W tej sprawie Trybunał stwierdził, że </w:t>
      </w:r>
      <w:r w:rsidR="00FA2FD3" w:rsidRPr="00FA2FD3">
        <w:rPr>
          <w:rFonts w:ascii="Verdana" w:hAnsi="Verdana" w:cs="Verdana"/>
          <w:b/>
          <w:bCs/>
          <w:color w:val="0070C0"/>
          <w:sz w:val="20"/>
          <w:szCs w:val="20"/>
        </w:rPr>
        <w:t xml:space="preserve">nie </w:t>
      </w:r>
      <w:r w:rsidR="00FA2FD3">
        <w:rPr>
          <w:rFonts w:ascii="Verdana" w:hAnsi="Verdana" w:cs="Verdana"/>
          <w:b/>
          <w:bCs/>
          <w:color w:val="0070C0"/>
          <w:sz w:val="20"/>
          <w:szCs w:val="20"/>
        </w:rPr>
        <w:t>doszłoby</w:t>
      </w:r>
      <w:r w:rsidR="00FA2FD3" w:rsidRPr="00FA2FD3">
        <w:rPr>
          <w:rFonts w:ascii="Verdana" w:hAnsi="Verdana" w:cs="Verdana"/>
          <w:b/>
          <w:bCs/>
          <w:color w:val="0070C0"/>
          <w:sz w:val="20"/>
          <w:szCs w:val="20"/>
        </w:rPr>
        <w:t xml:space="preserve"> naruszenia art. 3 Konwencji</w:t>
      </w:r>
      <w:r w:rsidR="00FA2FD3">
        <w:rPr>
          <w:rFonts w:ascii="Verdana" w:hAnsi="Verdana" w:cs="Verdana"/>
          <w:color w:val="0070C0"/>
          <w:sz w:val="20"/>
          <w:szCs w:val="20"/>
        </w:rPr>
        <w:t xml:space="preserve"> (zakaz tortur i nieludzkiego traktowania) gdyby aplikanta wydalono.</w:t>
      </w:r>
    </w:p>
    <w:p w14:paraId="38E476F9" w14:textId="77777777" w:rsidR="001B3D5E" w:rsidRPr="00B21606" w:rsidRDefault="00FA2FD3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Zob. także: </w:t>
      </w:r>
      <w:r w:rsidRPr="00B21606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Ghulami p. Francji</w:t>
      </w:r>
      <w:r w:rsidRPr="00B21606">
        <w:rPr>
          <w:rFonts w:ascii="Verdana" w:hAnsi="Verdana" w:cs="Verdana"/>
          <w:color w:val="0070C0"/>
          <w:sz w:val="20"/>
          <w:szCs w:val="20"/>
        </w:rPr>
        <w:t xml:space="preserve">, </w:t>
      </w:r>
      <w:r w:rsidRPr="00B21606">
        <w:rPr>
          <w:rFonts w:ascii="Verdana" w:hAnsi="Verdana" w:cs="Verdana"/>
          <w:sz w:val="20"/>
          <w:szCs w:val="20"/>
        </w:rPr>
        <w:t>decyzja (Izby) w przedmiocie dopuszczalności z dnia 7 kwietnia 2009 roku.</w:t>
      </w:r>
    </w:p>
    <w:p w14:paraId="2FB4FDE2" w14:textId="77777777" w:rsidR="00B35105" w:rsidRDefault="00B3510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3366FF"/>
          <w:sz w:val="20"/>
          <w:szCs w:val="20"/>
          <w:u w:val="single"/>
        </w:rPr>
      </w:pPr>
    </w:p>
    <w:p w14:paraId="4D7C8F42" w14:textId="77777777" w:rsidR="00FA2FD3" w:rsidRPr="00C603B2" w:rsidRDefault="00FA2FD3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C603B2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M.A. przeciwko Cyprowi (skarga nr 41872/10)</w:t>
      </w:r>
    </w:p>
    <w:p w14:paraId="3E90ADBE" w14:textId="77777777" w:rsidR="00FA2FD3" w:rsidRPr="000D1C49" w:rsidRDefault="00FA2FD3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0D1C49">
        <w:rPr>
          <w:rFonts w:ascii="Verdana" w:hAnsi="Verdana" w:cs="Verdana"/>
          <w:color w:val="808080"/>
          <w:sz w:val="20"/>
          <w:szCs w:val="20"/>
        </w:rPr>
        <w:t>Wyrok Izby z dnia 23 lipca 2013 roku</w:t>
      </w:r>
    </w:p>
    <w:p w14:paraId="4F6638E6" w14:textId="77777777" w:rsidR="00FA2FD3" w:rsidRPr="00C232B0" w:rsidRDefault="00FA2FD3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C232B0">
        <w:rPr>
          <w:rFonts w:ascii="Verdana" w:hAnsi="Verdana" w:cs="Verdana"/>
          <w:sz w:val="20"/>
          <w:szCs w:val="20"/>
        </w:rPr>
        <w:t xml:space="preserve">Ta sprawa dotyczyła zatrzymania przez władze cypryjskie syryjskiego Kurda i jego planowaną deportację do Syrii po wczesnoporannej akcji policyjnej, w której usunięto jego i innych Kurdów pochodzących z Syrii z obozu znajdującego na zewnątrz budynków rządowych w Nikozji w związku z protestem przeciwko cypryjskiej polityce imigracyjnej. Skarżący podniósł, że władze cypryjskie chciały go deportować w ramach operacji zbiorowego wydalenia, bez dokonania indywidualnej oceny </w:t>
      </w:r>
      <w:r w:rsidR="00315831" w:rsidRPr="00C232B0">
        <w:rPr>
          <w:rFonts w:ascii="Verdana" w:hAnsi="Verdana" w:cs="Verdana"/>
          <w:sz w:val="20"/>
          <w:szCs w:val="20"/>
        </w:rPr>
        <w:t>i rozpoznania jego sprawy.</w:t>
      </w:r>
    </w:p>
    <w:p w14:paraId="1FA1B875" w14:textId="77777777" w:rsidR="00315831" w:rsidRPr="00C232B0" w:rsidRDefault="00315831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C232B0">
        <w:rPr>
          <w:rFonts w:ascii="Verdana" w:hAnsi="Verdana" w:cs="Verdana"/>
          <w:color w:val="0070C0"/>
          <w:sz w:val="20"/>
          <w:szCs w:val="20"/>
        </w:rPr>
        <w:t xml:space="preserve">Trybunał </w:t>
      </w:r>
      <w:r w:rsidRPr="00C232B0">
        <w:rPr>
          <w:rFonts w:ascii="Verdana" w:hAnsi="Verdana" w:cs="Verdana"/>
          <w:b/>
          <w:bCs/>
          <w:color w:val="0070C0"/>
          <w:sz w:val="20"/>
          <w:szCs w:val="20"/>
        </w:rPr>
        <w:t>nie stwierdził naruszenia art. 4 Protokołu nr 4 do Konwencji</w:t>
      </w:r>
      <w:r w:rsidRPr="00C232B0">
        <w:rPr>
          <w:rFonts w:ascii="Verdana" w:hAnsi="Verdana" w:cs="Verdana"/>
          <w:color w:val="0070C0"/>
          <w:sz w:val="20"/>
          <w:szCs w:val="20"/>
        </w:rPr>
        <w:t>. Wskazał w szczególności, że ważne jest, aby każda sprawa dotycząca deportacji</w:t>
      </w:r>
      <w:r w:rsidR="0088792E" w:rsidRPr="00C232B0">
        <w:rPr>
          <w:rFonts w:ascii="Verdana" w:hAnsi="Verdana" w:cs="Verdana"/>
          <w:color w:val="0070C0"/>
          <w:sz w:val="20"/>
          <w:szCs w:val="20"/>
        </w:rPr>
        <w:t xml:space="preserve"> była rozpatrywana indywidualnie i rozstrzygana w oparciu o jej specyficzne okoliczności. Fakt, że protestujący, w tym skarżący, </w:t>
      </w:r>
      <w:r w:rsidR="00F67F7A" w:rsidRPr="00C232B0">
        <w:rPr>
          <w:rFonts w:ascii="Verdana" w:hAnsi="Verdana" w:cs="Verdana"/>
          <w:color w:val="0070C0"/>
          <w:sz w:val="20"/>
          <w:szCs w:val="20"/>
        </w:rPr>
        <w:t xml:space="preserve">zostali zabrani razem do siedziby policji, że niektórzy zostali deportowali w grupie albo że nakazy wydalenia sformułowane były z użyciem podobnych wyrażeń i dlatego nie odnosiły się szczegółowo do wcześniejszych faz postępowania, nie czyniło z tego wydalenia zbiorowego. Każda decyzja o deportacji opierała się na </w:t>
      </w:r>
      <w:r w:rsidR="00BC1038" w:rsidRPr="00C232B0">
        <w:rPr>
          <w:rFonts w:ascii="Verdana" w:hAnsi="Verdana" w:cs="Verdana"/>
          <w:color w:val="0070C0"/>
          <w:sz w:val="20"/>
          <w:szCs w:val="20"/>
        </w:rPr>
        <w:t>stwierdzeniu, że byli oni nielegalnymi imigrantami po odmowie udzielenia azylu albo zamknięciu sprawy w związku z indywidualnym rozpatrywaniem sprawy przez okres ponad 5 la. W konsekwencji przedsięwzięte środki nie miały charakteru wydalenia zbiorowego.</w:t>
      </w:r>
    </w:p>
    <w:p w14:paraId="1A2E1F5F" w14:textId="77777777" w:rsidR="00BC1038" w:rsidRDefault="00BC1038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C232B0">
        <w:rPr>
          <w:rFonts w:ascii="Verdana" w:hAnsi="Verdana" w:cs="Verdana"/>
          <w:color w:val="0070C0"/>
          <w:sz w:val="20"/>
          <w:szCs w:val="20"/>
        </w:rPr>
        <w:t xml:space="preserve">W tej sprawie Trybunał stwierdził jeszcze, że </w:t>
      </w:r>
      <w:r w:rsidRPr="00C232B0">
        <w:rPr>
          <w:rFonts w:ascii="Verdana" w:hAnsi="Verdana" w:cs="Verdana"/>
          <w:b/>
          <w:bCs/>
          <w:color w:val="0070C0"/>
          <w:sz w:val="20"/>
          <w:szCs w:val="20"/>
        </w:rPr>
        <w:t>doszło do naruszenia art. 13 Konwencji</w:t>
      </w:r>
      <w:r w:rsidRPr="00C232B0">
        <w:rPr>
          <w:rFonts w:ascii="Verdana" w:hAnsi="Verdana" w:cs="Verdana"/>
          <w:color w:val="0070C0"/>
          <w:sz w:val="20"/>
          <w:szCs w:val="20"/>
        </w:rPr>
        <w:t xml:space="preserve"> (prawo do skutecznego środka odwoławczego) w zw. </w:t>
      </w:r>
      <w:r w:rsidRPr="00C232B0">
        <w:rPr>
          <w:rFonts w:ascii="Verdana" w:hAnsi="Verdana" w:cs="Verdana"/>
          <w:b/>
          <w:bCs/>
          <w:color w:val="0070C0"/>
          <w:sz w:val="20"/>
          <w:szCs w:val="20"/>
        </w:rPr>
        <w:t>z art. 2</w:t>
      </w:r>
      <w:r w:rsidRPr="00C232B0">
        <w:rPr>
          <w:rFonts w:ascii="Verdana" w:hAnsi="Verdana" w:cs="Verdana"/>
          <w:color w:val="0070C0"/>
          <w:sz w:val="20"/>
          <w:szCs w:val="20"/>
        </w:rPr>
        <w:t xml:space="preserve"> Konwencji (prawo do życia) i </w:t>
      </w:r>
      <w:r w:rsidR="00C232B0" w:rsidRPr="00C232B0">
        <w:rPr>
          <w:rFonts w:ascii="Verdana" w:hAnsi="Verdana" w:cs="Verdana"/>
          <w:b/>
          <w:bCs/>
          <w:color w:val="0070C0"/>
          <w:sz w:val="20"/>
          <w:szCs w:val="20"/>
        </w:rPr>
        <w:t>art.</w:t>
      </w:r>
      <w:r w:rsidR="00C232B0">
        <w:rPr>
          <w:rFonts w:ascii="Verdana" w:hAnsi="Verdana" w:cs="Verdana"/>
          <w:color w:val="0070C0"/>
          <w:sz w:val="20"/>
          <w:szCs w:val="20"/>
        </w:rPr>
        <w:t xml:space="preserve"> </w:t>
      </w:r>
      <w:r w:rsidRPr="00C232B0">
        <w:rPr>
          <w:rFonts w:ascii="Verdana" w:hAnsi="Verdana" w:cs="Verdana"/>
          <w:b/>
          <w:bCs/>
          <w:color w:val="0070C0"/>
          <w:sz w:val="20"/>
          <w:szCs w:val="20"/>
        </w:rPr>
        <w:t>3 Konwencji</w:t>
      </w:r>
      <w:r w:rsidRPr="00C232B0">
        <w:rPr>
          <w:rFonts w:ascii="Verdana" w:hAnsi="Verdana" w:cs="Verdana"/>
          <w:color w:val="0070C0"/>
          <w:sz w:val="20"/>
          <w:szCs w:val="20"/>
        </w:rPr>
        <w:t xml:space="preserve"> (zakaz nieludzkiego i poniżającego traktowania), naruszenie </w:t>
      </w:r>
      <w:r w:rsidRPr="00C232B0">
        <w:rPr>
          <w:rFonts w:ascii="Verdana" w:hAnsi="Verdana" w:cs="Verdana"/>
          <w:b/>
          <w:bCs/>
          <w:color w:val="0070C0"/>
          <w:sz w:val="20"/>
          <w:szCs w:val="20"/>
        </w:rPr>
        <w:t xml:space="preserve">art. 5 ust. </w:t>
      </w:r>
      <w:r w:rsidR="00C232B0" w:rsidRPr="00C232B0">
        <w:rPr>
          <w:rFonts w:ascii="Verdana" w:hAnsi="Verdana" w:cs="Verdana"/>
          <w:b/>
          <w:bCs/>
          <w:color w:val="0070C0"/>
          <w:sz w:val="20"/>
          <w:szCs w:val="20"/>
        </w:rPr>
        <w:t>1 i 4 Konwencji</w:t>
      </w:r>
      <w:r w:rsidR="00C232B0" w:rsidRPr="00C232B0">
        <w:rPr>
          <w:rFonts w:ascii="Verdana" w:hAnsi="Verdana" w:cs="Verdana"/>
          <w:color w:val="0070C0"/>
          <w:sz w:val="20"/>
          <w:szCs w:val="20"/>
        </w:rPr>
        <w:t xml:space="preserve"> (nielegalne pozbawienie wolności, efektywny środek w celu zbadania legalności pozbawienia wolności) oraz że </w:t>
      </w:r>
      <w:r w:rsidR="00C232B0" w:rsidRPr="00C232B0">
        <w:rPr>
          <w:rFonts w:ascii="Verdana" w:hAnsi="Verdana" w:cs="Verdana"/>
          <w:b/>
          <w:bCs/>
          <w:color w:val="0070C0"/>
          <w:sz w:val="20"/>
          <w:szCs w:val="20"/>
        </w:rPr>
        <w:t xml:space="preserve">nie doszło do naruszenia art. 5 ust. 2 Konwencji </w:t>
      </w:r>
      <w:r w:rsidR="00C232B0" w:rsidRPr="00C232B0">
        <w:rPr>
          <w:rFonts w:ascii="Verdana" w:hAnsi="Verdana" w:cs="Verdana"/>
          <w:color w:val="0070C0"/>
          <w:sz w:val="20"/>
          <w:szCs w:val="20"/>
        </w:rPr>
        <w:t xml:space="preserve">(prawo do informacji o podstawach aresztowania). </w:t>
      </w:r>
      <w:r w:rsidRPr="00C232B0">
        <w:rPr>
          <w:rFonts w:ascii="Verdana" w:hAnsi="Verdana" w:cs="Verdana"/>
          <w:color w:val="0070C0"/>
          <w:sz w:val="20"/>
          <w:szCs w:val="20"/>
        </w:rPr>
        <w:t xml:space="preserve"> </w:t>
      </w:r>
    </w:p>
    <w:p w14:paraId="76764232" w14:textId="77777777" w:rsidR="00C232B0" w:rsidRDefault="00C232B0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31D66B54" w14:textId="77777777" w:rsidR="00C232B0" w:rsidRPr="0013106C" w:rsidRDefault="00C232B0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13106C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Khlaifia i Inni p</w:t>
      </w:r>
      <w:r w:rsidR="00B21606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rzeciwko</w:t>
      </w:r>
      <w:r w:rsidRPr="0013106C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 xml:space="preserve"> Włochom</w:t>
      </w:r>
    </w:p>
    <w:p w14:paraId="09E05667" w14:textId="77777777" w:rsidR="00C232B0" w:rsidRPr="000D1C49" w:rsidRDefault="00C232B0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0D1C49">
        <w:rPr>
          <w:rFonts w:ascii="Verdana" w:hAnsi="Verdana" w:cs="Verdana"/>
          <w:color w:val="808080"/>
          <w:sz w:val="20"/>
          <w:szCs w:val="20"/>
        </w:rPr>
        <w:t>Wyrok Wielkiej Izby z dnia 15 grudnia 2016 roku</w:t>
      </w:r>
    </w:p>
    <w:p w14:paraId="7E5F5B92" w14:textId="77777777" w:rsidR="00C232B0" w:rsidRPr="000D1C49" w:rsidRDefault="00C232B0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D1C49">
        <w:rPr>
          <w:rFonts w:ascii="Verdana" w:hAnsi="Verdana" w:cs="Verdana"/>
          <w:color w:val="000000"/>
          <w:sz w:val="20"/>
          <w:szCs w:val="20"/>
        </w:rPr>
        <w:t>Ta sprawa dotyczyła zatrzymania w ośrodku dla uchodźców na Lampeduzie</w:t>
      </w:r>
      <w:r w:rsidR="00C45B5C" w:rsidRPr="000D1C49">
        <w:rPr>
          <w:rFonts w:ascii="Verdana" w:hAnsi="Verdana" w:cs="Verdana"/>
          <w:color w:val="000000"/>
          <w:sz w:val="20"/>
          <w:szCs w:val="20"/>
        </w:rPr>
        <w:t>, a następnie na statkach zacumowanych w porcie w Palermo, a także deportacji do Tunezji nielegalnych imigrantów, którzy przybyli na wybrzeże włoskie w 2011 roku podczas zdarzeń związanych z „Arabską Wiosną”. Skarżący podnieśli, że byli podmiotem wydalenia zbiorowego.</w:t>
      </w:r>
    </w:p>
    <w:p w14:paraId="2B48EC0C" w14:textId="77777777" w:rsidR="00B35105" w:rsidRDefault="00C45B5C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>
        <w:rPr>
          <w:rFonts w:ascii="Verdana" w:hAnsi="Verdana" w:cs="Verdana"/>
          <w:color w:val="0070C0"/>
          <w:sz w:val="20"/>
          <w:szCs w:val="20"/>
        </w:rPr>
        <w:lastRenderedPageBreak/>
        <w:t xml:space="preserve">Wielka Izba stwierdziła </w:t>
      </w:r>
      <w:r w:rsidRPr="0013106C">
        <w:rPr>
          <w:rFonts w:ascii="Verdana" w:hAnsi="Verdana" w:cs="Verdana"/>
          <w:b/>
          <w:bCs/>
          <w:color w:val="0070C0"/>
          <w:sz w:val="20"/>
          <w:szCs w:val="20"/>
        </w:rPr>
        <w:t>brak naruszenia art. 4 Protokołu nr 4 do Konwencji</w:t>
      </w:r>
      <w:r>
        <w:rPr>
          <w:rFonts w:ascii="Verdana" w:hAnsi="Verdana" w:cs="Verdana"/>
          <w:color w:val="0070C0"/>
          <w:sz w:val="20"/>
          <w:szCs w:val="20"/>
        </w:rPr>
        <w:t xml:space="preserve">. W szczególności wskazała, że artykuł ten nie gwarantuje prawa indywidualnego rozważenia wszystkich okoliczności. Wymagania tego artykułu zostaną spełnione, jeśli każdy z obcych będzie miał możliwość podniesienia zarzutów przeciwko decyzji o wydaleniu i że zarzuty te zostaną rozpatrzone przez władze krajowe. W niniejszej sprawie Wielka Izba </w:t>
      </w:r>
      <w:r w:rsidR="003700FE">
        <w:rPr>
          <w:rFonts w:ascii="Verdana" w:hAnsi="Verdana" w:cs="Verdana"/>
          <w:color w:val="0070C0"/>
          <w:sz w:val="20"/>
          <w:szCs w:val="20"/>
        </w:rPr>
        <w:t xml:space="preserve"> stwierdziła, że skarżący, po dwukrotnym ich rozpoznaniu i potwierdzeniu narodowości, mieli autentyczną i efektywną możliwość podniesienia zarzutów przeciwko wydaleniu. Wielka Izba </w:t>
      </w:r>
      <w:r w:rsidR="003700FE" w:rsidRPr="0013106C">
        <w:rPr>
          <w:rFonts w:ascii="Verdana" w:hAnsi="Verdana" w:cs="Verdana"/>
          <w:b/>
          <w:bCs/>
          <w:color w:val="0070C0"/>
          <w:sz w:val="20"/>
          <w:szCs w:val="20"/>
        </w:rPr>
        <w:t>stwierdziła też</w:t>
      </w:r>
      <w:r w:rsidR="0013106C">
        <w:rPr>
          <w:rFonts w:ascii="Verdana" w:hAnsi="Verdana" w:cs="Verdana"/>
          <w:b/>
          <w:bCs/>
          <w:color w:val="0070C0"/>
          <w:sz w:val="20"/>
          <w:szCs w:val="20"/>
        </w:rPr>
        <w:t xml:space="preserve"> brak</w:t>
      </w:r>
      <w:r w:rsidR="003700FE" w:rsidRPr="0013106C">
        <w:rPr>
          <w:rFonts w:ascii="Verdana" w:hAnsi="Verdana" w:cs="Verdana"/>
          <w:b/>
          <w:bCs/>
          <w:color w:val="0070C0"/>
          <w:sz w:val="20"/>
          <w:szCs w:val="20"/>
        </w:rPr>
        <w:t xml:space="preserve"> naruszenia art. 13 Konwencji</w:t>
      </w:r>
      <w:r w:rsidR="003700FE">
        <w:rPr>
          <w:rFonts w:ascii="Verdana" w:hAnsi="Verdana" w:cs="Verdana"/>
          <w:color w:val="0070C0"/>
          <w:sz w:val="20"/>
          <w:szCs w:val="20"/>
        </w:rPr>
        <w:t xml:space="preserve"> (prawo do skutecznego środka odwoławczego) </w:t>
      </w:r>
      <w:r w:rsidR="003700FE" w:rsidRPr="0013106C">
        <w:rPr>
          <w:rFonts w:ascii="Verdana" w:hAnsi="Verdana" w:cs="Verdana"/>
          <w:b/>
          <w:bCs/>
          <w:color w:val="0070C0"/>
          <w:sz w:val="20"/>
          <w:szCs w:val="20"/>
        </w:rPr>
        <w:t>w zw.</w:t>
      </w:r>
      <w:r w:rsidR="003700FE">
        <w:rPr>
          <w:rFonts w:ascii="Verdana" w:hAnsi="Verdana" w:cs="Verdana"/>
          <w:color w:val="0070C0"/>
          <w:sz w:val="20"/>
          <w:szCs w:val="20"/>
        </w:rPr>
        <w:t xml:space="preserve"> </w:t>
      </w:r>
      <w:r w:rsidR="003700FE" w:rsidRPr="0013106C">
        <w:rPr>
          <w:rFonts w:ascii="Verdana" w:hAnsi="Verdana" w:cs="Verdana"/>
          <w:b/>
          <w:bCs/>
          <w:color w:val="0070C0"/>
          <w:sz w:val="20"/>
          <w:szCs w:val="20"/>
        </w:rPr>
        <w:t>z art. 4 Protokołu nr 4 do Konwencji</w:t>
      </w:r>
      <w:r w:rsidR="003700FE">
        <w:rPr>
          <w:rFonts w:ascii="Verdana" w:hAnsi="Verdana" w:cs="Verdana"/>
          <w:color w:val="0070C0"/>
          <w:sz w:val="20"/>
          <w:szCs w:val="20"/>
        </w:rPr>
        <w:t xml:space="preserve">, uznając że brak zawieszającego skutku odwołania nie łączył się z ryzykiem naruszenia praw gwarantowanych przez art. 2 Konwencji (prawo do życia) lub art. 3 Konwencji (zakaz tortur i nieludzkiego lub poniżającego traktowania) w kraju docelowym. Wreszcie, Wielka Izba </w:t>
      </w:r>
      <w:r w:rsidR="003700FE" w:rsidRPr="0013106C">
        <w:rPr>
          <w:rFonts w:ascii="Verdana" w:hAnsi="Verdana" w:cs="Verdana"/>
          <w:b/>
          <w:bCs/>
          <w:color w:val="0070C0"/>
          <w:sz w:val="20"/>
          <w:szCs w:val="20"/>
        </w:rPr>
        <w:t>stwierdziła naruszenie art. 5 ust. 1</w:t>
      </w:r>
      <w:r w:rsidR="003700FE">
        <w:rPr>
          <w:rFonts w:ascii="Verdana" w:hAnsi="Verdana" w:cs="Verdana"/>
          <w:color w:val="0070C0"/>
          <w:sz w:val="20"/>
          <w:szCs w:val="20"/>
        </w:rPr>
        <w:t xml:space="preserve"> (prawo do wolności i bezpieczeństwa)</w:t>
      </w:r>
      <w:r w:rsidR="00055BC1">
        <w:rPr>
          <w:rFonts w:ascii="Verdana" w:hAnsi="Verdana" w:cs="Verdana"/>
          <w:color w:val="0070C0"/>
          <w:sz w:val="20"/>
          <w:szCs w:val="20"/>
        </w:rPr>
        <w:t xml:space="preserve">, </w:t>
      </w:r>
      <w:r w:rsidR="00055BC1" w:rsidRPr="0013106C">
        <w:rPr>
          <w:rFonts w:ascii="Verdana" w:hAnsi="Verdana" w:cs="Verdana"/>
          <w:b/>
          <w:bCs/>
          <w:color w:val="0070C0"/>
          <w:sz w:val="20"/>
          <w:szCs w:val="20"/>
        </w:rPr>
        <w:t>naruszenie art. 5 ust. 2 Konwencji</w:t>
      </w:r>
      <w:r w:rsidR="00055BC1">
        <w:rPr>
          <w:rFonts w:ascii="Verdana" w:hAnsi="Verdana" w:cs="Verdana"/>
          <w:color w:val="0070C0"/>
          <w:sz w:val="20"/>
          <w:szCs w:val="20"/>
        </w:rPr>
        <w:t xml:space="preserve"> (prawo do powiadomienia o przyczynach pozbawienia wolności), </w:t>
      </w:r>
      <w:r w:rsidR="00055BC1" w:rsidRPr="0013106C">
        <w:rPr>
          <w:rFonts w:ascii="Verdana" w:hAnsi="Verdana" w:cs="Verdana"/>
          <w:b/>
          <w:bCs/>
          <w:color w:val="0070C0"/>
          <w:sz w:val="20"/>
          <w:szCs w:val="20"/>
        </w:rPr>
        <w:t>naruszenie art. 5 ust. 4 Konwencji</w:t>
      </w:r>
      <w:r w:rsidR="00055BC1">
        <w:rPr>
          <w:rFonts w:ascii="Verdana" w:hAnsi="Verdana" w:cs="Verdana"/>
          <w:color w:val="0070C0"/>
          <w:sz w:val="20"/>
          <w:szCs w:val="20"/>
        </w:rPr>
        <w:t xml:space="preserve"> (prawo do szybkiego rozpoznania przez sąd legalności zatrzymania), </w:t>
      </w:r>
      <w:r w:rsidR="00055BC1" w:rsidRPr="0013106C">
        <w:rPr>
          <w:rFonts w:ascii="Verdana" w:hAnsi="Verdana" w:cs="Verdana"/>
          <w:b/>
          <w:bCs/>
          <w:color w:val="0070C0"/>
          <w:sz w:val="20"/>
          <w:szCs w:val="20"/>
        </w:rPr>
        <w:t>brak naruszenia art. 3 Konwencji</w:t>
      </w:r>
      <w:r w:rsidR="00055BC1">
        <w:rPr>
          <w:rFonts w:ascii="Verdana" w:hAnsi="Verdana" w:cs="Verdana"/>
          <w:color w:val="0070C0"/>
          <w:sz w:val="20"/>
          <w:szCs w:val="20"/>
        </w:rPr>
        <w:t xml:space="preserve"> (zakaz nieludzkiego lub poniżającego traktowania) zarówno w zakresie warunków w centrum uchodźców na Lampeduzie, jak i warunków na statku w porcie w Palermo, a nadto </w:t>
      </w:r>
      <w:r w:rsidR="00055BC1" w:rsidRPr="0013106C">
        <w:rPr>
          <w:rFonts w:ascii="Verdana" w:hAnsi="Verdana" w:cs="Verdana"/>
          <w:b/>
          <w:bCs/>
          <w:color w:val="0070C0"/>
          <w:sz w:val="20"/>
          <w:szCs w:val="20"/>
        </w:rPr>
        <w:t>stwierdził</w:t>
      </w:r>
      <w:r w:rsidR="0013106C" w:rsidRPr="0013106C">
        <w:rPr>
          <w:rFonts w:ascii="Verdana" w:hAnsi="Verdana" w:cs="Verdana"/>
          <w:b/>
          <w:bCs/>
          <w:color w:val="0070C0"/>
          <w:sz w:val="20"/>
          <w:szCs w:val="20"/>
        </w:rPr>
        <w:t>a</w:t>
      </w:r>
      <w:r w:rsidR="00055BC1" w:rsidRPr="0013106C">
        <w:rPr>
          <w:rFonts w:ascii="Verdana" w:hAnsi="Verdana" w:cs="Verdana"/>
          <w:b/>
          <w:bCs/>
          <w:color w:val="0070C0"/>
          <w:sz w:val="20"/>
          <w:szCs w:val="20"/>
        </w:rPr>
        <w:t xml:space="preserve"> naruszenie art. 13 Konwencji</w:t>
      </w:r>
      <w:r w:rsidR="00055BC1">
        <w:rPr>
          <w:rFonts w:ascii="Verdana" w:hAnsi="Verdana" w:cs="Verdana"/>
          <w:color w:val="0070C0"/>
          <w:sz w:val="20"/>
          <w:szCs w:val="20"/>
        </w:rPr>
        <w:t xml:space="preserve"> (prawo do skutecznego środka odwoławczego) </w:t>
      </w:r>
      <w:r w:rsidR="00055BC1" w:rsidRPr="0013106C">
        <w:rPr>
          <w:rFonts w:ascii="Verdana" w:hAnsi="Verdana" w:cs="Verdana"/>
          <w:b/>
          <w:bCs/>
          <w:color w:val="0070C0"/>
          <w:sz w:val="20"/>
          <w:szCs w:val="20"/>
        </w:rPr>
        <w:t>w zw. z art. 3</w:t>
      </w:r>
      <w:r w:rsidR="00055BC1">
        <w:rPr>
          <w:rFonts w:ascii="Verdana" w:hAnsi="Verdana" w:cs="Verdana"/>
          <w:color w:val="0070C0"/>
          <w:sz w:val="20"/>
          <w:szCs w:val="20"/>
        </w:rPr>
        <w:t xml:space="preserve"> Konwencji w zakresie braku środka, za pomocą którego skarżący mogliby zaskarżyć warunki, w których byli przetrzymywani na centrum uchodźców na Lampeduzie i na statkach.</w:t>
      </w:r>
    </w:p>
    <w:p w14:paraId="27945384" w14:textId="77777777" w:rsidR="0013106C" w:rsidRDefault="0013106C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0054A98D" w14:textId="77777777" w:rsidR="0013106C" w:rsidRPr="004D6CDB" w:rsidRDefault="0013106C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4D6CDB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 xml:space="preserve">N.D. i N.T. </w:t>
      </w:r>
      <w:r w:rsidR="00F175B8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przeciwko</w:t>
      </w:r>
      <w:r w:rsidRPr="004D6CDB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 xml:space="preserve"> Hiszpanii</w:t>
      </w:r>
    </w:p>
    <w:p w14:paraId="4AF93B59" w14:textId="77777777" w:rsidR="0013106C" w:rsidRPr="007E0BE5" w:rsidRDefault="0013106C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7E0BE5">
        <w:rPr>
          <w:rFonts w:ascii="Verdana" w:hAnsi="Verdana" w:cs="Verdana"/>
          <w:color w:val="808080"/>
          <w:sz w:val="20"/>
          <w:szCs w:val="20"/>
        </w:rPr>
        <w:t>Wyrok Wielkiej Izby z dnia 13 lutego 2020 roku</w:t>
      </w:r>
    </w:p>
    <w:p w14:paraId="566696DB" w14:textId="77777777" w:rsidR="0013106C" w:rsidRPr="004D6CDB" w:rsidRDefault="0013106C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4D6CDB">
        <w:rPr>
          <w:rFonts w:ascii="Verdana" w:hAnsi="Verdana" w:cs="Verdana"/>
          <w:sz w:val="20"/>
          <w:szCs w:val="20"/>
        </w:rPr>
        <w:t>Ta sprawa dotyczyła natychmiastowego powrotu do Maroka dwóch obyw</w:t>
      </w:r>
      <w:r w:rsidR="000039E6" w:rsidRPr="004D6CDB">
        <w:rPr>
          <w:rFonts w:ascii="Verdana" w:hAnsi="Verdana" w:cs="Verdana"/>
          <w:sz w:val="20"/>
          <w:szCs w:val="20"/>
        </w:rPr>
        <w:t>ateli Mali i Cote d’Ivoire, którzy w dniu 13 sierpnia 2014 roku próbowali bez kontroli dostać się na terytorium Hiszpanii poprzez</w:t>
      </w:r>
      <w:r w:rsidR="005C2432" w:rsidRPr="004D6CDB">
        <w:rPr>
          <w:rFonts w:ascii="Verdana" w:hAnsi="Verdana" w:cs="Verdana"/>
          <w:sz w:val="20"/>
          <w:szCs w:val="20"/>
        </w:rPr>
        <w:t xml:space="preserve"> sforsowanie płotu otaczającego hiszpańską enklawę Melilla na północnym wybrzeżu Afryki. Skarżący utrzymywali, że byli przedmiotem wydalenia zbiorowego bez indywidualnego rozważenia okoliczności i braku jakichkolwiek procedur oraz pomocy prawnej. Skarżący odnieśli się do polityki systematycznego usuwania imigrantów bez uprzedniej identyfikacji, co – ich zdaniem – było pozbawione podstaw prawnych w tamtym czasie. Ponadto skarżący zarzucili brak skutecznego środka ze skutkiem zawieszającym, przy pomocy którego mogliby zaskarżyć wydalenie do Maroka.</w:t>
      </w:r>
    </w:p>
    <w:p w14:paraId="38B62966" w14:textId="77777777" w:rsidR="004D6CDB" w:rsidRDefault="005C243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>
        <w:rPr>
          <w:rFonts w:ascii="Verdana" w:hAnsi="Verdana" w:cs="Verdana"/>
          <w:color w:val="0070C0"/>
          <w:sz w:val="20"/>
          <w:szCs w:val="20"/>
        </w:rPr>
        <w:t xml:space="preserve">Wielka Izba uznała jednogłośnie, że </w:t>
      </w:r>
      <w:r w:rsidRPr="004D6CDB">
        <w:rPr>
          <w:rFonts w:ascii="Verdana" w:hAnsi="Verdana" w:cs="Verdana"/>
          <w:b/>
          <w:bCs/>
          <w:color w:val="0070C0"/>
          <w:sz w:val="20"/>
          <w:szCs w:val="20"/>
        </w:rPr>
        <w:t>nie doszło do naruszenia art. 4 Protokołu nr 4 do Konwencji</w:t>
      </w:r>
      <w:r>
        <w:rPr>
          <w:rFonts w:ascii="Verdana" w:hAnsi="Verdana" w:cs="Verdana"/>
          <w:color w:val="0070C0"/>
          <w:sz w:val="20"/>
          <w:szCs w:val="20"/>
        </w:rPr>
        <w:t>. Wielka Izba zauważyła</w:t>
      </w:r>
      <w:r w:rsidR="000E7E6B">
        <w:rPr>
          <w:rFonts w:ascii="Verdana" w:hAnsi="Verdana" w:cs="Verdana"/>
          <w:color w:val="0070C0"/>
          <w:sz w:val="20"/>
          <w:szCs w:val="20"/>
        </w:rPr>
        <w:t xml:space="preserve"> w szczególności, że skarżący w istocie sami znaleźli się się w bezprawnej sytuacji, kiedy świadomie </w:t>
      </w:r>
      <w:r w:rsidR="00427E94">
        <w:rPr>
          <w:rFonts w:ascii="Verdana" w:hAnsi="Verdana" w:cs="Verdana"/>
          <w:color w:val="0070C0"/>
          <w:sz w:val="20"/>
          <w:szCs w:val="20"/>
        </w:rPr>
        <w:t>próbowali jako część większej grupy i w miejscu niedozwolonym przedostać się do Hiszpanii w dniu 13 sierpnia 2014 roku poprzez przekroczenie zasieków granicznych Melilli, korzystając z liczebności grupy oraz używając siły. W ten sposób zdecydowali, że nie podejmą legalnych środków, które były dostępne aby dostać się do Hiszpanii w sposób legalny.  W konsekwencji Trybunał uznał, że brak indywidualnych decyzji o wydaleniu mógł być związany z tym, że skarżący – przy założeniu, iż chcieli skorzystać z praw konwencyjnych – nie uczynili użytku z</w:t>
      </w:r>
      <w:r w:rsidR="006F01F6">
        <w:rPr>
          <w:rFonts w:ascii="Verdana" w:hAnsi="Verdana" w:cs="Verdana"/>
          <w:color w:val="0070C0"/>
          <w:sz w:val="20"/>
          <w:szCs w:val="20"/>
        </w:rPr>
        <w:t xml:space="preserve"> ustanowionych w tym celu</w:t>
      </w:r>
      <w:r w:rsidR="00427E94">
        <w:rPr>
          <w:rFonts w:ascii="Verdana" w:hAnsi="Verdana" w:cs="Verdana"/>
          <w:color w:val="0070C0"/>
          <w:sz w:val="20"/>
          <w:szCs w:val="20"/>
        </w:rPr>
        <w:t xml:space="preserve"> oficjalnych procedur wjazdowych</w:t>
      </w:r>
      <w:r w:rsidR="006F01F6">
        <w:rPr>
          <w:rFonts w:ascii="Verdana" w:hAnsi="Verdana" w:cs="Verdana"/>
          <w:color w:val="0070C0"/>
          <w:sz w:val="20"/>
          <w:szCs w:val="20"/>
        </w:rPr>
        <w:t xml:space="preserve"> i było to w konsekwencji efektem ich osobistego zachowania. Wielka Izba uznała też, iż </w:t>
      </w:r>
      <w:r w:rsidR="006F01F6" w:rsidRPr="004D6CDB">
        <w:rPr>
          <w:rFonts w:ascii="Verdana" w:hAnsi="Verdana" w:cs="Verdana"/>
          <w:b/>
          <w:bCs/>
          <w:color w:val="0070C0"/>
          <w:sz w:val="20"/>
          <w:szCs w:val="20"/>
        </w:rPr>
        <w:t>nie doszło do naruszenia art. 13 Konwencji</w:t>
      </w:r>
      <w:r w:rsidR="006F01F6">
        <w:rPr>
          <w:rFonts w:ascii="Verdana" w:hAnsi="Verdana" w:cs="Verdana"/>
          <w:color w:val="0070C0"/>
          <w:sz w:val="20"/>
          <w:szCs w:val="20"/>
        </w:rPr>
        <w:t xml:space="preserve"> (prawo do skutecznego środka odwoławczego) </w:t>
      </w:r>
      <w:r w:rsidR="006F01F6" w:rsidRPr="004D6CDB">
        <w:rPr>
          <w:rFonts w:ascii="Verdana" w:hAnsi="Verdana" w:cs="Verdana"/>
          <w:b/>
          <w:bCs/>
          <w:color w:val="0070C0"/>
          <w:sz w:val="20"/>
          <w:szCs w:val="20"/>
        </w:rPr>
        <w:t>w zw. z art. 4 Protokołu nr 4 do Konwencji</w:t>
      </w:r>
      <w:r w:rsidR="006F01F6">
        <w:rPr>
          <w:rFonts w:ascii="Verdana" w:hAnsi="Verdana" w:cs="Verdana"/>
          <w:color w:val="0070C0"/>
          <w:sz w:val="20"/>
          <w:szCs w:val="20"/>
        </w:rPr>
        <w:t xml:space="preserve">. W tym względzie Izba uznała, że </w:t>
      </w:r>
      <w:r w:rsidR="004D6CDB">
        <w:rPr>
          <w:rFonts w:ascii="Verdana" w:hAnsi="Verdana" w:cs="Verdana"/>
          <w:color w:val="0070C0"/>
          <w:sz w:val="20"/>
          <w:szCs w:val="20"/>
        </w:rPr>
        <w:t xml:space="preserve">skoro </w:t>
      </w:r>
      <w:r w:rsidR="006F01F6">
        <w:rPr>
          <w:rFonts w:ascii="Verdana" w:hAnsi="Verdana" w:cs="Verdana"/>
          <w:color w:val="0070C0"/>
          <w:sz w:val="20"/>
          <w:szCs w:val="20"/>
        </w:rPr>
        <w:t>brak indywidualnej procedury wydaleniowej był konsekwencją własnego zachowania skarżących,</w:t>
      </w:r>
      <w:r w:rsidR="004D6CDB">
        <w:rPr>
          <w:rFonts w:ascii="Verdana" w:hAnsi="Verdana" w:cs="Verdana"/>
          <w:color w:val="0070C0"/>
          <w:sz w:val="20"/>
          <w:szCs w:val="20"/>
        </w:rPr>
        <w:t xml:space="preserve"> to</w:t>
      </w:r>
      <w:r w:rsidR="006F01F6">
        <w:rPr>
          <w:rFonts w:ascii="Verdana" w:hAnsi="Verdana" w:cs="Verdana"/>
          <w:color w:val="0070C0"/>
          <w:sz w:val="20"/>
          <w:szCs w:val="20"/>
        </w:rPr>
        <w:t xml:space="preserve"> nie można czynić Państwa odpowiedzialnym za brak </w:t>
      </w:r>
      <w:r w:rsidR="004D6CDB">
        <w:rPr>
          <w:rFonts w:ascii="Verdana" w:hAnsi="Verdana" w:cs="Verdana"/>
          <w:color w:val="0070C0"/>
          <w:sz w:val="20"/>
          <w:szCs w:val="20"/>
        </w:rPr>
        <w:t>dostępności prawnego środka w Melilli, który umożliwiałby skarżącym podważanie decyzji o wydaleniu.</w:t>
      </w:r>
    </w:p>
    <w:p w14:paraId="3F5EFFBA" w14:textId="77777777" w:rsidR="004D6CDB" w:rsidRDefault="004D6CDB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3A855BF6" w14:textId="77777777" w:rsidR="002A4B3D" w:rsidRDefault="002A4B3D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</w:p>
    <w:p w14:paraId="2925BA98" w14:textId="77777777" w:rsidR="002A4B3D" w:rsidRDefault="002A4B3D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</w:p>
    <w:p w14:paraId="277424F9" w14:textId="77777777" w:rsidR="004D6CDB" w:rsidRPr="00662976" w:rsidRDefault="004D6CDB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662976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lastRenderedPageBreak/>
        <w:t>Asady i Inni p</w:t>
      </w:r>
      <w:r w:rsidR="00F175B8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rzeciwko</w:t>
      </w:r>
      <w:r w:rsidRPr="00662976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 xml:space="preserve"> Słowacji</w:t>
      </w:r>
    </w:p>
    <w:p w14:paraId="2DBB3070" w14:textId="77777777" w:rsidR="004D6CDB" w:rsidRPr="009C335F" w:rsidRDefault="004D6CDB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Wyrok Izby z dnia 24 marca 2020 roku</w:t>
      </w:r>
      <w:r w:rsidR="00BD57E5" w:rsidRPr="009C335F">
        <w:rPr>
          <w:rStyle w:val="Odwoanieprzypisudolnego"/>
          <w:rFonts w:ascii="Verdana" w:hAnsi="Verdana" w:cs="Verdana"/>
          <w:color w:val="808080"/>
          <w:sz w:val="20"/>
          <w:szCs w:val="20"/>
        </w:rPr>
        <w:footnoteReference w:id="3"/>
      </w:r>
    </w:p>
    <w:p w14:paraId="013DF336" w14:textId="77777777" w:rsidR="005C2432" w:rsidRDefault="004D6CDB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>
        <w:rPr>
          <w:rFonts w:ascii="Verdana" w:hAnsi="Verdana" w:cs="Verdana"/>
          <w:color w:val="0070C0"/>
          <w:sz w:val="20"/>
          <w:szCs w:val="20"/>
        </w:rPr>
        <w:t>Sprawa ta dotyczyła wydalenia przez słowackie służby graniczne i uchod</w:t>
      </w:r>
      <w:r w:rsidR="00C603B2">
        <w:rPr>
          <w:rFonts w:ascii="Verdana" w:hAnsi="Verdana" w:cs="Verdana"/>
          <w:color w:val="0070C0"/>
          <w:sz w:val="20"/>
          <w:szCs w:val="20"/>
        </w:rPr>
        <w:t>ź</w:t>
      </w:r>
      <w:r>
        <w:rPr>
          <w:rFonts w:ascii="Verdana" w:hAnsi="Verdana" w:cs="Verdana"/>
          <w:color w:val="0070C0"/>
          <w:sz w:val="20"/>
          <w:szCs w:val="20"/>
        </w:rPr>
        <w:t>cze 19 obywateli afgańskich na Ukrainę.</w:t>
      </w:r>
    </w:p>
    <w:p w14:paraId="40A80CC6" w14:textId="77777777" w:rsidR="004D6CDB" w:rsidRDefault="004D6CDB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>
        <w:rPr>
          <w:rFonts w:ascii="Verdana" w:hAnsi="Verdana" w:cs="Verdana"/>
          <w:color w:val="0070C0"/>
          <w:sz w:val="20"/>
          <w:szCs w:val="20"/>
        </w:rPr>
        <w:t>Trybunał zbadał jedynie 7 z 19 skarg, skreślając sprawę z listy w stosunku do pozostałych. Trybunał stwierdził, że nie doszło do naruszenia art. 4 Protokołu nr 4 do Konwencji wobec tych siedmiu skarżących</w:t>
      </w:r>
      <w:r w:rsidR="00C603B2">
        <w:rPr>
          <w:rFonts w:ascii="Verdana" w:hAnsi="Verdana" w:cs="Verdana"/>
          <w:color w:val="0070C0"/>
          <w:sz w:val="20"/>
          <w:szCs w:val="20"/>
        </w:rPr>
        <w:t>, uznając, że słowacka policja nie doprowadziła do zbiorowego wydalenia gdy przekazała ich na Ukrainę. Trybunał stwierdził w szczególności, że pomimo krótkiego przesłuchania na komisariacie, otrzymali autentyczną możliwość zwrócenia uwagi władz na każdą kwestię, która mogła wpływać na ich status i prawo do pozostania na Słowacji. Ich wydalenie nie nastąpiło bez zbadania indywidualnych okoliczności sprawy.</w:t>
      </w:r>
    </w:p>
    <w:p w14:paraId="09FEDD94" w14:textId="77777777" w:rsidR="002A4B3D" w:rsidRDefault="002A4B3D" w:rsidP="002A4B3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  <w:bookmarkStart w:id="2" w:name="_Hlk42670842"/>
    </w:p>
    <w:p w14:paraId="118726F3" w14:textId="77777777" w:rsidR="00C603B2" w:rsidRDefault="00C603B2" w:rsidP="002A4B3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  <w:r>
        <w:rPr>
          <w:rFonts w:ascii="Verdana" w:hAnsi="Verdana" w:cs="Verdana"/>
          <w:color w:val="0072BD"/>
          <w:sz w:val="28"/>
          <w:szCs w:val="28"/>
        </w:rPr>
        <w:t>Sprawy, w których Trybunał uznał skargi za niedopuszczalne w świetle art. 4 Protokołu nr 4 do Konwencji</w:t>
      </w:r>
    </w:p>
    <w:bookmarkEnd w:id="2"/>
    <w:p w14:paraId="08EDE3E4" w14:textId="77777777" w:rsidR="00B35105" w:rsidRDefault="00B3510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3366FF"/>
          <w:sz w:val="20"/>
          <w:szCs w:val="20"/>
          <w:u w:val="single"/>
        </w:rPr>
      </w:pPr>
    </w:p>
    <w:p w14:paraId="294C4A5E" w14:textId="77777777" w:rsidR="00BD57E5" w:rsidRPr="00C56CE2" w:rsidRDefault="004607D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C56CE2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 xml:space="preserve">Becker przeciwko Danii </w:t>
      </w:r>
    </w:p>
    <w:p w14:paraId="6ECDB5E3" w14:textId="77777777" w:rsidR="004607DF" w:rsidRPr="000D1C49" w:rsidRDefault="00BD57E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0D1C49">
        <w:rPr>
          <w:rFonts w:ascii="Verdana" w:hAnsi="Verdana" w:cs="Verdana"/>
          <w:color w:val="808080"/>
          <w:sz w:val="20"/>
          <w:szCs w:val="20"/>
        </w:rPr>
        <w:t xml:space="preserve">Decyzja Europejskiej Komisji Praw Człowieka z dnia </w:t>
      </w:r>
      <w:r w:rsidR="004607DF" w:rsidRPr="000D1C49">
        <w:rPr>
          <w:rFonts w:ascii="Verdana" w:hAnsi="Verdana" w:cs="Verdana"/>
          <w:color w:val="808080"/>
          <w:sz w:val="20"/>
          <w:szCs w:val="20"/>
        </w:rPr>
        <w:t>3</w:t>
      </w:r>
      <w:r w:rsidRPr="000D1C49">
        <w:rPr>
          <w:rFonts w:ascii="Verdana" w:hAnsi="Verdana" w:cs="Verdana"/>
          <w:color w:val="808080"/>
          <w:sz w:val="20"/>
          <w:szCs w:val="20"/>
        </w:rPr>
        <w:t xml:space="preserve"> października </w:t>
      </w:r>
      <w:r w:rsidR="004607DF" w:rsidRPr="000D1C49">
        <w:rPr>
          <w:rFonts w:ascii="Verdana" w:hAnsi="Verdana" w:cs="Verdana"/>
          <w:color w:val="808080"/>
          <w:sz w:val="20"/>
          <w:szCs w:val="20"/>
        </w:rPr>
        <w:t>1975</w:t>
      </w:r>
      <w:r w:rsidRPr="000D1C49">
        <w:rPr>
          <w:rFonts w:ascii="Verdana" w:hAnsi="Verdana" w:cs="Verdana"/>
          <w:color w:val="808080"/>
          <w:sz w:val="20"/>
          <w:szCs w:val="20"/>
        </w:rPr>
        <w:t xml:space="preserve"> roku</w:t>
      </w:r>
      <w:r w:rsidRPr="000D1C49">
        <w:rPr>
          <w:rStyle w:val="Odwoanieprzypisudolnego"/>
          <w:rFonts w:ascii="Verdana" w:hAnsi="Verdana" w:cs="Verdana"/>
          <w:color w:val="808080"/>
          <w:sz w:val="20"/>
          <w:szCs w:val="20"/>
        </w:rPr>
        <w:footnoteReference w:id="4"/>
      </w:r>
    </w:p>
    <w:p w14:paraId="64C7B914" w14:textId="77777777" w:rsidR="00010703" w:rsidRDefault="004607D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Skarżący, który był dziennikarzem i prezesem organizacji „</w:t>
      </w:r>
      <w:r w:rsidR="00911E4E">
        <w:rPr>
          <w:rFonts w:ascii="Verdana" w:hAnsi="Verdana" w:cs="Verdana"/>
          <w:sz w:val="20"/>
          <w:szCs w:val="20"/>
        </w:rPr>
        <w:t xml:space="preserve">Plan Ochrony Dzieci i Bezpieczeństwa Międzynarodowego”, twierdził że </w:t>
      </w:r>
      <w:r w:rsidR="00AD565F">
        <w:rPr>
          <w:rFonts w:ascii="Verdana" w:hAnsi="Verdana" w:cs="Verdana"/>
          <w:sz w:val="20"/>
          <w:szCs w:val="20"/>
        </w:rPr>
        <w:t>przekazanie 199 dzieci pochodzenia wietnamskiego, jeśli dojdzie do skutku, stanowić będzie naruszenia art. 4 Protokołu nr 4 do Konwencji.</w:t>
      </w:r>
    </w:p>
    <w:p w14:paraId="5D141898" w14:textId="77777777" w:rsidR="00E154D5" w:rsidRPr="00C56CE2" w:rsidRDefault="00C56CE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C56CE2">
        <w:rPr>
          <w:rFonts w:ascii="Verdana" w:hAnsi="Verdana" w:cs="Verdana"/>
          <w:color w:val="0070C0"/>
          <w:sz w:val="20"/>
          <w:szCs w:val="20"/>
        </w:rPr>
        <w:t>Europejska Komisja Praw Człowieka stwierdziła</w:t>
      </w:r>
      <w:r w:rsidR="00E154D5" w:rsidRPr="00C56CE2">
        <w:rPr>
          <w:rFonts w:ascii="Verdana" w:hAnsi="Verdana" w:cs="Verdana"/>
          <w:color w:val="0070C0"/>
          <w:sz w:val="20"/>
          <w:szCs w:val="20"/>
        </w:rPr>
        <w:t xml:space="preserve"> niedopuszczalność</w:t>
      </w:r>
      <w:r w:rsidRPr="00C56CE2">
        <w:rPr>
          <w:rFonts w:ascii="Verdana" w:hAnsi="Verdana" w:cs="Verdana"/>
          <w:color w:val="0070C0"/>
          <w:sz w:val="20"/>
          <w:szCs w:val="20"/>
        </w:rPr>
        <w:t xml:space="preserve"> (niedopuszczalność ratione materiae).</w:t>
      </w:r>
      <w:r w:rsidR="00E154D5" w:rsidRPr="00C56CE2">
        <w:rPr>
          <w:rFonts w:ascii="Verdana" w:hAnsi="Verdana" w:cs="Verdana"/>
          <w:color w:val="0070C0"/>
          <w:sz w:val="20"/>
          <w:szCs w:val="20"/>
        </w:rPr>
        <w:t xml:space="preserve"> </w:t>
      </w:r>
      <w:r w:rsidR="004C54F7" w:rsidRPr="00C56CE2">
        <w:rPr>
          <w:rFonts w:ascii="Verdana" w:hAnsi="Verdana" w:cs="Verdana"/>
          <w:color w:val="0070C0"/>
          <w:sz w:val="20"/>
          <w:szCs w:val="20"/>
        </w:rPr>
        <w:t>w sprawie przestało występować zagadnienie wydalenia zbiorowego, gdyż</w:t>
      </w:r>
      <w:r w:rsidR="00E154D5" w:rsidRPr="00C56CE2">
        <w:rPr>
          <w:rFonts w:ascii="Verdana" w:hAnsi="Verdana" w:cs="Verdana"/>
          <w:color w:val="0070C0"/>
          <w:sz w:val="20"/>
          <w:szCs w:val="20"/>
        </w:rPr>
        <w:t xml:space="preserve"> Dania zgodziła się do zbadania ka</w:t>
      </w:r>
      <w:r w:rsidR="004C54F7" w:rsidRPr="00C56CE2">
        <w:rPr>
          <w:rFonts w:ascii="Verdana" w:hAnsi="Verdana" w:cs="Verdana"/>
          <w:color w:val="0070C0"/>
          <w:sz w:val="20"/>
          <w:szCs w:val="20"/>
        </w:rPr>
        <w:t>żdego przypadku z osobna, a</w:t>
      </w:r>
      <w:r w:rsidR="00E154D5" w:rsidRPr="00C56CE2">
        <w:rPr>
          <w:rFonts w:ascii="Verdana" w:hAnsi="Verdana" w:cs="Verdana"/>
          <w:color w:val="0070C0"/>
          <w:sz w:val="20"/>
          <w:szCs w:val="20"/>
        </w:rPr>
        <w:t xml:space="preserve"> w interesie niektórych dzieci lepiej było zostać wydalonym niż pozostać na terytorium Danii</w:t>
      </w:r>
      <w:r w:rsidR="004C54F7" w:rsidRPr="00C56CE2">
        <w:rPr>
          <w:rFonts w:ascii="Verdana" w:hAnsi="Verdana" w:cs="Verdana"/>
          <w:color w:val="0070C0"/>
          <w:sz w:val="20"/>
          <w:szCs w:val="20"/>
        </w:rPr>
        <w:t>.</w:t>
      </w:r>
    </w:p>
    <w:p w14:paraId="6700615F" w14:textId="77777777" w:rsidR="004C54F7" w:rsidRDefault="004C54F7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14A477C5" w14:textId="77777777" w:rsidR="007B27CD" w:rsidRPr="00CE7A24" w:rsidRDefault="00C56CE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CE7A24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Andric p. Szwecji</w:t>
      </w:r>
    </w:p>
    <w:p w14:paraId="04937685" w14:textId="77777777" w:rsidR="00C56CE2" w:rsidRPr="000D1C49" w:rsidRDefault="00C56CE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0D1C49">
        <w:rPr>
          <w:rFonts w:ascii="Verdana" w:hAnsi="Verdana" w:cs="Verdana"/>
          <w:color w:val="808080"/>
          <w:sz w:val="20"/>
          <w:szCs w:val="20"/>
        </w:rPr>
        <w:t>Decyzja Izby z dnia 23 lutego 1999 roku</w:t>
      </w:r>
    </w:p>
    <w:p w14:paraId="28367767" w14:textId="77777777" w:rsidR="00C56CE2" w:rsidRDefault="00C56CE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Ta sprawa dotyczy wydalenia do Chorwacji i Bośni</w:t>
      </w:r>
      <w:r w:rsidR="002A4B3D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Hercegowiny etnicznych Chorwatów z Bośni</w:t>
      </w:r>
      <w:r w:rsidR="002A4B3D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Hercegowiny, którzy posiadali zarówno obywatelstwo chorwackie, jak i bośniackie.</w:t>
      </w:r>
    </w:p>
    <w:p w14:paraId="4C8F6EE7" w14:textId="77777777" w:rsidR="00046DFE" w:rsidRDefault="00046DFE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Poprosili oni o azyl w Szwecji po tym, jak uciekli z Bośni</w:t>
      </w:r>
      <w:r w:rsidR="002A4B3D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Hercegowiny, jednak służby graniczne zdecydowały o ich deportacji do Chorwacji po odrzuceniu ich wniosków azylowych. Skarżący zarzucili naruszenie art. 3 Konwencji (zakaz nieludzkiego lub poniżającego traktowania), oraz art. 4 Protokołu nr 4 do Konwencji.</w:t>
      </w:r>
    </w:p>
    <w:p w14:paraId="359E6E82" w14:textId="77777777" w:rsidR="00046DFE" w:rsidRPr="000B019E" w:rsidRDefault="00046DFE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0B019E">
        <w:rPr>
          <w:rFonts w:ascii="Verdana" w:hAnsi="Verdana" w:cs="Verdana"/>
          <w:color w:val="0070C0"/>
          <w:sz w:val="20"/>
          <w:szCs w:val="20"/>
        </w:rPr>
        <w:t xml:space="preserve">Trybunał </w:t>
      </w:r>
      <w:r w:rsidRPr="000B019E">
        <w:rPr>
          <w:rFonts w:ascii="Verdana" w:hAnsi="Verdana" w:cs="Verdana"/>
          <w:b/>
          <w:bCs/>
          <w:color w:val="0070C0"/>
          <w:sz w:val="20"/>
          <w:szCs w:val="20"/>
        </w:rPr>
        <w:t>stwierdził niedopuszczalność skargi w zakresie art. 4 Protokołu nr 4</w:t>
      </w:r>
      <w:r w:rsidRPr="000B019E">
        <w:rPr>
          <w:rFonts w:ascii="Verdana" w:hAnsi="Verdana" w:cs="Verdana"/>
          <w:color w:val="0070C0"/>
          <w:sz w:val="20"/>
          <w:szCs w:val="20"/>
        </w:rPr>
        <w:t xml:space="preserve"> do Konwencji </w:t>
      </w:r>
      <w:r w:rsidRPr="000B019E">
        <w:rPr>
          <w:rFonts w:ascii="Verdana" w:hAnsi="Verdana" w:cs="Verdana"/>
          <w:b/>
          <w:bCs/>
          <w:color w:val="0070C0"/>
          <w:sz w:val="20"/>
          <w:szCs w:val="20"/>
        </w:rPr>
        <w:t>jako oczywiście bezzasadnej</w:t>
      </w:r>
      <w:r w:rsidRPr="000B019E">
        <w:rPr>
          <w:rFonts w:ascii="Verdana" w:hAnsi="Verdana" w:cs="Verdana"/>
          <w:color w:val="0070C0"/>
          <w:sz w:val="20"/>
          <w:szCs w:val="20"/>
        </w:rPr>
        <w:t xml:space="preserve">. Trybunał zauważył, że fakt otrzymania przez grupę </w:t>
      </w:r>
      <w:r w:rsidR="00CE7A24">
        <w:rPr>
          <w:rFonts w:ascii="Verdana" w:hAnsi="Verdana" w:cs="Verdana"/>
          <w:color w:val="0070C0"/>
          <w:sz w:val="20"/>
          <w:szCs w:val="20"/>
        </w:rPr>
        <w:t>cudzoziemców</w:t>
      </w:r>
      <w:r w:rsidRPr="000B019E">
        <w:rPr>
          <w:rFonts w:ascii="Verdana" w:hAnsi="Verdana" w:cs="Verdana"/>
          <w:color w:val="0070C0"/>
          <w:sz w:val="20"/>
          <w:szCs w:val="20"/>
        </w:rPr>
        <w:t xml:space="preserve"> podobnych decyzji nie powinien prowadzić do wniosku, że doszło do zbiorowego wydalenia w sytuacji, gdy każda z tych osób miała możliwość podniesienia zarzutów przeciwko wydaleniu</w:t>
      </w:r>
      <w:r w:rsidR="000B019E" w:rsidRPr="000B019E">
        <w:rPr>
          <w:rFonts w:ascii="Verdana" w:hAnsi="Verdana" w:cs="Verdana"/>
          <w:color w:val="0070C0"/>
          <w:sz w:val="20"/>
          <w:szCs w:val="20"/>
        </w:rPr>
        <w:t xml:space="preserve"> przed właściwymi władzami</w:t>
      </w:r>
      <w:r w:rsidRPr="000B019E">
        <w:rPr>
          <w:rFonts w:ascii="Verdana" w:hAnsi="Verdana" w:cs="Verdana"/>
          <w:color w:val="0070C0"/>
          <w:sz w:val="20"/>
          <w:szCs w:val="20"/>
        </w:rPr>
        <w:t>,</w:t>
      </w:r>
      <w:r w:rsidR="000B019E" w:rsidRPr="000B019E">
        <w:rPr>
          <w:rFonts w:ascii="Verdana" w:hAnsi="Verdana" w:cs="Verdana"/>
          <w:color w:val="0070C0"/>
          <w:sz w:val="20"/>
          <w:szCs w:val="20"/>
        </w:rPr>
        <w:t xml:space="preserve"> które </w:t>
      </w:r>
      <w:r w:rsidRPr="000B019E">
        <w:rPr>
          <w:rFonts w:ascii="Verdana" w:hAnsi="Verdana" w:cs="Verdana"/>
          <w:color w:val="0070C0"/>
          <w:sz w:val="20"/>
          <w:szCs w:val="20"/>
        </w:rPr>
        <w:t>opart</w:t>
      </w:r>
      <w:r w:rsidR="000B019E" w:rsidRPr="000B019E">
        <w:rPr>
          <w:rFonts w:ascii="Verdana" w:hAnsi="Verdana" w:cs="Verdana"/>
          <w:color w:val="0070C0"/>
          <w:sz w:val="20"/>
          <w:szCs w:val="20"/>
        </w:rPr>
        <w:t>e były</w:t>
      </w:r>
      <w:r w:rsidRPr="000B019E">
        <w:rPr>
          <w:rFonts w:ascii="Verdana" w:hAnsi="Verdana" w:cs="Verdana"/>
          <w:color w:val="0070C0"/>
          <w:sz w:val="20"/>
          <w:szCs w:val="20"/>
        </w:rPr>
        <w:t xml:space="preserve"> na indywidualnych podstawach.</w:t>
      </w:r>
      <w:r w:rsidR="000B019E" w:rsidRPr="000B019E">
        <w:rPr>
          <w:rFonts w:ascii="Verdana" w:hAnsi="Verdana" w:cs="Verdana"/>
          <w:color w:val="0070C0"/>
          <w:sz w:val="20"/>
          <w:szCs w:val="20"/>
        </w:rPr>
        <w:t xml:space="preserve"> W tej sprawie każdy ze skarżących złożył indywidualny wniosek do władz imigracyjnych i mógł przedstawić zarzutu przeciwko deportacji do Chorwacji. Jednocześnie władze brały pod uwagę nie tylko okoliczności wspólne, ale także sytuację każdego ze skarżących, a także niebezpieczeństwa rzekomo ich dotyczące w przypadku ich wydalenia. Co więcej, oddalając wnioski azylowe, władze wydały indywidualne decyzje odnoszące się do sytuacji każdego z nich.</w:t>
      </w:r>
    </w:p>
    <w:p w14:paraId="1A023BDC" w14:textId="77777777" w:rsidR="000B019E" w:rsidRDefault="000B019E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0B019E">
        <w:rPr>
          <w:rFonts w:ascii="Verdana" w:hAnsi="Verdana" w:cs="Verdana"/>
          <w:color w:val="0070C0"/>
          <w:sz w:val="20"/>
          <w:szCs w:val="20"/>
        </w:rPr>
        <w:lastRenderedPageBreak/>
        <w:t xml:space="preserve">Trybunał </w:t>
      </w:r>
      <w:r w:rsidRPr="000B019E">
        <w:rPr>
          <w:rFonts w:ascii="Verdana" w:hAnsi="Verdana" w:cs="Verdana"/>
          <w:b/>
          <w:bCs/>
          <w:color w:val="0070C0"/>
          <w:sz w:val="20"/>
          <w:szCs w:val="20"/>
        </w:rPr>
        <w:t>uznał także za niedopuszczalną</w:t>
      </w:r>
      <w:r w:rsidRPr="000B019E">
        <w:rPr>
          <w:rFonts w:ascii="Verdana" w:hAnsi="Verdana" w:cs="Verdana"/>
          <w:color w:val="0070C0"/>
          <w:sz w:val="20"/>
          <w:szCs w:val="20"/>
        </w:rPr>
        <w:t xml:space="preserve"> skargę z art. </w:t>
      </w:r>
      <w:r w:rsidRPr="000B019E">
        <w:rPr>
          <w:rFonts w:ascii="Verdana" w:hAnsi="Verdana" w:cs="Verdana"/>
          <w:b/>
          <w:bCs/>
          <w:color w:val="0070C0"/>
          <w:sz w:val="20"/>
          <w:szCs w:val="20"/>
        </w:rPr>
        <w:t>3 Konwencji</w:t>
      </w:r>
      <w:r w:rsidRPr="000B019E">
        <w:rPr>
          <w:rFonts w:ascii="Verdana" w:hAnsi="Verdana" w:cs="Verdana"/>
          <w:color w:val="0070C0"/>
          <w:sz w:val="20"/>
          <w:szCs w:val="20"/>
        </w:rPr>
        <w:t>.</w:t>
      </w:r>
    </w:p>
    <w:p w14:paraId="62BF1719" w14:textId="77777777" w:rsidR="00CE7A24" w:rsidRDefault="00CE7A24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57E6126A" w14:textId="77777777" w:rsidR="00CE7A24" w:rsidRPr="00CE7A24" w:rsidRDefault="00CE7A24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CE7A24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Berisha i Haljiti p</w:t>
      </w:r>
      <w:r w:rsidR="00F175B8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rzeciwko</w:t>
      </w:r>
      <w:r w:rsidRPr="00CE7A24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 xml:space="preserve"> Byłej Jugosłowiańskiej Republice Mołdawii</w:t>
      </w:r>
    </w:p>
    <w:p w14:paraId="305D61C6" w14:textId="77777777" w:rsidR="00CE7A24" w:rsidRPr="00261095" w:rsidRDefault="00CE7A24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261095">
        <w:rPr>
          <w:rFonts w:ascii="Verdana" w:hAnsi="Verdana" w:cs="Verdana"/>
          <w:color w:val="808080"/>
          <w:sz w:val="20"/>
          <w:szCs w:val="20"/>
        </w:rPr>
        <w:t>Decyzja Izby o dopuszczalności z dnia 16 czerwca 2005 roku</w:t>
      </w:r>
    </w:p>
    <w:p w14:paraId="097CA6AD" w14:textId="77777777" w:rsidR="00CE7A24" w:rsidRPr="008F1EAF" w:rsidRDefault="00CE7A24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8F1EAF">
        <w:rPr>
          <w:rFonts w:ascii="Verdana" w:hAnsi="Verdana" w:cs="Verdana"/>
          <w:sz w:val="20"/>
          <w:szCs w:val="20"/>
        </w:rPr>
        <w:t xml:space="preserve">Skarżący są małżeństwem o obywatelami Serbii oraz Montenegro z prowincji Kosowo. Są pochodzenia romskiego. Podnieśli, że codziennie byli nękani przez Albańczyków z ich własnej wioski i zmuszani przez członków Kosowskiej Armii Wyzwolenia  i innych mieszkańców wsi do opuszczenia domu. Podnieśli, że były podmiotem wydalenia zbiorowego, sprzecznego z art. 4 Protokołu nr 4 do Konwencji (zakaz wydaleń zbiorowych cudzoziemców), gdyż władze </w:t>
      </w:r>
      <w:r w:rsidR="008F1EAF" w:rsidRPr="008F1EAF">
        <w:rPr>
          <w:rFonts w:ascii="Verdana" w:hAnsi="Verdana" w:cs="Verdana"/>
          <w:sz w:val="20"/>
          <w:szCs w:val="20"/>
        </w:rPr>
        <w:t>wydały jedną decyzję dotyczącą obojga z nich bez przeprowadzenia rozsądnego i obiektywnego zbadania szczególnych okoliczności ich dotyczących.</w:t>
      </w:r>
    </w:p>
    <w:p w14:paraId="0E12E1BD" w14:textId="77777777" w:rsidR="008F1EAF" w:rsidRDefault="008F1EA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>
        <w:rPr>
          <w:rFonts w:ascii="Verdana" w:hAnsi="Verdana" w:cs="Verdana"/>
          <w:color w:val="0070C0"/>
          <w:sz w:val="20"/>
          <w:szCs w:val="20"/>
        </w:rPr>
        <w:t xml:space="preserve">Trybunał </w:t>
      </w:r>
      <w:r w:rsidRPr="008F1EAF">
        <w:rPr>
          <w:rFonts w:ascii="Verdana" w:hAnsi="Verdana" w:cs="Verdana"/>
          <w:b/>
          <w:bCs/>
          <w:color w:val="0070C0"/>
          <w:sz w:val="20"/>
          <w:szCs w:val="20"/>
        </w:rPr>
        <w:t>uznał skargę za niedopuszczalną</w:t>
      </w:r>
      <w:r>
        <w:rPr>
          <w:rFonts w:ascii="Verdana" w:hAnsi="Verdana" w:cs="Verdana"/>
          <w:color w:val="0070C0"/>
          <w:sz w:val="20"/>
          <w:szCs w:val="20"/>
        </w:rPr>
        <w:t xml:space="preserve"> w związku z jej oczywistą bezzasadnością. Sam fakt, że władze wydały jedną decyzję dla obojga z nich jako małżonków, był konsekwencją ich własnego zachowania: przybyli razem do Byłej Jugosłowiańskiej Republiki Macedonii, wspólnie złożyli wniosek o azyl, przedstawili te same dowody i złożyli wspólne odwołanie. W tych okolicznościach deportacja skarżących nie ujawniała  cech wydalenia zbiorowego.</w:t>
      </w:r>
    </w:p>
    <w:p w14:paraId="056ACD8E" w14:textId="77777777" w:rsidR="008F1EAF" w:rsidRDefault="008F1EA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6D5C7568" w14:textId="77777777" w:rsidR="008F1EAF" w:rsidRPr="00F175B8" w:rsidRDefault="008F1EA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F175B8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Dristat i Inni p</w:t>
      </w:r>
      <w:r w:rsidR="00F175B8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rzeciwko</w:t>
      </w:r>
      <w:r w:rsidRPr="00F175B8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 xml:space="preserve"> Włochom</w:t>
      </w:r>
    </w:p>
    <w:p w14:paraId="0F111929" w14:textId="77777777" w:rsidR="008F1EAF" w:rsidRPr="00261095" w:rsidRDefault="008F1EA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261095">
        <w:rPr>
          <w:rFonts w:ascii="Verdana" w:hAnsi="Verdana" w:cs="Verdana"/>
          <w:color w:val="808080"/>
          <w:sz w:val="20"/>
          <w:szCs w:val="20"/>
        </w:rPr>
        <w:t>Decyzja Izby o dopuszczalności z dnia 1 lutego 2011 roku</w:t>
      </w:r>
    </w:p>
    <w:p w14:paraId="1DFEEF78" w14:textId="77777777" w:rsidR="004F7BD6" w:rsidRPr="00261095" w:rsidRDefault="008F1EA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261095">
        <w:rPr>
          <w:rFonts w:ascii="Verdana" w:hAnsi="Verdana" w:cs="Verdana"/>
          <w:color w:val="000000"/>
          <w:sz w:val="20"/>
          <w:szCs w:val="20"/>
        </w:rPr>
        <w:t xml:space="preserve">W lipcu 2011 roku </w:t>
      </w:r>
      <w:r w:rsidR="007C4F54" w:rsidRPr="00261095">
        <w:rPr>
          <w:rFonts w:ascii="Verdana" w:hAnsi="Verdana" w:cs="Verdana"/>
          <w:color w:val="000000"/>
          <w:sz w:val="20"/>
          <w:szCs w:val="20"/>
        </w:rPr>
        <w:t>46 skarżących, wszyscy pochodzenia greckiego, wsiadło na statek w Patras, kierujący się do Ancony i dalej Genui, wraz z grupą innych 800 greckich obywateli należących do greckiego komitetu protestacyjnego anty-G8, w celu uczestnictwa w protestach przeciwko szczytowi grupy G-8. Twierdzili w szczególności, że zostali aresztowani przez policję po przybyciu do Ankony i ostatecznie zmuszeni do powrotu do Patras. Powołując się na art. 4 Protokołu nr 4 do Konwencji (zakaz zbiorowych wydaleń cudzoziemców) w szczególności zarzucali, że ich deportacja skutkowała wydaleniem zbiorowym</w:t>
      </w:r>
      <w:r w:rsidR="004F7BD6" w:rsidRPr="00261095">
        <w:rPr>
          <w:rFonts w:ascii="Verdana" w:hAnsi="Verdana" w:cs="Verdana"/>
          <w:color w:val="000000"/>
          <w:sz w:val="20"/>
          <w:szCs w:val="20"/>
        </w:rPr>
        <w:t>, jako że nie wydano i nie doręczono im żadnych formalnych decyzji.</w:t>
      </w:r>
    </w:p>
    <w:p w14:paraId="5835A390" w14:textId="77777777" w:rsidR="009C3424" w:rsidRDefault="004F7BD6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>
        <w:rPr>
          <w:rFonts w:ascii="Verdana" w:hAnsi="Verdana" w:cs="Verdana"/>
          <w:color w:val="0070C0"/>
          <w:sz w:val="20"/>
          <w:szCs w:val="20"/>
        </w:rPr>
        <w:t xml:space="preserve">Mając na uwadze treść </w:t>
      </w:r>
      <w:r w:rsidRPr="009C3424">
        <w:rPr>
          <w:rFonts w:ascii="Verdana" w:hAnsi="Verdana" w:cs="Verdana"/>
          <w:b/>
          <w:bCs/>
          <w:color w:val="0070C0"/>
          <w:sz w:val="20"/>
          <w:szCs w:val="20"/>
        </w:rPr>
        <w:t>art. 4 Protokołu nr 4 do Konwencji</w:t>
      </w:r>
      <w:r>
        <w:rPr>
          <w:rFonts w:ascii="Verdana" w:hAnsi="Verdana" w:cs="Verdana"/>
          <w:color w:val="0070C0"/>
          <w:sz w:val="20"/>
          <w:szCs w:val="20"/>
        </w:rPr>
        <w:t xml:space="preserve"> Trybunał </w:t>
      </w:r>
      <w:r w:rsidRPr="009C3424">
        <w:rPr>
          <w:rFonts w:ascii="Verdana" w:hAnsi="Verdana" w:cs="Verdana"/>
          <w:b/>
          <w:bCs/>
          <w:color w:val="0070C0"/>
          <w:sz w:val="20"/>
          <w:szCs w:val="20"/>
        </w:rPr>
        <w:t>stwierdził niedopuszczalność skargi</w:t>
      </w:r>
      <w:r>
        <w:rPr>
          <w:rFonts w:ascii="Verdana" w:hAnsi="Verdana" w:cs="Verdana"/>
          <w:color w:val="0070C0"/>
          <w:sz w:val="20"/>
          <w:szCs w:val="20"/>
        </w:rPr>
        <w:t xml:space="preserve"> jako oczywiście bezzasadnej. Nawet gdyby przyjąć, że skarżący niezwłocznie okazali swoje dokumenty policji, inni uczestnicy tej grupy manifestantów dwukrotnie odmówili wykonania tej czynności. Poproszono ich o okazanie tych dokumentów z myślą o przygotowaniu nakazów wydalenia tych osób, zgodnie z wytycznymi dla policji od Ministra Spraw Wewnętrznych. W tych okolicznościach, pozwany Rząd </w:t>
      </w:r>
      <w:r w:rsidR="009C3424">
        <w:rPr>
          <w:rFonts w:ascii="Verdana" w:hAnsi="Verdana" w:cs="Verdana"/>
          <w:color w:val="0070C0"/>
          <w:sz w:val="20"/>
          <w:szCs w:val="20"/>
        </w:rPr>
        <w:t>nie może w jakimkolwiek zakresie być odpowiedzialnym za to, że nie wydano indywidualnych nakazów wydalenia skarżących.</w:t>
      </w:r>
    </w:p>
    <w:p w14:paraId="1CD0A468" w14:textId="77777777" w:rsidR="008F1EAF" w:rsidRPr="000B019E" w:rsidRDefault="009C3424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>
        <w:rPr>
          <w:rFonts w:ascii="Verdana" w:hAnsi="Verdana" w:cs="Verdana"/>
          <w:color w:val="0070C0"/>
          <w:sz w:val="20"/>
          <w:szCs w:val="20"/>
        </w:rPr>
        <w:t xml:space="preserve">Trybunał </w:t>
      </w:r>
      <w:r w:rsidRPr="009C3424">
        <w:rPr>
          <w:rFonts w:ascii="Verdana" w:hAnsi="Verdana" w:cs="Verdana"/>
          <w:b/>
          <w:bCs/>
          <w:color w:val="0070C0"/>
          <w:sz w:val="20"/>
          <w:szCs w:val="20"/>
        </w:rPr>
        <w:t>uznał także pozostałe skargi za niedopuszczalne</w:t>
      </w:r>
      <w:r>
        <w:rPr>
          <w:rFonts w:ascii="Verdana" w:hAnsi="Verdana" w:cs="Verdana"/>
          <w:color w:val="0070C0"/>
          <w:sz w:val="20"/>
          <w:szCs w:val="20"/>
        </w:rPr>
        <w:t>.</w:t>
      </w:r>
      <w:r w:rsidR="004F7BD6">
        <w:rPr>
          <w:rFonts w:ascii="Verdana" w:hAnsi="Verdana" w:cs="Verdana"/>
          <w:color w:val="0070C0"/>
          <w:sz w:val="20"/>
          <w:szCs w:val="20"/>
        </w:rPr>
        <w:t xml:space="preserve">  </w:t>
      </w:r>
    </w:p>
    <w:p w14:paraId="0B3FDC23" w14:textId="77777777" w:rsidR="00C56CE2" w:rsidRPr="000B019E" w:rsidRDefault="00C56CE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2BECE097" w14:textId="77777777" w:rsidR="00C56CE2" w:rsidRPr="009C335F" w:rsidRDefault="00662976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i/>
          <w:iCs/>
          <w:color w:val="808080"/>
          <w:sz w:val="20"/>
          <w:szCs w:val="20"/>
        </w:rPr>
        <w:t>Zob. także</w:t>
      </w:r>
      <w:r w:rsidRPr="009C335F">
        <w:rPr>
          <w:rFonts w:ascii="Verdana" w:hAnsi="Verdana" w:cs="Verdana"/>
          <w:color w:val="808080"/>
          <w:sz w:val="20"/>
          <w:szCs w:val="20"/>
        </w:rPr>
        <w:t xml:space="preserve">, nowsze: </w:t>
      </w:r>
      <w:r w:rsidRPr="00662976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Abdi Ahmed i Inni p. Malcie</w:t>
      </w:r>
      <w:r w:rsidRPr="009C335F">
        <w:rPr>
          <w:rFonts w:ascii="Verdana" w:hAnsi="Verdana" w:cs="Verdana"/>
          <w:color w:val="808080"/>
          <w:sz w:val="20"/>
          <w:szCs w:val="20"/>
        </w:rPr>
        <w:t>, decyzja Izby o dopuszczalności z dnia 16 września 2014 roku.</w:t>
      </w:r>
    </w:p>
    <w:p w14:paraId="3970CB56" w14:textId="77777777" w:rsidR="00C56CE2" w:rsidRDefault="00C56CE2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37356AD9" w14:textId="77777777" w:rsidR="00662976" w:rsidRDefault="00662976" w:rsidP="002A4B3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  <w:r>
        <w:rPr>
          <w:rFonts w:ascii="Verdana" w:hAnsi="Verdana" w:cs="Verdana"/>
          <w:color w:val="0072BD"/>
          <w:sz w:val="28"/>
          <w:szCs w:val="28"/>
        </w:rPr>
        <w:t xml:space="preserve">Sprawy dotyczące art. 4 Protokołu nr 4 </w:t>
      </w:r>
      <w:r w:rsidR="000A6F2F">
        <w:rPr>
          <w:rFonts w:ascii="Verdana" w:hAnsi="Verdana" w:cs="Verdana"/>
          <w:color w:val="0072BD"/>
          <w:sz w:val="28"/>
          <w:szCs w:val="28"/>
        </w:rPr>
        <w:t>skreślone z listy Trybunału</w:t>
      </w:r>
    </w:p>
    <w:p w14:paraId="1750E10C" w14:textId="77777777" w:rsidR="00662976" w:rsidRPr="000D1C49" w:rsidRDefault="00662976" w:rsidP="002A4B3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8"/>
          <w:szCs w:val="28"/>
        </w:rPr>
      </w:pPr>
    </w:p>
    <w:p w14:paraId="14D65783" w14:textId="77777777" w:rsidR="00662976" w:rsidRPr="000D1C49" w:rsidRDefault="00662976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</w:p>
    <w:p w14:paraId="7DE8015F" w14:textId="77777777" w:rsidR="00662976" w:rsidRPr="008F026F" w:rsidRDefault="000A6F2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8F026F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Hussun i Inni p</w:t>
      </w:r>
      <w:r w:rsidR="00F175B8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rzeciwko</w:t>
      </w:r>
      <w:r w:rsidRPr="008F026F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 xml:space="preserve"> Włochom</w:t>
      </w:r>
    </w:p>
    <w:p w14:paraId="48898FF9" w14:textId="77777777" w:rsidR="000A6F2F" w:rsidRPr="009C335F" w:rsidRDefault="000A6F2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Skreślenie z listy przez Izbę w dniu 19 stycznia 2010 roku</w:t>
      </w:r>
    </w:p>
    <w:p w14:paraId="6065240A" w14:textId="77777777" w:rsidR="00CC098A" w:rsidRDefault="000A6F2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2005 roku 84 skarżący, którzy oświadczyli, że należą do grupy 1200 nielegalnych imigrantów, przybyli do Włoch na łodziach płynących z Libii i zostali umieszczeni w tymczasowych ośrodkach dla uchodźców. Nakazy wydalenia zostały wydane do niektórych z nich. Niektórzy zostali zwolnieni </w:t>
      </w:r>
      <w:r w:rsidR="00CC098A">
        <w:rPr>
          <w:rFonts w:ascii="Verdana" w:hAnsi="Verdana" w:cs="Verdana"/>
          <w:sz w:val="20"/>
          <w:szCs w:val="20"/>
        </w:rPr>
        <w:t xml:space="preserve">w związku z upływem maksymalnego terminu osadzenia.; inni zostali deportowani. Opierając się w szczególności na art. 4 </w:t>
      </w:r>
      <w:r w:rsidR="00CC098A">
        <w:rPr>
          <w:rFonts w:ascii="Verdana" w:hAnsi="Verdana" w:cs="Verdana"/>
          <w:sz w:val="20"/>
          <w:szCs w:val="20"/>
        </w:rPr>
        <w:lastRenderedPageBreak/>
        <w:t>Protokołu nr 4 do Konwencji (zakaz wydaleń zbiorowych obcokrajowców) skarżący zaskarżyli wydalenie jako zbiorowe.</w:t>
      </w:r>
    </w:p>
    <w:p w14:paraId="232472A5" w14:textId="77777777" w:rsidR="000A6F2F" w:rsidRPr="008F026F" w:rsidRDefault="00CC098A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8F026F">
        <w:rPr>
          <w:rFonts w:ascii="Verdana" w:hAnsi="Verdana" w:cs="Verdana"/>
          <w:color w:val="0070C0"/>
          <w:sz w:val="20"/>
          <w:szCs w:val="20"/>
        </w:rPr>
        <w:t xml:space="preserve">W </w:t>
      </w:r>
      <w:r w:rsidRPr="008F026F">
        <w:rPr>
          <w:rFonts w:ascii="Verdana" w:hAnsi="Verdana" w:cs="Verdana"/>
          <w:color w:val="0070C0"/>
          <w:sz w:val="20"/>
          <w:szCs w:val="20"/>
          <w:u w:val="single"/>
        </w:rPr>
        <w:t>decyzji o dopuszczalności</w:t>
      </w:r>
      <w:r w:rsidRPr="008F026F">
        <w:rPr>
          <w:rFonts w:ascii="Verdana" w:hAnsi="Verdana" w:cs="Verdana"/>
          <w:color w:val="0070C0"/>
          <w:sz w:val="20"/>
          <w:szCs w:val="20"/>
        </w:rPr>
        <w:t xml:space="preserve"> z dnia 11 maja 2006 roku Trybunał odroczył rozpoznanie sprawy 57 skarżących, których los był nieznany i uznał za dopuszczalne w zakresie art. 2, art. 3, art. 13 i 34 skargi 14 wydalonych skarżących oraz w zakresie art. 34 Konwencji 13 skarżących, którzy zostali zwolnieni.</w:t>
      </w:r>
    </w:p>
    <w:p w14:paraId="484EE3B5" w14:textId="77777777" w:rsidR="00C56CE2" w:rsidRDefault="00E6061A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8F026F">
        <w:rPr>
          <w:rFonts w:ascii="Verdana" w:hAnsi="Verdana" w:cs="Verdana"/>
          <w:color w:val="0070C0"/>
          <w:sz w:val="20"/>
          <w:szCs w:val="20"/>
        </w:rPr>
        <w:t xml:space="preserve">W </w:t>
      </w:r>
      <w:r w:rsidRPr="00F175B8">
        <w:rPr>
          <w:rFonts w:ascii="Verdana" w:hAnsi="Verdana" w:cs="Verdana"/>
          <w:color w:val="0070C0"/>
          <w:sz w:val="20"/>
          <w:szCs w:val="20"/>
          <w:u w:val="single"/>
        </w:rPr>
        <w:t>orzeczeniu</w:t>
      </w:r>
      <w:r w:rsidRPr="008F026F">
        <w:rPr>
          <w:rFonts w:ascii="Verdana" w:hAnsi="Verdana" w:cs="Verdana"/>
          <w:color w:val="0070C0"/>
          <w:sz w:val="20"/>
          <w:szCs w:val="20"/>
        </w:rPr>
        <w:t xml:space="preserve"> z dnia 19 stycznia 2010 roku, dotyczącym zarzutów skarżących z </w:t>
      </w:r>
      <w:r w:rsidRPr="008F026F">
        <w:rPr>
          <w:rFonts w:ascii="Verdana" w:hAnsi="Verdana" w:cs="Verdana"/>
          <w:b/>
          <w:bCs/>
          <w:color w:val="0070C0"/>
          <w:sz w:val="20"/>
          <w:szCs w:val="20"/>
        </w:rPr>
        <w:t>art. 2 Konwencji</w:t>
      </w:r>
      <w:r w:rsidRPr="008F026F">
        <w:rPr>
          <w:rFonts w:ascii="Verdana" w:hAnsi="Verdana" w:cs="Verdana"/>
          <w:color w:val="0070C0"/>
          <w:sz w:val="20"/>
          <w:szCs w:val="20"/>
        </w:rPr>
        <w:t xml:space="preserve"> (Prawo do życia), </w:t>
      </w:r>
      <w:r w:rsidRPr="008F026F">
        <w:rPr>
          <w:rFonts w:ascii="Verdana" w:hAnsi="Verdana" w:cs="Verdana"/>
          <w:b/>
          <w:bCs/>
          <w:color w:val="0070C0"/>
          <w:sz w:val="20"/>
          <w:szCs w:val="20"/>
        </w:rPr>
        <w:t>art. 3 Konwencji</w:t>
      </w:r>
      <w:r w:rsidRPr="008F026F">
        <w:rPr>
          <w:rFonts w:ascii="Verdana" w:hAnsi="Verdana" w:cs="Verdana"/>
          <w:color w:val="0070C0"/>
          <w:sz w:val="20"/>
          <w:szCs w:val="20"/>
        </w:rPr>
        <w:t xml:space="preserve"> (zakaz nieludzkiego lub poniżającego traktowania), </w:t>
      </w:r>
      <w:r w:rsidRPr="008F026F">
        <w:rPr>
          <w:rFonts w:ascii="Verdana" w:hAnsi="Verdana" w:cs="Verdana"/>
          <w:b/>
          <w:bCs/>
          <w:color w:val="0070C0"/>
          <w:sz w:val="20"/>
          <w:szCs w:val="20"/>
        </w:rPr>
        <w:t>art. 13 Konwencji</w:t>
      </w:r>
      <w:r w:rsidRPr="008F026F">
        <w:rPr>
          <w:rFonts w:ascii="Verdana" w:hAnsi="Verdana" w:cs="Verdana"/>
          <w:color w:val="0070C0"/>
          <w:sz w:val="20"/>
          <w:szCs w:val="20"/>
        </w:rPr>
        <w:t xml:space="preserve"> (prawo do skutecznego środka odwoławczego) i </w:t>
      </w:r>
      <w:r w:rsidRPr="008F026F">
        <w:rPr>
          <w:rFonts w:ascii="Verdana" w:hAnsi="Verdana" w:cs="Verdana"/>
          <w:b/>
          <w:bCs/>
          <w:color w:val="0070C0"/>
          <w:sz w:val="20"/>
          <w:szCs w:val="20"/>
        </w:rPr>
        <w:t>art. 4 Protokołu nr 4 do Konwencji</w:t>
      </w:r>
      <w:r w:rsidR="00DC5F13" w:rsidRPr="008F026F">
        <w:rPr>
          <w:rFonts w:ascii="Verdana" w:hAnsi="Verdana" w:cs="Verdana"/>
          <w:color w:val="0070C0"/>
          <w:sz w:val="20"/>
          <w:szCs w:val="20"/>
        </w:rPr>
        <w:t xml:space="preserve">, w zakresie dotyczącym 14 skarżących wydalonych do Libii Trybunał zauważył, że właściwy sąd rejonowy, po przeprowadzeniu posiedzenia w obecności obrońców i tłumaczy, wydał wobec każdego z nich indywidualny nakaz deportacji. Trybunał stwierdził dalej, że ważność pełnomocnictw w zakresie niektórych skarżących pozwalała wzbudzać wątpliwości. Jeśli chodzi o grupę 57 skarżących, których los był nieznany, z których niektórzy zbiegli przed marcem 2005 roku, Trybunał stwierdził, że według opinii grafologa większość pełnomocnictw </w:t>
      </w:r>
      <w:r w:rsidR="0088566E" w:rsidRPr="008F026F">
        <w:rPr>
          <w:rFonts w:ascii="Verdana" w:hAnsi="Verdana" w:cs="Verdana"/>
          <w:color w:val="0070C0"/>
          <w:sz w:val="20"/>
          <w:szCs w:val="20"/>
        </w:rPr>
        <w:t xml:space="preserve">została wypełniona i podpisana przez jedną osobę. W każdym razie pełnomocnicy stracili kontakt ze wszystkimi tymi skarżącymi, dlatego też Trybunał nie mógł pozyskać informacji o ich szczególnej sytuacji. W świetle tych okoliczności Trybunał uznał, że </w:t>
      </w:r>
      <w:r w:rsidR="0088566E" w:rsidRPr="00A87B81">
        <w:rPr>
          <w:rFonts w:ascii="Verdana" w:hAnsi="Verdana" w:cs="Verdana"/>
          <w:b/>
          <w:bCs/>
          <w:color w:val="0070C0"/>
          <w:sz w:val="20"/>
          <w:szCs w:val="20"/>
        </w:rPr>
        <w:t>nie było zasadne dalsze badanie tych skarg</w:t>
      </w:r>
      <w:r w:rsidR="0088566E" w:rsidRPr="008F026F">
        <w:rPr>
          <w:rFonts w:ascii="Verdana" w:hAnsi="Verdana" w:cs="Verdana"/>
          <w:color w:val="0070C0"/>
          <w:sz w:val="20"/>
          <w:szCs w:val="20"/>
        </w:rPr>
        <w:t xml:space="preserve"> i </w:t>
      </w:r>
      <w:r w:rsidR="0088566E" w:rsidRPr="00A87B81">
        <w:rPr>
          <w:rFonts w:ascii="Verdana" w:hAnsi="Verdana" w:cs="Verdana"/>
          <w:b/>
          <w:bCs/>
          <w:color w:val="0070C0"/>
          <w:sz w:val="20"/>
          <w:szCs w:val="20"/>
        </w:rPr>
        <w:t>skreślił je z listy</w:t>
      </w:r>
      <w:r w:rsidR="0088566E" w:rsidRPr="008F026F">
        <w:rPr>
          <w:rFonts w:ascii="Verdana" w:hAnsi="Verdana" w:cs="Verdana"/>
          <w:color w:val="0070C0"/>
          <w:sz w:val="20"/>
          <w:szCs w:val="20"/>
        </w:rPr>
        <w:t xml:space="preserve"> na podstawie art. 37 § 1 lit. c Konwencji.</w:t>
      </w:r>
      <w:r w:rsidR="00DC5F13" w:rsidRPr="008F026F">
        <w:rPr>
          <w:rFonts w:ascii="Verdana" w:hAnsi="Verdana" w:cs="Verdana"/>
          <w:color w:val="0070C0"/>
          <w:sz w:val="20"/>
          <w:szCs w:val="20"/>
        </w:rPr>
        <w:t xml:space="preserve"> </w:t>
      </w:r>
    </w:p>
    <w:p w14:paraId="15826056" w14:textId="77777777" w:rsidR="008F026F" w:rsidRPr="008F026F" w:rsidRDefault="008F026F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>
        <w:rPr>
          <w:rFonts w:ascii="Verdana" w:hAnsi="Verdana" w:cs="Verdana"/>
          <w:color w:val="0070C0"/>
          <w:sz w:val="20"/>
          <w:szCs w:val="20"/>
        </w:rPr>
        <w:t xml:space="preserve">Odnośnie do skarżących z art. </w:t>
      </w:r>
      <w:r w:rsidRPr="008F026F">
        <w:rPr>
          <w:rFonts w:ascii="Verdana" w:hAnsi="Verdana" w:cs="Verdana"/>
          <w:b/>
          <w:bCs/>
          <w:color w:val="0070C0"/>
          <w:sz w:val="20"/>
          <w:szCs w:val="20"/>
        </w:rPr>
        <w:t>34 Konwencji</w:t>
      </w:r>
      <w:r>
        <w:rPr>
          <w:rFonts w:ascii="Verdana" w:hAnsi="Verdana" w:cs="Verdana"/>
          <w:color w:val="0070C0"/>
          <w:sz w:val="20"/>
          <w:szCs w:val="20"/>
        </w:rPr>
        <w:t xml:space="preserve"> (prawo do skargi indywidualnej) Trybunał uznał, z tych samych powodów, co wyżej, że </w:t>
      </w:r>
      <w:r w:rsidRPr="00A87B81">
        <w:rPr>
          <w:rFonts w:ascii="Verdana" w:hAnsi="Verdana" w:cs="Verdana"/>
          <w:b/>
          <w:bCs/>
          <w:color w:val="0070C0"/>
          <w:sz w:val="20"/>
          <w:szCs w:val="20"/>
        </w:rPr>
        <w:t>nie było zasadne dalsze badanie tych skarg</w:t>
      </w:r>
      <w:r>
        <w:rPr>
          <w:rFonts w:ascii="Verdana" w:hAnsi="Verdana" w:cs="Verdana"/>
          <w:color w:val="0070C0"/>
          <w:sz w:val="20"/>
          <w:szCs w:val="20"/>
        </w:rPr>
        <w:t xml:space="preserve"> i powinny być one </w:t>
      </w:r>
      <w:r w:rsidRPr="00A87B81">
        <w:rPr>
          <w:rFonts w:ascii="Verdana" w:hAnsi="Verdana" w:cs="Verdana"/>
          <w:b/>
          <w:bCs/>
          <w:color w:val="0070C0"/>
          <w:sz w:val="20"/>
          <w:szCs w:val="20"/>
        </w:rPr>
        <w:t>skreślone z listy</w:t>
      </w:r>
      <w:r>
        <w:rPr>
          <w:rFonts w:ascii="Verdana" w:hAnsi="Verdana" w:cs="Verdana"/>
          <w:color w:val="0070C0"/>
          <w:sz w:val="20"/>
          <w:szCs w:val="20"/>
        </w:rPr>
        <w:t xml:space="preserve"> (z wyjątkiem jednej skargi: w tej sprawie nie było wątpliwości co do autentyczności pełnomocnictwa i skarżący pozostał w kontakcie z pełnomocnikiem – Trybunał zauważył jednak, że </w:t>
      </w:r>
      <w:r w:rsidR="000149DE">
        <w:rPr>
          <w:rFonts w:ascii="Verdana" w:hAnsi="Verdana" w:cs="Verdana"/>
          <w:color w:val="0070C0"/>
          <w:sz w:val="20"/>
          <w:szCs w:val="20"/>
        </w:rPr>
        <w:t>nie odnotowano oznak, aby władze krajowe podjęły działania utrudniające wniesienie skargi do Trybunału lub uznania skargi za nieskuteczną i stwierdził, że z tego powodu nie doszło do naruszenia art. 34 Konwencji w tej sprawie)</w:t>
      </w:r>
      <w:r w:rsidR="00A87B81">
        <w:rPr>
          <w:rFonts w:ascii="Verdana" w:hAnsi="Verdana" w:cs="Verdana"/>
          <w:color w:val="0070C0"/>
          <w:sz w:val="20"/>
          <w:szCs w:val="20"/>
        </w:rPr>
        <w:t>.</w:t>
      </w:r>
      <w:r>
        <w:rPr>
          <w:rFonts w:ascii="Verdana" w:hAnsi="Verdana" w:cs="Verdana"/>
          <w:color w:val="0070C0"/>
          <w:sz w:val="20"/>
          <w:szCs w:val="20"/>
        </w:rPr>
        <w:t xml:space="preserve"> </w:t>
      </w:r>
    </w:p>
    <w:p w14:paraId="45B684F4" w14:textId="77777777" w:rsidR="001D10D9" w:rsidRDefault="001D10D9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20"/>
          <w:szCs w:val="20"/>
        </w:rPr>
      </w:pPr>
    </w:p>
    <w:p w14:paraId="061769F3" w14:textId="77777777" w:rsidR="001B0DD5" w:rsidRDefault="001B0DD5" w:rsidP="002A4B3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  <w:r>
        <w:rPr>
          <w:rFonts w:ascii="Verdana" w:hAnsi="Verdana" w:cs="Verdana"/>
          <w:color w:val="0072BD"/>
          <w:sz w:val="28"/>
          <w:szCs w:val="28"/>
        </w:rPr>
        <w:t>Wybrane sprawy przed Trybunałem w toku</w:t>
      </w:r>
    </w:p>
    <w:p w14:paraId="4B483291" w14:textId="77777777" w:rsidR="001B0DD5" w:rsidRDefault="001B0DD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20"/>
          <w:szCs w:val="20"/>
        </w:rPr>
      </w:pPr>
    </w:p>
    <w:p w14:paraId="2BC8D3B9" w14:textId="77777777" w:rsidR="001B0DD5" w:rsidRPr="003B1E4D" w:rsidRDefault="001B0DD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Doumbe Nnabuchi p. Hiszpanii (skarga nr 19420/15)</w:t>
      </w:r>
    </w:p>
    <w:p w14:paraId="526F1B06" w14:textId="77777777" w:rsidR="001B0DD5" w:rsidRPr="001B0DD5" w:rsidRDefault="001B0DD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Hiszpanii w dniu 14 grudnia 2015</w:t>
      </w:r>
      <w:r w:rsidRPr="001B0DD5">
        <w:rPr>
          <w:rFonts w:ascii="Verdana" w:hAnsi="Verdana" w:cs="Verdana"/>
          <w:color w:val="0070C0"/>
          <w:sz w:val="20"/>
          <w:szCs w:val="20"/>
        </w:rPr>
        <w:t xml:space="preserve"> roku</w:t>
      </w:r>
    </w:p>
    <w:p w14:paraId="0B6CA593" w14:textId="77777777" w:rsidR="001B0DD5" w:rsidRPr="001B0DD5" w:rsidRDefault="001B0DD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6218BD8F" w14:textId="77777777" w:rsidR="001B0DD5" w:rsidRPr="003B1E4D" w:rsidRDefault="001B0DD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A</w:t>
      </w:r>
      <w:r w:rsidR="008F026F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.</w:t>
      </w: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A. i Inni p. Macedonii Północnej i 4 inne skargi (skargi nr 55798/16, 55808/16, 55817/16, 55820/16 i 55823/16)</w:t>
      </w:r>
    </w:p>
    <w:p w14:paraId="6A2D09E3" w14:textId="77777777" w:rsidR="001B0DD5" w:rsidRPr="009C335F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w dniu 23 stycznia 2017 roku</w:t>
      </w:r>
    </w:p>
    <w:p w14:paraId="5CE13BBB" w14:textId="77777777" w:rsidR="00F64285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47BD4ED9" w14:textId="77777777" w:rsidR="001B0DD5" w:rsidRPr="00457CEC" w:rsidRDefault="001B0DD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  <w:lang w:val="sv-SE"/>
        </w:rPr>
      </w:pPr>
      <w:r w:rsidRPr="00457CEC">
        <w:rPr>
          <w:rFonts w:ascii="Verdana" w:hAnsi="Verdana" w:cs="Verdana"/>
          <w:b/>
          <w:bCs/>
          <w:color w:val="0070C0"/>
          <w:sz w:val="20"/>
          <w:szCs w:val="20"/>
          <w:u w:val="single"/>
          <w:lang w:val="sv-SE"/>
        </w:rPr>
        <w:t>Balde i Abel p. Hiszpanii (skarga nr 20351/17)</w:t>
      </w:r>
    </w:p>
    <w:p w14:paraId="4486B379" w14:textId="77777777" w:rsidR="00F64285" w:rsidRPr="009C335F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Hiszpanii w dniu 12 lipca 2017 roku</w:t>
      </w:r>
    </w:p>
    <w:p w14:paraId="7E9FFE39" w14:textId="77777777" w:rsidR="00F64285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5AE8C5AB" w14:textId="77777777" w:rsidR="00F64285" w:rsidRPr="008F026F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8F026F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M.K. p. Polsce (skarga nr 40503/17)</w:t>
      </w:r>
    </w:p>
    <w:p w14:paraId="2EF41FCB" w14:textId="77777777" w:rsidR="00F64285" w:rsidRPr="009C335F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Polski w dniu 13 lipca 2017 roku</w:t>
      </w:r>
    </w:p>
    <w:p w14:paraId="66746D16" w14:textId="77777777" w:rsidR="00F64285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1B89C3A1" w14:textId="77777777" w:rsidR="00F64285" w:rsidRPr="008F026F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8F026F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M.K. i Inni p. Polsce (skarga nr 43643/17)</w:t>
      </w:r>
    </w:p>
    <w:p w14:paraId="0F22BAC7" w14:textId="77777777" w:rsidR="00F64285" w:rsidRPr="009C335F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Polski w dniu 21 lipca 2017 roku</w:t>
      </w:r>
    </w:p>
    <w:p w14:paraId="42641C1D" w14:textId="77777777" w:rsidR="00F64285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15976ABE" w14:textId="77777777" w:rsidR="00F64285" w:rsidRPr="003B1E4D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M.A. i Inni p. Polsce (skarga nr 42907/17)</w:t>
      </w:r>
    </w:p>
    <w:p w14:paraId="6CE6A535" w14:textId="77777777" w:rsidR="00F64285" w:rsidRPr="009C335F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Polski w dniu 3 sierpnia 2017 roku</w:t>
      </w:r>
    </w:p>
    <w:p w14:paraId="675CC635" w14:textId="77777777" w:rsidR="00F64285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6D2CC514" w14:textId="77777777" w:rsidR="00F64285" w:rsidRPr="003B1E4D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D.A i Inni p. Polsce (skarga nr 51246/17)</w:t>
      </w:r>
    </w:p>
    <w:p w14:paraId="69918AB2" w14:textId="77777777" w:rsidR="001B0DD5" w:rsidRPr="009C335F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Polski w dniu 7 września 2017 roku</w:t>
      </w:r>
    </w:p>
    <w:p w14:paraId="0F82C760" w14:textId="77777777" w:rsidR="00F64285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27277941" w14:textId="77777777" w:rsidR="002A4B3D" w:rsidRDefault="002A4B3D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</w:p>
    <w:p w14:paraId="3063821D" w14:textId="77777777" w:rsidR="00F64285" w:rsidRPr="003B1E4D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lastRenderedPageBreak/>
        <w:t>Moustachi p. Polsce (skarga nr 9347/14)</w:t>
      </w:r>
    </w:p>
    <w:p w14:paraId="748361A8" w14:textId="77777777" w:rsidR="00F64285" w:rsidRPr="009C335F" w:rsidRDefault="00F64285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Francji w dniu 30 października 2017 roku</w:t>
      </w:r>
    </w:p>
    <w:p w14:paraId="6F46630A" w14:textId="77777777" w:rsidR="00DA16F9" w:rsidRDefault="00DA16F9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7A525DF5" w14:textId="77777777" w:rsidR="00DA16F9" w:rsidRPr="003B1E4D" w:rsidRDefault="00DA16F9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H.K. p. Wegrom (skarga nr 18531/17 i Khurman p. Węgrom (skarga nr 12625/17)</w:t>
      </w:r>
    </w:p>
    <w:p w14:paraId="44EB6C6D" w14:textId="77777777" w:rsidR="00DA16F9" w:rsidRPr="009C335F" w:rsidRDefault="00DA16F9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Węgier w dniu 13 listopada 2017 roku</w:t>
      </w:r>
    </w:p>
    <w:p w14:paraId="16AB6525" w14:textId="77777777" w:rsidR="00DA16F9" w:rsidRDefault="00DA16F9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0C0"/>
          <w:sz w:val="20"/>
          <w:szCs w:val="20"/>
        </w:rPr>
      </w:pPr>
    </w:p>
    <w:p w14:paraId="48540439" w14:textId="77777777" w:rsidR="00DA16F9" w:rsidRPr="003B1E4D" w:rsidRDefault="00DA16F9" w:rsidP="002A4B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W.A. i Inni p. Włochom (skarga nr 18787/17)</w:t>
      </w:r>
    </w:p>
    <w:p w14:paraId="5A32D8FF" w14:textId="77777777" w:rsidR="00DA16F9" w:rsidRPr="009C335F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Włoch w dniu 24 listopada 2017 roku</w:t>
      </w:r>
    </w:p>
    <w:p w14:paraId="6BBB83C1" w14:textId="77777777" w:rsidR="00DA16F9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0"/>
          <w:szCs w:val="20"/>
        </w:rPr>
      </w:pPr>
    </w:p>
    <w:p w14:paraId="13BA6A25" w14:textId="77777777" w:rsidR="00DA16F9" w:rsidRPr="003B1E4D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M.H. i Inni p. Chorwacji (skarga nr 15670/18)</w:t>
      </w:r>
    </w:p>
    <w:p w14:paraId="7186B7A0" w14:textId="77777777" w:rsidR="00DA16F9" w:rsidRPr="009C335F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Chorwacji w dniu 11 maja 2018 roku</w:t>
      </w:r>
    </w:p>
    <w:p w14:paraId="583F5914" w14:textId="77777777" w:rsidR="00DA16F9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0"/>
          <w:szCs w:val="20"/>
        </w:rPr>
      </w:pPr>
    </w:p>
    <w:p w14:paraId="11493A19" w14:textId="77777777" w:rsidR="00DA16F9" w:rsidRPr="003B1E4D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M.A. i Inni p. Łotwie (skarga nr 25564/18)</w:t>
      </w:r>
    </w:p>
    <w:p w14:paraId="41467ECA" w14:textId="77777777" w:rsidR="00DA16F9" w:rsidRPr="009C335F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Łotwy w dniu 10 maja 2019 roku</w:t>
      </w:r>
    </w:p>
    <w:p w14:paraId="487ADD94" w14:textId="77777777" w:rsidR="00DA16F9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0"/>
          <w:szCs w:val="20"/>
        </w:rPr>
      </w:pPr>
    </w:p>
    <w:p w14:paraId="2C935A92" w14:textId="77777777" w:rsidR="00DA16F9" w:rsidRPr="003B1E4D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70C0"/>
          <w:sz w:val="20"/>
          <w:szCs w:val="20"/>
        </w:rPr>
      </w:pPr>
      <w:r w:rsidRPr="003B1E4D">
        <w:rPr>
          <w:rFonts w:ascii="Verdana" w:hAnsi="Verdana" w:cs="Verdana"/>
          <w:b/>
          <w:bCs/>
          <w:color w:val="0070C0"/>
          <w:sz w:val="20"/>
          <w:szCs w:val="20"/>
        </w:rPr>
        <w:t>Y.F.C. i Inni p. Holandii (skarga nr 21325/19)</w:t>
      </w:r>
    </w:p>
    <w:p w14:paraId="2C066AC8" w14:textId="77777777" w:rsidR="00DA16F9" w:rsidRPr="009C335F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Holandii w dniu 25 czerwca 2019 roku</w:t>
      </w:r>
    </w:p>
    <w:p w14:paraId="0D3B4909" w14:textId="77777777" w:rsidR="00DA16F9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0"/>
          <w:szCs w:val="20"/>
        </w:rPr>
      </w:pPr>
    </w:p>
    <w:p w14:paraId="366D9199" w14:textId="77777777" w:rsidR="00DA16F9" w:rsidRPr="003B1E4D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70C0"/>
          <w:sz w:val="20"/>
          <w:szCs w:val="20"/>
          <w:u w:val="single"/>
        </w:rPr>
      </w:pP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S.S. i Inni p. Włochom (skarga nr 21660/18)</w:t>
      </w:r>
    </w:p>
    <w:p w14:paraId="24775E52" w14:textId="77777777" w:rsidR="00DA16F9" w:rsidRPr="009C335F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08080"/>
          <w:sz w:val="20"/>
          <w:szCs w:val="20"/>
        </w:rPr>
      </w:pPr>
      <w:r w:rsidRPr="009C335F">
        <w:rPr>
          <w:rFonts w:ascii="Verdana" w:hAnsi="Verdana" w:cs="Verdana"/>
          <w:color w:val="808080"/>
          <w:sz w:val="20"/>
          <w:szCs w:val="20"/>
        </w:rPr>
        <w:t>Skarga zakomunikowana Rządowi Włoch w dniu 26 czerwca 2019 roku</w:t>
      </w:r>
    </w:p>
    <w:p w14:paraId="126A2B0F" w14:textId="77777777" w:rsidR="00DA16F9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0"/>
          <w:szCs w:val="20"/>
        </w:rPr>
      </w:pPr>
    </w:p>
    <w:p w14:paraId="0E02ABEE" w14:textId="77777777" w:rsidR="00DA16F9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0"/>
          <w:szCs w:val="20"/>
        </w:rPr>
      </w:pPr>
    </w:p>
    <w:p w14:paraId="178A75E5" w14:textId="77777777" w:rsidR="00DA16F9" w:rsidRPr="002A4B3D" w:rsidRDefault="00DA16F9" w:rsidP="002A4B3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72BD"/>
          <w:sz w:val="28"/>
          <w:szCs w:val="28"/>
        </w:rPr>
      </w:pPr>
      <w:r w:rsidRPr="002A4B3D">
        <w:rPr>
          <w:rFonts w:ascii="Verdana" w:hAnsi="Verdana" w:cs="Verdana"/>
          <w:color w:val="0072BD"/>
          <w:sz w:val="28"/>
          <w:szCs w:val="28"/>
        </w:rPr>
        <w:t>Inne teksty</w:t>
      </w:r>
    </w:p>
    <w:p w14:paraId="35D9A104" w14:textId="77777777" w:rsidR="00DA16F9" w:rsidRDefault="00DA16F9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0"/>
          <w:szCs w:val="20"/>
        </w:rPr>
      </w:pPr>
    </w:p>
    <w:p w14:paraId="7902F396" w14:textId="77777777" w:rsidR="003B1E4D" w:rsidRPr="003B1E4D" w:rsidRDefault="003B1E4D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B1E4D">
        <w:rPr>
          <w:rFonts w:ascii="Verdana" w:hAnsi="Verdana" w:cs="Verdana"/>
          <w:sz w:val="20"/>
          <w:szCs w:val="20"/>
        </w:rPr>
        <w:t>Zob. w szczególności:</w:t>
      </w:r>
    </w:p>
    <w:p w14:paraId="0147B93B" w14:textId="77777777" w:rsidR="003B1E4D" w:rsidRDefault="003B1E4D" w:rsidP="002A4B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0"/>
          <w:szCs w:val="20"/>
        </w:rPr>
      </w:pPr>
      <w:r>
        <w:rPr>
          <w:rFonts w:ascii="Verdana" w:hAnsi="Verdana" w:cs="Verdana"/>
          <w:color w:val="0070C0"/>
          <w:sz w:val="20"/>
          <w:szCs w:val="20"/>
        </w:rPr>
        <w:t xml:space="preserve">- </w:t>
      </w:r>
      <w:r w:rsidRPr="003B1E4D">
        <w:rPr>
          <w:rFonts w:ascii="Verdana" w:hAnsi="Verdana" w:cs="Verdana"/>
          <w:b/>
          <w:bCs/>
          <w:color w:val="0070C0"/>
          <w:sz w:val="20"/>
          <w:szCs w:val="20"/>
          <w:u w:val="single"/>
        </w:rPr>
        <w:t>Przewodnik po art. 4 Protokołu nr 4 do Konwencji – Zakaz wydaleń zbiorowych cudzoziemców</w:t>
      </w:r>
      <w:r>
        <w:rPr>
          <w:rFonts w:ascii="Verdana" w:hAnsi="Verdana" w:cs="Verdana"/>
          <w:color w:val="0070C0"/>
          <w:sz w:val="20"/>
          <w:szCs w:val="20"/>
        </w:rPr>
        <w:t xml:space="preserve">, </w:t>
      </w:r>
      <w:r w:rsidRPr="009C335F">
        <w:rPr>
          <w:rFonts w:ascii="Verdana" w:hAnsi="Verdana" w:cs="Verdana"/>
          <w:color w:val="000000"/>
          <w:sz w:val="20"/>
          <w:szCs w:val="20"/>
        </w:rPr>
        <w:t xml:space="preserve">dokument przygotowany przez Dział Badań i </w:t>
      </w:r>
      <w:r w:rsidR="002A4B3D">
        <w:rPr>
          <w:rFonts w:ascii="Verdana" w:hAnsi="Verdana" w:cs="Verdana"/>
          <w:color w:val="000000"/>
          <w:sz w:val="20"/>
          <w:szCs w:val="20"/>
        </w:rPr>
        <w:t>Bibliotekę w ramach Dyrekcji Doradcy Prawnego</w:t>
      </w:r>
    </w:p>
    <w:p w14:paraId="3799CA1A" w14:textId="77777777" w:rsidR="00DA16F9" w:rsidRDefault="00DA16F9" w:rsidP="00DA16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08080"/>
          <w:sz w:val="20"/>
          <w:szCs w:val="20"/>
        </w:rPr>
      </w:pPr>
    </w:p>
    <w:p w14:paraId="21EB0DBB" w14:textId="77777777" w:rsidR="00DA16F9" w:rsidRDefault="00DA16F9" w:rsidP="00DA16F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808080"/>
          <w:sz w:val="20"/>
          <w:szCs w:val="20"/>
        </w:rPr>
      </w:pPr>
    </w:p>
    <w:p w14:paraId="517A8C69" w14:textId="77777777" w:rsidR="00F052C0" w:rsidRPr="00F052C0" w:rsidRDefault="001D10D9" w:rsidP="003B1E4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 w:cs="Verdana"/>
          <w:color w:val="808080"/>
          <w:sz w:val="20"/>
          <w:szCs w:val="20"/>
        </w:rPr>
      </w:pPr>
      <w:r w:rsidRPr="00F052C0">
        <w:rPr>
          <w:rFonts w:ascii="Verdana" w:hAnsi="Verdana" w:cs="Verdana"/>
          <w:color w:val="808080"/>
          <w:sz w:val="20"/>
          <w:szCs w:val="20"/>
        </w:rPr>
        <w:t>Kontakt</w:t>
      </w:r>
      <w:r w:rsidR="003B1E4D">
        <w:rPr>
          <w:rFonts w:ascii="Verdana" w:hAnsi="Verdana" w:cs="Verdana"/>
          <w:color w:val="808080"/>
          <w:sz w:val="20"/>
          <w:szCs w:val="20"/>
        </w:rPr>
        <w:t xml:space="preserve"> medialny</w:t>
      </w:r>
      <w:r w:rsidRPr="00F052C0">
        <w:rPr>
          <w:rFonts w:ascii="Verdana" w:hAnsi="Verdana" w:cs="Verdana"/>
          <w:color w:val="808080"/>
          <w:sz w:val="20"/>
          <w:szCs w:val="20"/>
        </w:rPr>
        <w:t xml:space="preserve">: </w:t>
      </w:r>
    </w:p>
    <w:p w14:paraId="65696AF0" w14:textId="77777777" w:rsidR="001D10D9" w:rsidRPr="00F052C0" w:rsidRDefault="001D10D9" w:rsidP="00F052C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808080"/>
          <w:sz w:val="20"/>
          <w:szCs w:val="20"/>
        </w:rPr>
      </w:pPr>
      <w:r w:rsidRPr="00F052C0">
        <w:rPr>
          <w:rFonts w:ascii="Verdana" w:hAnsi="Verdana" w:cs="Verdana"/>
          <w:color w:val="808080"/>
          <w:sz w:val="20"/>
          <w:szCs w:val="20"/>
        </w:rPr>
        <w:t>tel. +33 3 90 21 42 08</w:t>
      </w:r>
    </w:p>
    <w:p w14:paraId="18386E61" w14:textId="77777777" w:rsidR="0057632A" w:rsidRDefault="0057632A" w:rsidP="0009369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47EF3603" w14:textId="77777777" w:rsidR="00496631" w:rsidRPr="00496631" w:rsidRDefault="00496631" w:rsidP="0009369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sectPr w:rsidR="00496631" w:rsidRPr="00496631" w:rsidSect="002A4B3D">
      <w:headerReference w:type="default" r:id="rId7"/>
      <w:headerReference w:type="first" r:id="rId8"/>
      <w:pgSz w:w="11906" w:h="16838"/>
      <w:pgMar w:top="58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60583" w14:textId="77777777" w:rsidR="00110DB5" w:rsidRDefault="00110DB5">
      <w:r>
        <w:separator/>
      </w:r>
    </w:p>
  </w:endnote>
  <w:endnote w:type="continuationSeparator" w:id="0">
    <w:p w14:paraId="6912E764" w14:textId="77777777" w:rsidR="00110DB5" w:rsidRDefault="0011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C14EA" w14:textId="77777777" w:rsidR="00110DB5" w:rsidRDefault="00110DB5">
      <w:r>
        <w:separator/>
      </w:r>
    </w:p>
  </w:footnote>
  <w:footnote w:type="continuationSeparator" w:id="0">
    <w:p w14:paraId="3A1D4FC8" w14:textId="77777777" w:rsidR="00110DB5" w:rsidRDefault="00110DB5">
      <w:r>
        <w:continuationSeparator/>
      </w:r>
    </w:p>
  </w:footnote>
  <w:footnote w:id="1">
    <w:p w14:paraId="504169DA" w14:textId="77777777" w:rsidR="005C2432" w:rsidRDefault="005C2432" w:rsidP="002A4B3D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 stosunku do 31 innych skarżących Trybunał skreślił skargi z listy na podstawie art. 37 Konwencji</w:t>
      </w:r>
    </w:p>
  </w:footnote>
  <w:footnote w:id="2">
    <w:p w14:paraId="7886C275" w14:textId="77777777" w:rsidR="005C2432" w:rsidRDefault="005C2432" w:rsidP="002A4B3D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Zob. zestawienie „Sprawy Dublińskie”</w:t>
      </w:r>
    </w:p>
  </w:footnote>
  <w:footnote w:id="3">
    <w:p w14:paraId="64DF02C7" w14:textId="77777777" w:rsidR="00BD57E5" w:rsidRDefault="00BD57E5" w:rsidP="002A4B3D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Ten wyrok stanie się ostateczny zgodnie z okolicznościami wskazanymi w art. 44 § </w:t>
      </w:r>
      <w:r w:rsidR="002A4B3D">
        <w:t>2 Konwencji (wyroki ostateczne)</w:t>
      </w:r>
    </w:p>
  </w:footnote>
  <w:footnote w:id="4">
    <w:p w14:paraId="5A7A8B4C" w14:textId="77777777" w:rsidR="00BD57E5" w:rsidRDefault="00BD57E5" w:rsidP="002A4B3D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Razem z Trybunałem oraz Komitetem </w:t>
      </w:r>
      <w:r w:rsidR="0055708E">
        <w:t>Ministrów Rady</w:t>
      </w:r>
      <w:r>
        <w:t xml:space="preserve"> Europy Komisja, która urzędowała w Strasburgu od </w:t>
      </w:r>
      <w:r w:rsidR="0055708E">
        <w:t>lipca 1954 roku</w:t>
      </w:r>
      <w:r>
        <w:t xml:space="preserve"> do października 1999 roku nadzorowała </w:t>
      </w:r>
      <w:r w:rsidR="00C56CE2">
        <w:t xml:space="preserve">wykonywanie przez Państwa-Strony Konwencji ich zobowiązań wynikających z Konwencji. Komisja przestała działać w momencie ustanowienia stałego Trybunału w dniu 1 listopada 1998 roku.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AD05" w14:textId="3B38D543" w:rsidR="002A4B3D" w:rsidRDefault="0041443E" w:rsidP="002A4B3D">
    <w:pPr>
      <w:autoSpaceDE w:val="0"/>
      <w:autoSpaceDN w:val="0"/>
      <w:adjustRightInd w:val="0"/>
      <w:spacing w:after="0" w:line="240" w:lineRule="auto"/>
      <w:jc w:val="right"/>
    </w:pPr>
    <w:r w:rsidRPr="002A4B3D">
      <w:rPr>
        <w:rFonts w:ascii="Times New Roman" w:hAnsi="Times New Roman"/>
        <w:noProof/>
        <w:lang w:eastAsia="pl-PL"/>
      </w:rPr>
      <w:drawing>
        <wp:inline distT="0" distB="0" distL="0" distR="0" wp14:anchorId="4BF00FD1" wp14:editId="281B5281">
          <wp:extent cx="1409700" cy="361950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09F03" w14:textId="77777777" w:rsidR="002A4B3D" w:rsidRDefault="002A4B3D" w:rsidP="002A4B3D">
    <w:pPr>
      <w:autoSpaceDE w:val="0"/>
      <w:autoSpaceDN w:val="0"/>
      <w:adjustRightInd w:val="0"/>
      <w:spacing w:after="0" w:line="240" w:lineRule="auto"/>
      <w:rPr>
        <w:sz w:val="20"/>
        <w:szCs w:val="20"/>
      </w:rPr>
    </w:pPr>
    <w:r w:rsidRPr="00E86721">
      <w:rPr>
        <w:sz w:val="20"/>
        <w:szCs w:val="20"/>
      </w:rPr>
      <w:t>Zestawienie tematyczne – Wydaleni</w:t>
    </w:r>
    <w:r>
      <w:rPr>
        <w:sz w:val="20"/>
        <w:szCs w:val="20"/>
      </w:rPr>
      <w:t>a</w:t>
    </w:r>
    <w:r w:rsidRPr="00E86721">
      <w:rPr>
        <w:sz w:val="20"/>
        <w:szCs w:val="20"/>
      </w:rPr>
      <w:t xml:space="preserve"> zbiorowe cudzoziemców</w:t>
    </w:r>
  </w:p>
  <w:p w14:paraId="38211C38" w14:textId="77777777" w:rsidR="002A4B3D" w:rsidRDefault="002A4B3D" w:rsidP="002A4B3D">
    <w:pPr>
      <w:autoSpaceDE w:val="0"/>
      <w:autoSpaceDN w:val="0"/>
      <w:adjustRightInd w:val="0"/>
      <w:spacing w:after="0" w:line="240" w:lineRule="auto"/>
      <w:rPr>
        <w:rFonts w:ascii="Times New Roman" w:hAnsi="Times New Roman"/>
        <w:noProof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9ACE" w14:textId="0124C4E7" w:rsidR="002A4B3D" w:rsidRDefault="0041443E" w:rsidP="002A4B3D">
    <w:pPr>
      <w:pStyle w:val="Nagwek"/>
      <w:jc w:val="right"/>
      <w:rPr>
        <w:rFonts w:ascii="Times New Roman" w:hAnsi="Times New Roman"/>
        <w:noProof/>
        <w:lang w:eastAsia="pl-PL"/>
      </w:rPr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 wp14:anchorId="539BB551" wp14:editId="7739D81D">
          <wp:simplePos x="0" y="0"/>
          <wp:positionH relativeFrom="page">
            <wp:posOffset>811530</wp:posOffset>
          </wp:positionH>
          <wp:positionV relativeFrom="paragraph">
            <wp:posOffset>66040</wp:posOffset>
          </wp:positionV>
          <wp:extent cx="2391410" cy="888365"/>
          <wp:effectExtent l="0" t="0" r="0" b="0"/>
          <wp:wrapNone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41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4B3D">
      <w:rPr>
        <w:rFonts w:ascii="Times New Roman" w:hAnsi="Times New Roman"/>
        <w:noProof/>
        <w:lang w:eastAsia="pl-PL"/>
      </w:rPr>
      <w:drawing>
        <wp:inline distT="0" distB="0" distL="0" distR="0" wp14:anchorId="1787CFF3" wp14:editId="7F000E6A">
          <wp:extent cx="1409700" cy="361950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1DC81" w14:textId="77777777" w:rsidR="002A4B3D" w:rsidRDefault="002A4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10CAA"/>
    <w:multiLevelType w:val="hybridMultilevel"/>
    <w:tmpl w:val="2FC038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7B"/>
    <w:rsid w:val="000039E6"/>
    <w:rsid w:val="0000752E"/>
    <w:rsid w:val="00010703"/>
    <w:rsid w:val="000149DE"/>
    <w:rsid w:val="000176B9"/>
    <w:rsid w:val="00027956"/>
    <w:rsid w:val="00035F60"/>
    <w:rsid w:val="0003716E"/>
    <w:rsid w:val="000377DF"/>
    <w:rsid w:val="00040610"/>
    <w:rsid w:val="00040E11"/>
    <w:rsid w:val="00046DFE"/>
    <w:rsid w:val="00051FCE"/>
    <w:rsid w:val="00054BCF"/>
    <w:rsid w:val="00055584"/>
    <w:rsid w:val="00055BC1"/>
    <w:rsid w:val="000604B1"/>
    <w:rsid w:val="00061D61"/>
    <w:rsid w:val="00064C23"/>
    <w:rsid w:val="0007549A"/>
    <w:rsid w:val="000853D0"/>
    <w:rsid w:val="0009369F"/>
    <w:rsid w:val="000A2613"/>
    <w:rsid w:val="000A6F2F"/>
    <w:rsid w:val="000B005C"/>
    <w:rsid w:val="000B019E"/>
    <w:rsid w:val="000B07DA"/>
    <w:rsid w:val="000B61E5"/>
    <w:rsid w:val="000C4EDC"/>
    <w:rsid w:val="000C5F4D"/>
    <w:rsid w:val="000D1C49"/>
    <w:rsid w:val="000E202D"/>
    <w:rsid w:val="000E6971"/>
    <w:rsid w:val="000E7E6B"/>
    <w:rsid w:val="00110DB5"/>
    <w:rsid w:val="00111D5D"/>
    <w:rsid w:val="001125FF"/>
    <w:rsid w:val="001143BB"/>
    <w:rsid w:val="00126FD2"/>
    <w:rsid w:val="00127F22"/>
    <w:rsid w:val="0013106C"/>
    <w:rsid w:val="0013353F"/>
    <w:rsid w:val="00134AF0"/>
    <w:rsid w:val="00135E30"/>
    <w:rsid w:val="0013734C"/>
    <w:rsid w:val="00142D44"/>
    <w:rsid w:val="00143189"/>
    <w:rsid w:val="00144CF8"/>
    <w:rsid w:val="001509F9"/>
    <w:rsid w:val="00160A3A"/>
    <w:rsid w:val="00160F4E"/>
    <w:rsid w:val="0016269A"/>
    <w:rsid w:val="00171564"/>
    <w:rsid w:val="0017713D"/>
    <w:rsid w:val="00187497"/>
    <w:rsid w:val="00191327"/>
    <w:rsid w:val="001968B9"/>
    <w:rsid w:val="00196CF3"/>
    <w:rsid w:val="001A1F68"/>
    <w:rsid w:val="001A51B5"/>
    <w:rsid w:val="001A60CB"/>
    <w:rsid w:val="001A6BDC"/>
    <w:rsid w:val="001B0DD5"/>
    <w:rsid w:val="001B3D5E"/>
    <w:rsid w:val="001B4CC4"/>
    <w:rsid w:val="001B7652"/>
    <w:rsid w:val="001D10D9"/>
    <w:rsid w:val="001E3B7D"/>
    <w:rsid w:val="001E5643"/>
    <w:rsid w:val="001F24E1"/>
    <w:rsid w:val="001F3F56"/>
    <w:rsid w:val="001F5364"/>
    <w:rsid w:val="001F6B86"/>
    <w:rsid w:val="00214BA9"/>
    <w:rsid w:val="00221171"/>
    <w:rsid w:val="002444C1"/>
    <w:rsid w:val="00244552"/>
    <w:rsid w:val="00244D30"/>
    <w:rsid w:val="002568E7"/>
    <w:rsid w:val="00256B25"/>
    <w:rsid w:val="00261095"/>
    <w:rsid w:val="002718B3"/>
    <w:rsid w:val="002735A1"/>
    <w:rsid w:val="00280C10"/>
    <w:rsid w:val="00281B39"/>
    <w:rsid w:val="00285968"/>
    <w:rsid w:val="0029474C"/>
    <w:rsid w:val="00295694"/>
    <w:rsid w:val="00296A2B"/>
    <w:rsid w:val="00297425"/>
    <w:rsid w:val="002A26D5"/>
    <w:rsid w:val="002A4B3D"/>
    <w:rsid w:val="002A695F"/>
    <w:rsid w:val="002B44A5"/>
    <w:rsid w:val="002B57BD"/>
    <w:rsid w:val="002C73A3"/>
    <w:rsid w:val="002C795D"/>
    <w:rsid w:val="002D1338"/>
    <w:rsid w:val="002D144B"/>
    <w:rsid w:val="002D2E75"/>
    <w:rsid w:val="002D7C39"/>
    <w:rsid w:val="002E0869"/>
    <w:rsid w:val="002F0C7B"/>
    <w:rsid w:val="00315831"/>
    <w:rsid w:val="003173CF"/>
    <w:rsid w:val="00320F99"/>
    <w:rsid w:val="0033156D"/>
    <w:rsid w:val="003357B5"/>
    <w:rsid w:val="00342084"/>
    <w:rsid w:val="00344DB6"/>
    <w:rsid w:val="003464C2"/>
    <w:rsid w:val="00352332"/>
    <w:rsid w:val="0036776B"/>
    <w:rsid w:val="003700FE"/>
    <w:rsid w:val="00374BAA"/>
    <w:rsid w:val="00375509"/>
    <w:rsid w:val="0038005E"/>
    <w:rsid w:val="0038105A"/>
    <w:rsid w:val="00381B46"/>
    <w:rsid w:val="0038458C"/>
    <w:rsid w:val="00387069"/>
    <w:rsid w:val="0039362E"/>
    <w:rsid w:val="00394317"/>
    <w:rsid w:val="003A2E4E"/>
    <w:rsid w:val="003B1E4D"/>
    <w:rsid w:val="003B6808"/>
    <w:rsid w:val="003B73B1"/>
    <w:rsid w:val="003D009D"/>
    <w:rsid w:val="003D023D"/>
    <w:rsid w:val="003E2590"/>
    <w:rsid w:val="003F17DF"/>
    <w:rsid w:val="0040095E"/>
    <w:rsid w:val="00402B81"/>
    <w:rsid w:val="00403AFD"/>
    <w:rsid w:val="004048A0"/>
    <w:rsid w:val="0040701C"/>
    <w:rsid w:val="0041443E"/>
    <w:rsid w:val="004174AB"/>
    <w:rsid w:val="004178E8"/>
    <w:rsid w:val="0042074E"/>
    <w:rsid w:val="00423A62"/>
    <w:rsid w:val="00427E94"/>
    <w:rsid w:val="004556BF"/>
    <w:rsid w:val="00457CEC"/>
    <w:rsid w:val="004607DF"/>
    <w:rsid w:val="004615E0"/>
    <w:rsid w:val="00461843"/>
    <w:rsid w:val="00461A09"/>
    <w:rsid w:val="00461C79"/>
    <w:rsid w:val="00466F88"/>
    <w:rsid w:val="0047618C"/>
    <w:rsid w:val="004957F5"/>
    <w:rsid w:val="00496631"/>
    <w:rsid w:val="004A021D"/>
    <w:rsid w:val="004A561C"/>
    <w:rsid w:val="004B3AB4"/>
    <w:rsid w:val="004C081C"/>
    <w:rsid w:val="004C2505"/>
    <w:rsid w:val="004C4993"/>
    <w:rsid w:val="004C54F7"/>
    <w:rsid w:val="004C65C4"/>
    <w:rsid w:val="004D3BFD"/>
    <w:rsid w:val="004D478B"/>
    <w:rsid w:val="004D4C0E"/>
    <w:rsid w:val="004D4F6E"/>
    <w:rsid w:val="004D68E0"/>
    <w:rsid w:val="004D6CDB"/>
    <w:rsid w:val="004E650B"/>
    <w:rsid w:val="004F6D53"/>
    <w:rsid w:val="004F7BD6"/>
    <w:rsid w:val="00510ECB"/>
    <w:rsid w:val="00551F94"/>
    <w:rsid w:val="0055708E"/>
    <w:rsid w:val="00564F3D"/>
    <w:rsid w:val="0057334F"/>
    <w:rsid w:val="00575520"/>
    <w:rsid w:val="0057632A"/>
    <w:rsid w:val="00576459"/>
    <w:rsid w:val="00586F3F"/>
    <w:rsid w:val="00592442"/>
    <w:rsid w:val="005963EA"/>
    <w:rsid w:val="005A1CF5"/>
    <w:rsid w:val="005A46CC"/>
    <w:rsid w:val="005B28FF"/>
    <w:rsid w:val="005B7AD2"/>
    <w:rsid w:val="005C0A93"/>
    <w:rsid w:val="005C0C2F"/>
    <w:rsid w:val="005C2432"/>
    <w:rsid w:val="005C6EDE"/>
    <w:rsid w:val="005D542E"/>
    <w:rsid w:val="005F34F5"/>
    <w:rsid w:val="005F7A36"/>
    <w:rsid w:val="005F7DA8"/>
    <w:rsid w:val="006054CC"/>
    <w:rsid w:val="00605EB0"/>
    <w:rsid w:val="00607408"/>
    <w:rsid w:val="006113EC"/>
    <w:rsid w:val="00615882"/>
    <w:rsid w:val="006207C1"/>
    <w:rsid w:val="00621646"/>
    <w:rsid w:val="00640FEB"/>
    <w:rsid w:val="00642D44"/>
    <w:rsid w:val="00650149"/>
    <w:rsid w:val="006547C4"/>
    <w:rsid w:val="006578CC"/>
    <w:rsid w:val="006624AA"/>
    <w:rsid w:val="00662976"/>
    <w:rsid w:val="00665039"/>
    <w:rsid w:val="006804E7"/>
    <w:rsid w:val="006916C1"/>
    <w:rsid w:val="006916FB"/>
    <w:rsid w:val="00695B87"/>
    <w:rsid w:val="006973AA"/>
    <w:rsid w:val="006A26D8"/>
    <w:rsid w:val="006B2740"/>
    <w:rsid w:val="006B79F9"/>
    <w:rsid w:val="006B7B3A"/>
    <w:rsid w:val="006C04EE"/>
    <w:rsid w:val="006C4301"/>
    <w:rsid w:val="006D5D5E"/>
    <w:rsid w:val="006E61E6"/>
    <w:rsid w:val="006F01F6"/>
    <w:rsid w:val="006F3DA1"/>
    <w:rsid w:val="006F5045"/>
    <w:rsid w:val="006F7721"/>
    <w:rsid w:val="00700217"/>
    <w:rsid w:val="00704C02"/>
    <w:rsid w:val="007112AF"/>
    <w:rsid w:val="00720F41"/>
    <w:rsid w:val="00725334"/>
    <w:rsid w:val="00735577"/>
    <w:rsid w:val="007405E8"/>
    <w:rsid w:val="00740BF8"/>
    <w:rsid w:val="007469EE"/>
    <w:rsid w:val="00751DA2"/>
    <w:rsid w:val="007545A6"/>
    <w:rsid w:val="0075516F"/>
    <w:rsid w:val="0076465A"/>
    <w:rsid w:val="00780798"/>
    <w:rsid w:val="00781013"/>
    <w:rsid w:val="0078380E"/>
    <w:rsid w:val="00784798"/>
    <w:rsid w:val="00784E26"/>
    <w:rsid w:val="00785DC0"/>
    <w:rsid w:val="007955EE"/>
    <w:rsid w:val="00795C7A"/>
    <w:rsid w:val="007A5FEE"/>
    <w:rsid w:val="007A7AFE"/>
    <w:rsid w:val="007B27CD"/>
    <w:rsid w:val="007B44D2"/>
    <w:rsid w:val="007C058A"/>
    <w:rsid w:val="007C1408"/>
    <w:rsid w:val="007C4F54"/>
    <w:rsid w:val="007D561E"/>
    <w:rsid w:val="007D7A57"/>
    <w:rsid w:val="007E0BE5"/>
    <w:rsid w:val="007E2591"/>
    <w:rsid w:val="007E566D"/>
    <w:rsid w:val="007E682F"/>
    <w:rsid w:val="008003FF"/>
    <w:rsid w:val="00802E60"/>
    <w:rsid w:val="0080582F"/>
    <w:rsid w:val="00806995"/>
    <w:rsid w:val="00815B34"/>
    <w:rsid w:val="00817F9C"/>
    <w:rsid w:val="00832E1C"/>
    <w:rsid w:val="00852DC2"/>
    <w:rsid w:val="008552B7"/>
    <w:rsid w:val="00870DC3"/>
    <w:rsid w:val="0087248F"/>
    <w:rsid w:val="00875CC4"/>
    <w:rsid w:val="00882DBE"/>
    <w:rsid w:val="00884A62"/>
    <w:rsid w:val="008855E3"/>
    <w:rsid w:val="0088566E"/>
    <w:rsid w:val="008864D5"/>
    <w:rsid w:val="0088792E"/>
    <w:rsid w:val="00895D24"/>
    <w:rsid w:val="008A1398"/>
    <w:rsid w:val="008B3677"/>
    <w:rsid w:val="008B3AF7"/>
    <w:rsid w:val="008C0500"/>
    <w:rsid w:val="008C1DE3"/>
    <w:rsid w:val="008C7E56"/>
    <w:rsid w:val="008D0A50"/>
    <w:rsid w:val="008D3356"/>
    <w:rsid w:val="008D4E0E"/>
    <w:rsid w:val="008E387C"/>
    <w:rsid w:val="008E6A8C"/>
    <w:rsid w:val="008F0055"/>
    <w:rsid w:val="008F026F"/>
    <w:rsid w:val="008F1249"/>
    <w:rsid w:val="008F1EAF"/>
    <w:rsid w:val="008F2FBB"/>
    <w:rsid w:val="008F3C0B"/>
    <w:rsid w:val="008F427C"/>
    <w:rsid w:val="009009B6"/>
    <w:rsid w:val="009048B6"/>
    <w:rsid w:val="00905ED1"/>
    <w:rsid w:val="00911E4E"/>
    <w:rsid w:val="009220B7"/>
    <w:rsid w:val="0092369E"/>
    <w:rsid w:val="00926BF9"/>
    <w:rsid w:val="009363F1"/>
    <w:rsid w:val="009432E4"/>
    <w:rsid w:val="0094479A"/>
    <w:rsid w:val="00950A4A"/>
    <w:rsid w:val="00956473"/>
    <w:rsid w:val="00957F04"/>
    <w:rsid w:val="00961249"/>
    <w:rsid w:val="00964FEC"/>
    <w:rsid w:val="009650EF"/>
    <w:rsid w:val="00974163"/>
    <w:rsid w:val="0097618C"/>
    <w:rsid w:val="00981832"/>
    <w:rsid w:val="00981E69"/>
    <w:rsid w:val="00981FF3"/>
    <w:rsid w:val="00990E88"/>
    <w:rsid w:val="00991B69"/>
    <w:rsid w:val="00993872"/>
    <w:rsid w:val="00996F9D"/>
    <w:rsid w:val="009A345F"/>
    <w:rsid w:val="009A7FA9"/>
    <w:rsid w:val="009B29E3"/>
    <w:rsid w:val="009B664E"/>
    <w:rsid w:val="009B7011"/>
    <w:rsid w:val="009C335F"/>
    <w:rsid w:val="009C3424"/>
    <w:rsid w:val="009C441D"/>
    <w:rsid w:val="009C66E4"/>
    <w:rsid w:val="009D3D48"/>
    <w:rsid w:val="009E0DAC"/>
    <w:rsid w:val="009E5418"/>
    <w:rsid w:val="009F4F75"/>
    <w:rsid w:val="00A07308"/>
    <w:rsid w:val="00A14F56"/>
    <w:rsid w:val="00A22B77"/>
    <w:rsid w:val="00A26C57"/>
    <w:rsid w:val="00A3176F"/>
    <w:rsid w:val="00A31F26"/>
    <w:rsid w:val="00A375FC"/>
    <w:rsid w:val="00A43A58"/>
    <w:rsid w:val="00A47785"/>
    <w:rsid w:val="00A56CA4"/>
    <w:rsid w:val="00A572D6"/>
    <w:rsid w:val="00A813A7"/>
    <w:rsid w:val="00A86625"/>
    <w:rsid w:val="00A86EC6"/>
    <w:rsid w:val="00A87855"/>
    <w:rsid w:val="00A87B81"/>
    <w:rsid w:val="00A94542"/>
    <w:rsid w:val="00AA0B3B"/>
    <w:rsid w:val="00AA1F39"/>
    <w:rsid w:val="00AA28F3"/>
    <w:rsid w:val="00AB543E"/>
    <w:rsid w:val="00AC0E18"/>
    <w:rsid w:val="00AC194B"/>
    <w:rsid w:val="00AC45DD"/>
    <w:rsid w:val="00AD2435"/>
    <w:rsid w:val="00AD36EF"/>
    <w:rsid w:val="00AD565F"/>
    <w:rsid w:val="00AE14A4"/>
    <w:rsid w:val="00AE1F2B"/>
    <w:rsid w:val="00AE7CD1"/>
    <w:rsid w:val="00AF68DF"/>
    <w:rsid w:val="00AF7720"/>
    <w:rsid w:val="00B2087E"/>
    <w:rsid w:val="00B210E9"/>
    <w:rsid w:val="00B21606"/>
    <w:rsid w:val="00B27F31"/>
    <w:rsid w:val="00B3427A"/>
    <w:rsid w:val="00B35105"/>
    <w:rsid w:val="00B3547E"/>
    <w:rsid w:val="00B362DC"/>
    <w:rsid w:val="00B40E00"/>
    <w:rsid w:val="00B431E2"/>
    <w:rsid w:val="00B5175C"/>
    <w:rsid w:val="00B55324"/>
    <w:rsid w:val="00B81DED"/>
    <w:rsid w:val="00B82B8B"/>
    <w:rsid w:val="00B875C5"/>
    <w:rsid w:val="00BA1732"/>
    <w:rsid w:val="00BA44E0"/>
    <w:rsid w:val="00BC0AA3"/>
    <w:rsid w:val="00BC1038"/>
    <w:rsid w:val="00BC248E"/>
    <w:rsid w:val="00BC7780"/>
    <w:rsid w:val="00BD10A7"/>
    <w:rsid w:val="00BD1BFB"/>
    <w:rsid w:val="00BD2163"/>
    <w:rsid w:val="00BD50EE"/>
    <w:rsid w:val="00BD57E5"/>
    <w:rsid w:val="00BE0A13"/>
    <w:rsid w:val="00BF17EA"/>
    <w:rsid w:val="00BF3188"/>
    <w:rsid w:val="00BF36FC"/>
    <w:rsid w:val="00BF543C"/>
    <w:rsid w:val="00BF6ED6"/>
    <w:rsid w:val="00C03CCD"/>
    <w:rsid w:val="00C07982"/>
    <w:rsid w:val="00C170D4"/>
    <w:rsid w:val="00C203ED"/>
    <w:rsid w:val="00C232B0"/>
    <w:rsid w:val="00C30271"/>
    <w:rsid w:val="00C35FF4"/>
    <w:rsid w:val="00C378A2"/>
    <w:rsid w:val="00C4424A"/>
    <w:rsid w:val="00C45B5C"/>
    <w:rsid w:val="00C46E7C"/>
    <w:rsid w:val="00C55326"/>
    <w:rsid w:val="00C56CE2"/>
    <w:rsid w:val="00C603B2"/>
    <w:rsid w:val="00C66AE4"/>
    <w:rsid w:val="00C73B22"/>
    <w:rsid w:val="00C81AD9"/>
    <w:rsid w:val="00C90F98"/>
    <w:rsid w:val="00C960B6"/>
    <w:rsid w:val="00C96782"/>
    <w:rsid w:val="00CA7CD2"/>
    <w:rsid w:val="00CB638F"/>
    <w:rsid w:val="00CC098A"/>
    <w:rsid w:val="00CC4C3D"/>
    <w:rsid w:val="00CD3B84"/>
    <w:rsid w:val="00CD7D8B"/>
    <w:rsid w:val="00CE51D6"/>
    <w:rsid w:val="00CE7A24"/>
    <w:rsid w:val="00D01334"/>
    <w:rsid w:val="00D07AB1"/>
    <w:rsid w:val="00D106BB"/>
    <w:rsid w:val="00D267CD"/>
    <w:rsid w:val="00D36AFD"/>
    <w:rsid w:val="00D40D5A"/>
    <w:rsid w:val="00D43092"/>
    <w:rsid w:val="00D46E26"/>
    <w:rsid w:val="00D63E21"/>
    <w:rsid w:val="00D74A4A"/>
    <w:rsid w:val="00D76CDF"/>
    <w:rsid w:val="00D8036D"/>
    <w:rsid w:val="00D83564"/>
    <w:rsid w:val="00D90603"/>
    <w:rsid w:val="00DA16F9"/>
    <w:rsid w:val="00DA2944"/>
    <w:rsid w:val="00DA55B6"/>
    <w:rsid w:val="00DB3E36"/>
    <w:rsid w:val="00DB7F6C"/>
    <w:rsid w:val="00DC5F13"/>
    <w:rsid w:val="00DC6C81"/>
    <w:rsid w:val="00DE2EE1"/>
    <w:rsid w:val="00DE7F71"/>
    <w:rsid w:val="00DF0464"/>
    <w:rsid w:val="00DF08B9"/>
    <w:rsid w:val="00DF6177"/>
    <w:rsid w:val="00E101AC"/>
    <w:rsid w:val="00E154D5"/>
    <w:rsid w:val="00E16CD8"/>
    <w:rsid w:val="00E36AE9"/>
    <w:rsid w:val="00E376F9"/>
    <w:rsid w:val="00E411AB"/>
    <w:rsid w:val="00E47BF4"/>
    <w:rsid w:val="00E5521B"/>
    <w:rsid w:val="00E6061A"/>
    <w:rsid w:val="00E6498A"/>
    <w:rsid w:val="00E676EC"/>
    <w:rsid w:val="00E71FAC"/>
    <w:rsid w:val="00E86721"/>
    <w:rsid w:val="00E9135F"/>
    <w:rsid w:val="00E92BD8"/>
    <w:rsid w:val="00E93DF1"/>
    <w:rsid w:val="00EA2C67"/>
    <w:rsid w:val="00EA592A"/>
    <w:rsid w:val="00EB7721"/>
    <w:rsid w:val="00EC0A2F"/>
    <w:rsid w:val="00EC2660"/>
    <w:rsid w:val="00EC567A"/>
    <w:rsid w:val="00EC7E70"/>
    <w:rsid w:val="00EE3821"/>
    <w:rsid w:val="00EE5E96"/>
    <w:rsid w:val="00EF3BAF"/>
    <w:rsid w:val="00EF4E62"/>
    <w:rsid w:val="00EF71F3"/>
    <w:rsid w:val="00F0525D"/>
    <w:rsid w:val="00F052C0"/>
    <w:rsid w:val="00F063F5"/>
    <w:rsid w:val="00F105C6"/>
    <w:rsid w:val="00F157D0"/>
    <w:rsid w:val="00F175B8"/>
    <w:rsid w:val="00F223A0"/>
    <w:rsid w:val="00F35245"/>
    <w:rsid w:val="00F40D40"/>
    <w:rsid w:val="00F45A4B"/>
    <w:rsid w:val="00F55B25"/>
    <w:rsid w:val="00F64285"/>
    <w:rsid w:val="00F67F7A"/>
    <w:rsid w:val="00F7131D"/>
    <w:rsid w:val="00F77FE3"/>
    <w:rsid w:val="00F83CD8"/>
    <w:rsid w:val="00F954B7"/>
    <w:rsid w:val="00FA0367"/>
    <w:rsid w:val="00FA0EC9"/>
    <w:rsid w:val="00FA2173"/>
    <w:rsid w:val="00FA2EAD"/>
    <w:rsid w:val="00FA2FD3"/>
    <w:rsid w:val="00FA367A"/>
    <w:rsid w:val="00FA484D"/>
    <w:rsid w:val="00FA4F3D"/>
    <w:rsid w:val="00FA5D1A"/>
    <w:rsid w:val="00FA7703"/>
    <w:rsid w:val="00FB016B"/>
    <w:rsid w:val="00FC1CAC"/>
    <w:rsid w:val="00FC6B8D"/>
    <w:rsid w:val="00FD19A6"/>
    <w:rsid w:val="00FD4621"/>
    <w:rsid w:val="00FD61B8"/>
    <w:rsid w:val="00FD702C"/>
    <w:rsid w:val="00FD7D97"/>
    <w:rsid w:val="00FE0ECF"/>
    <w:rsid w:val="00FE1713"/>
    <w:rsid w:val="00FE3BF2"/>
    <w:rsid w:val="00FE70A6"/>
    <w:rsid w:val="00FE76A2"/>
    <w:rsid w:val="00FF29E1"/>
    <w:rsid w:val="00FF4BDE"/>
    <w:rsid w:val="00FF5A87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D2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74C"/>
    <w:pPr>
      <w:spacing w:after="200" w:line="36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CFCountrytitle">
    <w:name w:val="PCF_Country_title"/>
    <w:basedOn w:val="Normalny"/>
    <w:next w:val="Normalny"/>
    <w:rsid w:val="008003FF"/>
    <w:pPr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styleId="Tekstprzypisukocowego">
    <w:name w:val="endnote text"/>
    <w:basedOn w:val="Normalny"/>
    <w:semiHidden/>
    <w:rsid w:val="003E2590"/>
    <w:rPr>
      <w:sz w:val="20"/>
      <w:szCs w:val="20"/>
    </w:rPr>
  </w:style>
  <w:style w:type="character" w:styleId="Odwoanieprzypisukocowego">
    <w:name w:val="endnote reference"/>
    <w:semiHidden/>
    <w:rsid w:val="003E25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E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4E6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F4E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7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C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57C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C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4616</Words>
  <Characters>23363</Characters>
  <Application>Microsoft Office Word</Application>
  <DocSecurity>0</DocSecurity>
  <Lines>569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2021-06-15T10:22:00Z</dcterms:created>
  <dcterms:modified xsi:type="dcterms:W3CDTF">2021-06-15T10:22:00Z</dcterms:modified>
</cp:coreProperties>
</file>