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9528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05C6D243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77D06B1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2769089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2993C89D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583F7A5" w14:textId="77777777"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14:paraId="52C028CA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0E9C1E6" w14:textId="77777777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2C05958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24A9429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302EB3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C8FE5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05485E9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6CAB8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DC3AB" w14:textId="77777777"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14:paraId="0ADA055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1E78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B041F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66C6402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0A7ED7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0E176" w14:textId="77777777"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6CE0C92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984BF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84D15" w14:textId="5924BA99"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  <w:bookmarkStart w:id="0" w:name="_GoBack"/>
            <w:bookmarkEnd w:id="0"/>
          </w:p>
          <w:p w14:paraId="3AA1D122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779FE6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92128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CDC5B7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EC3F2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6AC2040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4FBAE0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0F69F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1FD9652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2191A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2DE93D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DA2120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6E35C527" w14:textId="77777777"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14:paraId="720B3A7F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3D02175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52A0612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11B59E45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DBB8189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654E5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27B5D43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907F6D" w:rsidRPr="002B50C0" w14:paraId="499802E1" w14:textId="77777777" w:rsidTr="00647A7F">
        <w:tc>
          <w:tcPr>
            <w:tcW w:w="2972" w:type="dxa"/>
          </w:tcPr>
          <w:p w14:paraId="7F85891D" w14:textId="77777777" w:rsidR="00907F6D" w:rsidRPr="00F53AF2" w:rsidRDefault="00CE700E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0EA2BC0" w14:textId="77777777"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47124C">
              <w:rPr>
                <w:rFonts w:ascii="Arial" w:hAnsi="Arial" w:cs="Arial"/>
                <w:sz w:val="18"/>
                <w:szCs w:val="18"/>
              </w:rPr>
              <w:t>0,84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729D354C" w14:textId="77777777"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128891" w14:textId="38923762"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8719AD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0DE224" w14:textId="77777777"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A95325" w14:textId="72151744" w:rsidR="002D433F" w:rsidRPr="00523B6B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53247465" w14:textId="77777777" w:rsidR="008719AD" w:rsidRPr="002D433F" w:rsidRDefault="008719AD" w:rsidP="00871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0,00%</w:t>
            </w:r>
            <w:r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3E7AB00" w14:textId="4DA5225F" w:rsidR="00907F6D" w:rsidRPr="00F53AF2" w:rsidRDefault="00907F6D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B35072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522160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7B40AF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95"/>
        <w:gridCol w:w="1802"/>
        <w:gridCol w:w="1306"/>
        <w:gridCol w:w="1395"/>
        <w:gridCol w:w="2900"/>
      </w:tblGrid>
      <w:tr w:rsidR="004350B8" w:rsidRPr="002B50C0" w14:paraId="37B1CEC9" w14:textId="77777777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115B2A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8743D8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E6899F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6DE67F3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3EAAC0C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5F8EB691" w14:textId="77777777" w:rsidTr="00AF7FB2">
        <w:trPr>
          <w:trHeight w:val="851"/>
        </w:trPr>
        <w:tc>
          <w:tcPr>
            <w:tcW w:w="2127" w:type="dxa"/>
          </w:tcPr>
          <w:p w14:paraId="3B56B59C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Złożenie dokumentacji aplikacyjnej o dofina</w:t>
            </w:r>
            <w:r w:rsidRPr="00F53AF2">
              <w:rPr>
                <w:rFonts w:ascii="Arial" w:hAnsi="Arial" w:cs="Arial"/>
                <w:sz w:val="18"/>
                <w:szCs w:val="18"/>
              </w:rPr>
              <w:t>n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EB2E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B27FE74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14:paraId="48599191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14:paraId="2F323108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338FD314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A17192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</w:rPr>
              <w:t>cja złożona 28.02.2019</w:t>
            </w:r>
          </w:p>
        </w:tc>
      </w:tr>
      <w:tr w:rsidR="00AF7FB2" w:rsidRPr="002B50C0" w14:paraId="3602AD3D" w14:textId="77777777" w:rsidTr="00AF7FB2">
        <w:trPr>
          <w:trHeight w:val="701"/>
        </w:trPr>
        <w:tc>
          <w:tcPr>
            <w:tcW w:w="2127" w:type="dxa"/>
          </w:tcPr>
          <w:p w14:paraId="00FED24A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Podpisanie poroz</w:t>
            </w:r>
            <w:r w:rsidRPr="00F53AF2">
              <w:rPr>
                <w:rFonts w:ascii="Arial" w:hAnsi="Arial" w:cs="Arial"/>
                <w:sz w:val="18"/>
                <w:szCs w:val="18"/>
              </w:rPr>
              <w:t>u</w:t>
            </w:r>
            <w:r w:rsidRPr="00F53AF2">
              <w:rPr>
                <w:rFonts w:ascii="Arial" w:hAnsi="Arial" w:cs="Arial"/>
                <w:sz w:val="18"/>
                <w:szCs w:val="18"/>
              </w:rPr>
              <w:t>mienia o dofinansow</w:t>
            </w:r>
            <w:r w:rsidRPr="00F53AF2">
              <w:rPr>
                <w:rFonts w:ascii="Arial" w:hAnsi="Arial" w:cs="Arial"/>
                <w:sz w:val="18"/>
                <w:szCs w:val="18"/>
              </w:rPr>
              <w:t>a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0CCA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0B58C29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1FCEB99E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14:paraId="58B3A921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6C42CE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4BE7A5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>Przekroczenie planowanego terminu osiągnięcia kamienia milowego wyniknęło z nagłego odwołania Dyrektora ORE maj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cego być sygnatariuszem por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śmy podpisanie z końcem czer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34F87F27" w14:textId="77777777" w:rsidTr="00AF7FB2">
        <w:trPr>
          <w:trHeight w:val="726"/>
        </w:trPr>
        <w:tc>
          <w:tcPr>
            <w:tcW w:w="2127" w:type="dxa"/>
          </w:tcPr>
          <w:p w14:paraId="1FBCC039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</w:t>
            </w:r>
            <w:r w:rsidRPr="00F53AF2">
              <w:rPr>
                <w:rFonts w:ascii="Arial" w:hAnsi="Arial" w:cs="Arial"/>
                <w:sz w:val="18"/>
                <w:szCs w:val="18"/>
              </w:rPr>
              <w:t>ę</w:t>
            </w:r>
            <w:r w:rsidRPr="00F53AF2">
              <w:rPr>
                <w:rFonts w:ascii="Arial" w:hAnsi="Arial" w:cs="Arial"/>
                <w:sz w:val="18"/>
                <w:szCs w:val="18"/>
              </w:rPr>
              <w:t>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13FD" w14:textId="77777777" w:rsidR="00AF7FB2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1369D1D" w14:textId="77777777"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473630F6" w14:textId="77777777"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05011587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15A38C73" w14:textId="77777777"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FD84B" w14:textId="77777777"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hAnsi="Arial" w:cs="Arial"/>
                <w:i/>
                <w:sz w:val="18"/>
                <w:szCs w:val="18"/>
              </w:rPr>
              <w:t>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>sowanie i podziałem zadań.</w:t>
            </w:r>
          </w:p>
          <w:p w14:paraId="182977C9" w14:textId="77777777" w:rsidR="00AF7FB2" w:rsidRDefault="0001599B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 xml:space="preserve"> (w dniu 20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.12.2019 r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Beneficjent 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otrzymał informację o zatwierdzeniu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zaktualizowanego wniosku o dofinansowanie przez IP (CPPC)</w:t>
            </w:r>
            <w:r w:rsidR="00C8273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09E518E3" w14:textId="77777777"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14:paraId="29D97F02" w14:textId="77777777" w:rsidTr="00AF7FB2">
        <w:trPr>
          <w:trHeight w:val="1139"/>
        </w:trPr>
        <w:tc>
          <w:tcPr>
            <w:tcW w:w="2127" w:type="dxa"/>
          </w:tcPr>
          <w:p w14:paraId="3C32C7F8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55E8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3A24C79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14:paraId="245C715D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0975B822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4259E70" w14:textId="77777777" w:rsidR="003D7C7D" w:rsidRDefault="003D7C7D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3BD700" w14:textId="77777777" w:rsidR="003D7C7D" w:rsidRP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nością wprowadzenia Partnera do projektu a w konsekwencji modyfikacją wniosku o dofina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sowanie i podziałem zadań.</w:t>
            </w:r>
          </w:p>
          <w:p w14:paraId="3CB3EA33" w14:textId="77777777" w:rsid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(w dniu 20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.12.2019.) Beneficjent otrzymał informację o zatwierdzeniu zaktualizowanego wniosku o dofinansowanie przez IP (CPPC)</w:t>
            </w:r>
          </w:p>
          <w:p w14:paraId="5D2C8024" w14:textId="77777777" w:rsidR="00C82738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F3CC836" w14:textId="77777777"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14:paraId="4CEE1E26" w14:textId="77777777" w:rsidTr="00DA446D">
        <w:trPr>
          <w:trHeight w:val="601"/>
        </w:trPr>
        <w:tc>
          <w:tcPr>
            <w:tcW w:w="2127" w:type="dxa"/>
          </w:tcPr>
          <w:p w14:paraId="17EA3CD5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756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2850B50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150FB0F7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1604B05A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2C71E3A2" w14:textId="77777777" w:rsidTr="00DA446D">
        <w:trPr>
          <w:trHeight w:val="1152"/>
        </w:trPr>
        <w:tc>
          <w:tcPr>
            <w:tcW w:w="2127" w:type="dxa"/>
          </w:tcPr>
          <w:p w14:paraId="66076D25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</w:t>
            </w:r>
            <w:r w:rsidRPr="00F53AF2">
              <w:rPr>
                <w:rFonts w:ascii="Arial" w:hAnsi="Arial" w:cs="Arial"/>
                <w:sz w:val="18"/>
                <w:szCs w:val="18"/>
              </w:rPr>
              <w:t>o</w:t>
            </w:r>
            <w:r w:rsidRPr="00F53AF2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205F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B2DC6F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46378FA8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5C8EFF44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4E3A85F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BF2817" w14:textId="77777777"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14:paraId="5ACE5239" w14:textId="77777777" w:rsidTr="00DA446D">
        <w:trPr>
          <w:trHeight w:val="1125"/>
        </w:trPr>
        <w:tc>
          <w:tcPr>
            <w:tcW w:w="2127" w:type="dxa"/>
          </w:tcPr>
          <w:p w14:paraId="2836793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nieniami - uszczegół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479C" w14:textId="77777777"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06CBFA5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5A4FF788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48D7F605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200600F3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5F29AB" w14:textId="77777777"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14:paraId="4D15C3B5" w14:textId="77777777" w:rsidTr="00DA446D">
        <w:trPr>
          <w:trHeight w:val="1332"/>
        </w:trPr>
        <w:tc>
          <w:tcPr>
            <w:tcW w:w="2127" w:type="dxa"/>
          </w:tcPr>
          <w:p w14:paraId="38352B06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</w:t>
            </w:r>
            <w:r w:rsidR="007759B7">
              <w:rPr>
                <w:rFonts w:ascii="Arial" w:hAnsi="Arial" w:cs="Arial"/>
                <w:sz w:val="18"/>
                <w:szCs w:val="18"/>
              </w:rPr>
              <w:t>a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689B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727A03EF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4DF5CACE" w14:textId="77777777"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289" w:type="dxa"/>
          </w:tcPr>
          <w:p w14:paraId="697218B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14:paraId="592B73E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309768C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7CDFC52" w14:textId="77777777" w:rsidTr="00DA446D">
        <w:trPr>
          <w:trHeight w:val="838"/>
        </w:trPr>
        <w:tc>
          <w:tcPr>
            <w:tcW w:w="2127" w:type="dxa"/>
          </w:tcPr>
          <w:p w14:paraId="5701D17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A756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1F682E8" w14:textId="77777777"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289" w:type="dxa"/>
          </w:tcPr>
          <w:p w14:paraId="2908D114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5249BB17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719B3E7D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6BB93925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D22479" w14:textId="77777777"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niami realizowany będzie jako podsystem zależny od systemu WPR, tym samym Wskaźnik KPI 1 dotyczący Systemu Zarządz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 Uprawnieniami jest powiąz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ny również z tą pozycją.</w:t>
            </w:r>
          </w:p>
        </w:tc>
      </w:tr>
      <w:tr w:rsidR="0001599B" w:rsidRPr="002B50C0" w14:paraId="1FB12B03" w14:textId="77777777" w:rsidTr="00DA446D">
        <w:trPr>
          <w:trHeight w:val="1407"/>
        </w:trPr>
        <w:tc>
          <w:tcPr>
            <w:tcW w:w="2127" w:type="dxa"/>
          </w:tcPr>
          <w:p w14:paraId="04557869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0479" w14:textId="77777777" w:rsidR="0001599B" w:rsidRPr="0001599B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352D75D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C0F8C4F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B867130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6ACBCD35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14:paraId="685E0774" w14:textId="77777777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78C502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CEBE99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16C541E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E3C0B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36500B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4D8B329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rastająco)</w:t>
            </w:r>
          </w:p>
        </w:tc>
      </w:tr>
      <w:tr w:rsidR="006A60AA" w:rsidRPr="002B50C0" w14:paraId="1B339B3C" w14:textId="77777777" w:rsidTr="00647A7F">
        <w:trPr>
          <w:trHeight w:val="889"/>
        </w:trPr>
        <w:tc>
          <w:tcPr>
            <w:tcW w:w="2545" w:type="dxa"/>
          </w:tcPr>
          <w:p w14:paraId="7A50EBFE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z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jących zadania publiczne</w:t>
            </w:r>
          </w:p>
        </w:tc>
        <w:tc>
          <w:tcPr>
            <w:tcW w:w="1278" w:type="dxa"/>
          </w:tcPr>
          <w:p w14:paraId="0D7A5CF9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A4D6CF0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758FAAB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14:paraId="2B9556E7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14:paraId="2AA5B184" w14:textId="77777777" w:rsidTr="00647A7F">
        <w:trPr>
          <w:trHeight w:val="138"/>
        </w:trPr>
        <w:tc>
          <w:tcPr>
            <w:tcW w:w="2545" w:type="dxa"/>
          </w:tcPr>
          <w:p w14:paraId="25D712EF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46FE0EE6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8E709D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282EF75" w14:textId="77777777"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34292CBA" w14:textId="77777777"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64BD079E" w14:textId="77777777" w:rsidTr="00647A7F">
        <w:trPr>
          <w:trHeight w:val="1302"/>
        </w:trPr>
        <w:tc>
          <w:tcPr>
            <w:tcW w:w="2545" w:type="dxa"/>
          </w:tcPr>
          <w:p w14:paraId="3197D58B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wykonujących z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28E7FF0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2E841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7E8EE93B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4B966C14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13DFEC16" w14:textId="77777777" w:rsidTr="00647A7F">
        <w:trPr>
          <w:trHeight w:val="134"/>
        </w:trPr>
        <w:tc>
          <w:tcPr>
            <w:tcW w:w="2545" w:type="dxa"/>
          </w:tcPr>
          <w:p w14:paraId="42DA15C2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438199C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DF458A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01F8F853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475B47D7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14:paraId="12F0175C" w14:textId="77777777" w:rsidTr="00647A7F">
        <w:trPr>
          <w:trHeight w:val="1327"/>
        </w:trPr>
        <w:tc>
          <w:tcPr>
            <w:tcW w:w="2545" w:type="dxa"/>
          </w:tcPr>
          <w:p w14:paraId="1070BE78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5047B718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A47E1B8" w14:textId="77777777" w:rsidR="008D4B4A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2AB2D0E" w14:textId="77777777" w:rsidR="008D4B4A" w:rsidRDefault="00446D55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36C03"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127" w:type="dxa"/>
          </w:tcPr>
          <w:p w14:paraId="5BEC4A6D" w14:textId="77777777" w:rsidR="008D4B4A" w:rsidRDefault="00446D55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14:paraId="1FBCDD25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5E070862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B7C9B2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6659D2C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1EF9114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5418FF4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74A18099" w14:textId="77777777" w:rsidTr="00647A7F">
        <w:tc>
          <w:tcPr>
            <w:tcW w:w="2547" w:type="dxa"/>
          </w:tcPr>
          <w:p w14:paraId="4ED98885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0A5725E5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4C5571EC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CZY</w:t>
            </w:r>
          </w:p>
        </w:tc>
        <w:tc>
          <w:tcPr>
            <w:tcW w:w="4118" w:type="dxa"/>
          </w:tcPr>
          <w:p w14:paraId="05003943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72CF75CD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14:paraId="76EE2A0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BE71C0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C2A26D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81FA1E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091DD9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79045F2F" w14:textId="77777777" w:rsidTr="00C6751B">
        <w:tc>
          <w:tcPr>
            <w:tcW w:w="2937" w:type="dxa"/>
          </w:tcPr>
          <w:p w14:paraId="29CEBE96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B724B7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1134" w:type="dxa"/>
          </w:tcPr>
          <w:p w14:paraId="6AC71A28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4394" w:type="dxa"/>
          </w:tcPr>
          <w:p w14:paraId="73435442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37C48DFA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7199C7A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A878C1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D14E5E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5C5A41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A33FA6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3AC6B95B" w14:textId="77777777" w:rsidTr="00B60A3C">
        <w:trPr>
          <w:trHeight w:val="676"/>
        </w:trPr>
        <w:tc>
          <w:tcPr>
            <w:tcW w:w="2547" w:type="dxa"/>
          </w:tcPr>
          <w:p w14:paraId="2C94DF78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64DCED7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204FC8D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24597D0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tryzowane i konfigurowane pod potrzeby ORE, nie gwarantuje pełnej kompleme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tarności) Wdrożenie będzie następowało</w:t>
            </w:r>
          </w:p>
          <w:p w14:paraId="181E13D1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54EAFB1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55AF63BE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pewnić komplementarność systemów.</w:t>
            </w:r>
          </w:p>
          <w:p w14:paraId="44924751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39BC1D82" w14:textId="77777777" w:rsidTr="00B60A3C">
        <w:trPr>
          <w:trHeight w:val="563"/>
        </w:trPr>
        <w:tc>
          <w:tcPr>
            <w:tcW w:w="2547" w:type="dxa"/>
          </w:tcPr>
          <w:p w14:paraId="74C1A41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cza</w:t>
            </w:r>
          </w:p>
        </w:tc>
        <w:tc>
          <w:tcPr>
            <w:tcW w:w="1701" w:type="dxa"/>
          </w:tcPr>
          <w:p w14:paraId="43C1AE06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783DECB9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AF7F85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zostałych systemów wchodzących w skład Projektu, ma pełnić funkcję eleme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tu centralnego, integrującego i rozszerz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jącego funkcje innych systemów.</w:t>
            </w:r>
          </w:p>
        </w:tc>
      </w:tr>
      <w:tr w:rsidR="00B60A3C" w:rsidRPr="002B50C0" w14:paraId="081CA813" w14:textId="77777777" w:rsidTr="00B60A3C">
        <w:trPr>
          <w:trHeight w:val="526"/>
        </w:trPr>
        <w:tc>
          <w:tcPr>
            <w:tcW w:w="2547" w:type="dxa"/>
          </w:tcPr>
          <w:p w14:paraId="00C4D860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Finansowo – K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drowo – Płacowy </w:t>
            </w:r>
          </w:p>
        </w:tc>
        <w:tc>
          <w:tcPr>
            <w:tcW w:w="1701" w:type="dxa"/>
          </w:tcPr>
          <w:p w14:paraId="1AAD8DAE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F210589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0DE1607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 pobieranie danych.</w:t>
            </w:r>
          </w:p>
          <w:p w14:paraId="62FFBDAE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0B98E2CE" w14:textId="77777777" w:rsidTr="00B60A3C">
        <w:trPr>
          <w:trHeight w:val="500"/>
        </w:trPr>
        <w:tc>
          <w:tcPr>
            <w:tcW w:w="2547" w:type="dxa"/>
          </w:tcPr>
          <w:p w14:paraId="4E689ECB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nieniami </w:t>
            </w:r>
          </w:p>
        </w:tc>
        <w:tc>
          <w:tcPr>
            <w:tcW w:w="1701" w:type="dxa"/>
          </w:tcPr>
          <w:p w14:paraId="1EA0ACF0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151728D7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348675AE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</w:t>
            </w:r>
            <w:r w:rsidRPr="0001599B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macje o uprawnieniach jakie do danego systemu mają/powinni mieć użytkownicy. Dzięki temu możliwe będzie łatwe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wanie uprawnień do licznie funkcjonuj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cych w ORE systemów. W ramach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temu nastąpi inwentaryzacja pozostałych systemów informatycznych (również niezwiązanych z projektem) pod kątem funkcjonującego w nich systemu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nień, by system mógł nadzorować zmi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ny uprawnień i uczestniczyć w ich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waniu i odbieraniu.</w:t>
            </w:r>
          </w:p>
          <w:p w14:paraId="255D692E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7CBD7EAC" w14:textId="77777777" w:rsidTr="002D433F">
        <w:trPr>
          <w:trHeight w:val="789"/>
        </w:trPr>
        <w:tc>
          <w:tcPr>
            <w:tcW w:w="2547" w:type="dxa"/>
          </w:tcPr>
          <w:p w14:paraId="0341AB31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14:paraId="09512CAE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A2BB355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98B7D1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cego modułu „Narzędzie do kształtow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nia asynchronicznego na odległość” o nowe możliwości Bezpośredni dostęp do bazy danych lub API. W ramach tworz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dzania użytkownikami kursu, zasobami edukacyjnymi, postępami w nauce oraz funkcjami rejestracji i raportowania.</w:t>
            </w:r>
          </w:p>
          <w:p w14:paraId="074BA9CB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14:paraId="7017E2B2" w14:textId="77777777" w:rsidTr="002D433F">
        <w:trPr>
          <w:trHeight w:val="789"/>
        </w:trPr>
        <w:tc>
          <w:tcPr>
            <w:tcW w:w="2547" w:type="dxa"/>
          </w:tcPr>
          <w:p w14:paraId="0CB199F4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146BD6B9" w14:textId="77777777"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81929B6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861EEED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kontroli dostępu, pierwotnie cz</w:t>
            </w:r>
            <w:r w:rsidRPr="0001599B">
              <w:rPr>
                <w:rFonts w:ascii="Arial" w:hAnsi="Arial" w:cs="Arial"/>
                <w:sz w:val="18"/>
                <w:szCs w:val="18"/>
              </w:rPr>
              <w:t>ę</w:t>
            </w:r>
            <w:r w:rsidRPr="0001599B">
              <w:rPr>
                <w:rFonts w:ascii="Arial" w:hAnsi="Arial" w:cs="Arial"/>
                <w:sz w:val="18"/>
                <w:szCs w:val="18"/>
              </w:rPr>
              <w:t>ściowo komplementarny z systemami: WPR oraz Finansowo – Kadrowo – Pł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cowym. Obecnie, ze względu na zmianę uwarunkowań zewnętrznych, niezale</w:t>
            </w:r>
            <w:r w:rsidRPr="0001599B">
              <w:rPr>
                <w:rFonts w:ascii="Arial" w:hAnsi="Arial" w:cs="Arial"/>
                <w:sz w:val="18"/>
                <w:szCs w:val="18"/>
              </w:rPr>
              <w:t>ż</w:t>
            </w:r>
            <w:r w:rsidRPr="0001599B">
              <w:rPr>
                <w:rFonts w:ascii="Arial" w:hAnsi="Arial" w:cs="Arial"/>
                <w:sz w:val="18"/>
                <w:szCs w:val="18"/>
              </w:rPr>
              <w:t>nych od Beneficjenta, została złożona do CPPC uaktualniona dokumentacja pr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jektowa uwzględniająca możliwość opó</w:t>
            </w:r>
            <w:r w:rsidRPr="0001599B">
              <w:rPr>
                <w:rFonts w:ascii="Arial" w:hAnsi="Arial" w:cs="Arial"/>
                <w:sz w:val="18"/>
                <w:szCs w:val="18"/>
              </w:rPr>
              <w:t>ź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 lub braku realizacji tego produktu. </w:t>
            </w:r>
          </w:p>
        </w:tc>
      </w:tr>
    </w:tbl>
    <w:p w14:paraId="5F60B661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C41A0D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89"/>
        <w:gridCol w:w="2294"/>
        <w:gridCol w:w="2362"/>
      </w:tblGrid>
      <w:tr w:rsidR="00322614" w:rsidRPr="002B50C0" w14:paraId="59C1F4DA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CC4771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81A0B3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A2D36F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3A2707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CC50759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00DB24B1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Niedoszacowanie nakładów inw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stycyjnych</w:t>
            </w:r>
          </w:p>
        </w:tc>
        <w:tc>
          <w:tcPr>
            <w:tcW w:w="1697" w:type="dxa"/>
            <w:vAlign w:val="center"/>
          </w:tcPr>
          <w:p w14:paraId="721B5771" w14:textId="77777777"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DF66C49" w14:textId="77777777"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1A4F0A2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ó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7FB02E98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4F882D1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6CBF60A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1A1E01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cy monitoring wyników innych przetargów dot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czących podobnego 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kresu działań by utrzymać bieżącą aktualność sz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cowań cen, a także anal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za aktualnych rozwiązań technologicznych by uni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nąć angażowania się w tracące na znaczeniu rynkowym produkty, co często wiązałoby się ze zmniejszoną konkurency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j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nością dostawców i zwię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szeniem cen.</w:t>
            </w:r>
          </w:p>
          <w:p w14:paraId="25FDC4B6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4EC6AAC" w14:textId="591F7C66" w:rsidR="004D5C13" w:rsidRPr="003B5F80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ku do przedniego okresu sprawozdawczego </w:t>
            </w:r>
          </w:p>
        </w:tc>
      </w:tr>
      <w:tr w:rsidR="00122526" w:rsidRPr="002B50C0" w14:paraId="779E6A73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2DB7CA62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7EDBDE8D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3F5B5F7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452B08E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434BF9AC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B61D44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Szczegółowo z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a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>ryzyka lub jego całkowite wyel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 xml:space="preserve">minowanie. </w:t>
            </w:r>
          </w:p>
          <w:p w14:paraId="475FEE76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8D951D" w14:textId="464BF33E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14:paraId="0DC8325B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1366B3B8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</w:t>
            </w:r>
            <w:r w:rsidRPr="00960E98">
              <w:rPr>
                <w:rFonts w:ascii="Arial" w:hAnsi="Arial" w:cs="Arial"/>
                <w:sz w:val="18"/>
                <w:szCs w:val="20"/>
              </w:rPr>
              <w:t>ą</w:t>
            </w:r>
            <w:r w:rsidRPr="00960E98">
              <w:rPr>
                <w:rFonts w:ascii="Arial" w:hAnsi="Arial" w:cs="Arial"/>
                <w:sz w:val="18"/>
                <w:szCs w:val="20"/>
              </w:rPr>
              <w:t>zane z wyłonieniem wykonawców/</w:t>
            </w:r>
          </w:p>
        </w:tc>
        <w:tc>
          <w:tcPr>
            <w:tcW w:w="1697" w:type="dxa"/>
            <w:vAlign w:val="center"/>
          </w:tcPr>
          <w:p w14:paraId="660949B9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0D5E1AAC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E31F18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0D0AC47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200AEE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</w:t>
            </w:r>
            <w:r w:rsidRPr="00960E98">
              <w:rPr>
                <w:rFonts w:ascii="Arial" w:hAnsi="Arial" w:cs="Arial"/>
                <w:sz w:val="18"/>
                <w:szCs w:val="20"/>
              </w:rPr>
              <w:t>w</w:t>
            </w:r>
            <w:r w:rsidRPr="00960E98">
              <w:rPr>
                <w:rFonts w:ascii="Arial" w:hAnsi="Arial" w:cs="Arial"/>
                <w:sz w:val="18"/>
                <w:szCs w:val="20"/>
              </w:rPr>
              <w:t>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niem</w:t>
            </w:r>
          </w:p>
          <w:p w14:paraId="75503668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442DFE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60E98">
              <w:rPr>
                <w:rFonts w:ascii="Arial" w:hAnsi="Arial" w:cs="Arial"/>
                <w:sz w:val="18"/>
                <w:szCs w:val="20"/>
              </w:rPr>
              <w:t>i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nimalizację ryzyka lub co </w:t>
            </w: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najmniej utrzymać stopień ryzyka na tym samym poziomie.</w:t>
            </w:r>
          </w:p>
          <w:p w14:paraId="4C80E0B7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A526A4" w14:textId="0739AE1E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14:paraId="7AA1B6C4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54407931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4876261D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7A11427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98F1267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00C1EB8A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2A75B2D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jektów</w:t>
            </w:r>
          </w:p>
          <w:p w14:paraId="005A0A25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43E2FB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</w:t>
            </w:r>
            <w:r w:rsidRPr="00B242B9">
              <w:rPr>
                <w:rFonts w:ascii="Arial" w:hAnsi="Arial" w:cs="Arial"/>
                <w:sz w:val="18"/>
                <w:szCs w:val="20"/>
              </w:rPr>
              <w:t>ą</w:t>
            </w:r>
            <w:r w:rsidRPr="00B242B9">
              <w:rPr>
                <w:rFonts w:ascii="Arial" w:hAnsi="Arial" w:cs="Arial"/>
                <w:sz w:val="18"/>
                <w:szCs w:val="20"/>
              </w:rPr>
              <w:t>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5C67757D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81312C0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B242B9">
              <w:rPr>
                <w:rFonts w:ascii="Arial" w:hAnsi="Arial" w:cs="Arial"/>
                <w:sz w:val="18"/>
                <w:szCs w:val="20"/>
              </w:rPr>
              <w:t>i</w:t>
            </w:r>
            <w:r w:rsidRPr="00B242B9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4AD95C03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EC304F3" w14:textId="0FABB1E4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14:paraId="11572861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28ED6AE6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372AD066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0089A08A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3AE08C8C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537CBC76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56EBDB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</w:t>
            </w:r>
            <w:r w:rsidRPr="00941F73">
              <w:rPr>
                <w:rFonts w:ascii="Arial" w:hAnsi="Arial" w:cs="Arial"/>
                <w:sz w:val="18"/>
                <w:szCs w:val="20"/>
              </w:rPr>
              <w:t>a</w:t>
            </w:r>
            <w:r w:rsidRPr="00941F73">
              <w:rPr>
                <w:rFonts w:ascii="Arial" w:hAnsi="Arial" w:cs="Arial"/>
                <w:sz w:val="18"/>
                <w:szCs w:val="20"/>
              </w:rPr>
              <w:t>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</w:t>
            </w:r>
            <w:r w:rsidRPr="00941F73">
              <w:rPr>
                <w:rFonts w:ascii="Arial" w:hAnsi="Arial" w:cs="Arial"/>
                <w:sz w:val="18"/>
                <w:szCs w:val="20"/>
              </w:rPr>
              <w:t>w</w:t>
            </w:r>
            <w:r w:rsidRPr="00941F73">
              <w:rPr>
                <w:rFonts w:ascii="Arial" w:hAnsi="Arial" w:cs="Arial"/>
                <w:sz w:val="18"/>
                <w:szCs w:val="20"/>
              </w:rPr>
              <w:t>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nawcy</w:t>
            </w:r>
          </w:p>
          <w:p w14:paraId="68A32D76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140047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48D4204A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355B79A9" w14:textId="0CE79406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4D3477" w:rsidRPr="002B50C0" w14:paraId="74F4ABD1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57B4DEDD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14:paraId="50D6A504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857766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C4261F0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</w:t>
            </w:r>
            <w:r w:rsidRPr="00941F73">
              <w:rPr>
                <w:rFonts w:ascii="Arial" w:hAnsi="Arial" w:cs="Arial"/>
                <w:sz w:val="18"/>
                <w:szCs w:val="20"/>
              </w:rPr>
              <w:t>d</w:t>
            </w:r>
            <w:r w:rsidRPr="00941F73">
              <w:rPr>
                <w:rFonts w:ascii="Arial" w:hAnsi="Arial" w:cs="Arial"/>
                <w:sz w:val="18"/>
                <w:szCs w:val="20"/>
              </w:rPr>
              <w:t>powiednim wyprzedz</w:t>
            </w:r>
            <w:r w:rsidRPr="00941F73">
              <w:rPr>
                <w:rFonts w:ascii="Arial" w:hAnsi="Arial" w:cs="Arial"/>
                <w:sz w:val="18"/>
                <w:szCs w:val="20"/>
              </w:rPr>
              <w:t>e</w:t>
            </w:r>
            <w:r w:rsidRPr="00941F73">
              <w:rPr>
                <w:rFonts w:ascii="Arial" w:hAnsi="Arial" w:cs="Arial"/>
                <w:sz w:val="18"/>
                <w:szCs w:val="20"/>
              </w:rPr>
              <w:t>niem</w:t>
            </w:r>
          </w:p>
          <w:p w14:paraId="19B424E2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EF7ACC6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6EABE405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3578794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2B265531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F92B08" w14:textId="789EF650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</w:tbl>
    <w:p w14:paraId="69706FED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</w:t>
      </w:r>
      <w:proofErr w:type="spellStart"/>
      <w:r>
        <w:rPr>
          <w:rFonts w:ascii="Arial" w:hAnsi="Arial" w:cs="Arial"/>
          <w:b/>
          <w:sz w:val="20"/>
          <w:szCs w:val="20"/>
        </w:rPr>
        <w:t>ryzyk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1982D2C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CF824E6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ADDFE67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759FE4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883CBF0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333956C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39A72441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56AC957F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5F0126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FF27DA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38A8AAA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14:paraId="03531ED8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5C26A0D0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F4252D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43127A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4528B813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462A7E01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730C2AE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54A970A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14:paraId="2361B802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26D30116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DD80D0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7A3718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3447D45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42AAB8B8" w14:textId="77777777" w:rsidR="008A03BB" w:rsidRPr="003C7F19" w:rsidRDefault="008A03BB" w:rsidP="008A03BB">
            <w:pPr>
              <w:rPr>
                <w:lang w:eastAsia="pl-PL"/>
              </w:rPr>
            </w:pPr>
          </w:p>
          <w:p w14:paraId="2A7D48E1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</w:tc>
      </w:tr>
    </w:tbl>
    <w:p w14:paraId="76DCD726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136D660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7FCAE73B" w14:textId="77777777"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14:paraId="2615B1C7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951F623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485C6432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1B7CB6F2" w14:textId="77777777"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9BBAB2" w15:done="0"/>
  <w15:commentEx w15:paraId="78561D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52D2" w14:textId="77777777" w:rsidR="00A74C67" w:rsidRDefault="00A74C67" w:rsidP="00BB2420">
      <w:pPr>
        <w:spacing w:after="0" w:line="240" w:lineRule="auto"/>
      </w:pPr>
      <w:r>
        <w:separator/>
      </w:r>
    </w:p>
  </w:endnote>
  <w:endnote w:type="continuationSeparator" w:id="0">
    <w:p w14:paraId="40D184DF" w14:textId="77777777" w:rsidR="00A74C67" w:rsidRDefault="00A74C6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9206A0" w14:textId="77777777" w:rsidR="00C82738" w:rsidRDefault="00C827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43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501519F1" w14:textId="77777777" w:rsidR="00C82738" w:rsidRDefault="00C827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91D85" w14:textId="77777777" w:rsidR="00A74C67" w:rsidRDefault="00A74C67" w:rsidP="00BB2420">
      <w:pPr>
        <w:spacing w:after="0" w:line="240" w:lineRule="auto"/>
      </w:pPr>
      <w:r>
        <w:separator/>
      </w:r>
    </w:p>
  </w:footnote>
  <w:footnote w:type="continuationSeparator" w:id="0">
    <w:p w14:paraId="3F4F934D" w14:textId="77777777" w:rsidR="00A74C67" w:rsidRDefault="00A74C67" w:rsidP="00BB2420">
      <w:pPr>
        <w:spacing w:after="0" w:line="240" w:lineRule="auto"/>
      </w:pPr>
      <w:r>
        <w:continuationSeparator/>
      </w:r>
    </w:p>
  </w:footnote>
  <w:footnote w:id="1">
    <w:p w14:paraId="105EE834" w14:textId="77777777" w:rsidR="00C82738" w:rsidRDefault="00C827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23FED0A2" w14:textId="77777777" w:rsidR="00C82738" w:rsidRDefault="00C827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1E43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172BE"/>
    <w:rsid w:val="003221F2"/>
    <w:rsid w:val="00322614"/>
    <w:rsid w:val="00334A24"/>
    <w:rsid w:val="003410FE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2E2A"/>
    <w:rsid w:val="0047124C"/>
    <w:rsid w:val="004729D1"/>
    <w:rsid w:val="00476E2D"/>
    <w:rsid w:val="0048460F"/>
    <w:rsid w:val="00487328"/>
    <w:rsid w:val="004B2CEE"/>
    <w:rsid w:val="004C1D48"/>
    <w:rsid w:val="004D3477"/>
    <w:rsid w:val="004D5C13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719AD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F4D"/>
    <w:rsid w:val="008D1DC0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6361"/>
    <w:rsid w:val="00C302F1"/>
    <w:rsid w:val="00C318D7"/>
    <w:rsid w:val="00C3575F"/>
    <w:rsid w:val="00C42AEA"/>
    <w:rsid w:val="00C51C03"/>
    <w:rsid w:val="00C57985"/>
    <w:rsid w:val="00C6751B"/>
    <w:rsid w:val="00C82738"/>
    <w:rsid w:val="00CA516B"/>
    <w:rsid w:val="00CB70DA"/>
    <w:rsid w:val="00CC49E1"/>
    <w:rsid w:val="00CC7E21"/>
    <w:rsid w:val="00CE1190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5895"/>
    <w:rsid w:val="00EC2AFC"/>
    <w:rsid w:val="00EC2B4A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B71A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17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8490-2640-4CB1-9A14-79673DB2D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1873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2020-05-19T09:51:00Z</dcterms:created>
  <dcterms:modified xsi:type="dcterms:W3CDTF">2020-05-19T09:51:00Z</dcterms:modified>
</cp:coreProperties>
</file>