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64CE9758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2D33AC9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Analiz Podatkowych</w:t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 xml:space="preserve"> 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295358D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r w:rsidR="003726C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>kceleracja kariery zawodowej poprzez edukację studentów i absolwentów uczelni wyższych, kierunków z dziedzin nauk prawnych lub ekonomicznych, skierowan</w:t>
      </w:r>
      <w:r w:rsidR="009670D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problemów polskiego prawa podatkowego i roli Ministerstwa Finansów w kreowaniu rozwiązań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2B4F259C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749616C" w14:textId="1662A0B9" w:rsidR="00823E5F" w:rsidRDefault="00823E5F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>Dyrektor Departamentu Analiz Podatkowych lub osoba wyznaczona przez Dyrektora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>odpowiedzialn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za nadzór 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stażu.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38DDFE43" w14:textId="77777777" w:rsidR="0003488E" w:rsidRDefault="0003488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0EB1EF5A" w:rsidR="00C36723" w:rsidRPr="008D0732" w:rsidRDefault="00E9162A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</w:t>
      </w:r>
      <w:r w:rsidR="002E69FC">
        <w:rPr>
          <w:rFonts w:ascii="Times New Roman" w:hAnsi="Times New Roman" w:cs="Times New Roman"/>
          <w:sz w:val="22"/>
          <w:szCs w:val="22"/>
        </w:rPr>
        <w:t>30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5D81E1BE" w:rsidR="00E52DFD" w:rsidRPr="008D0732" w:rsidRDefault="00711E67" w:rsidP="001044A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formularz aplikacyjny dostępny na stronie </w:t>
      </w:r>
      <w:hyperlink r:id="rId11" w:history="1">
        <w:r w:rsidR="00F57E5F" w:rsidRPr="00351C1A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www.gov.pl/web/finanse/podatkowi-liderzy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175FE6CF" w:rsidR="00E52DFD" w:rsidRPr="008D0732" w:rsidRDefault="00DC7DFC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DFC">
        <w:rPr>
          <w:rFonts w:asciiTheme="minorHAnsi" w:hAnsiTheme="minorHAnsi" w:cstheme="minorBidi"/>
          <w:color w:val="auto"/>
        </w:rPr>
        <w:t xml:space="preserve"> </w:t>
      </w:r>
      <w:r w:rsidR="000771CA"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 w:rsidR="000771CA"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 w:rsidR="000771CA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4E4ED121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355F64A" w14:textId="0D8EA141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</w:t>
      </w:r>
      <w:r w:rsidR="00CD16BC" w:rsidRPr="00A83D2C">
        <w:rPr>
          <w:rFonts w:ascii="Times New Roman" w:hAnsi="Times New Roman" w:cs="Times New Roman"/>
        </w:rPr>
        <w:t xml:space="preserve">na temat </w:t>
      </w:r>
      <w:r w:rsidR="002324EC" w:rsidRPr="00A83D2C">
        <w:rPr>
          <w:rFonts w:ascii="Times New Roman" w:hAnsi="Times New Roman" w:cs="Times New Roman"/>
        </w:rPr>
        <w:t>„</w:t>
      </w:r>
      <w:r w:rsidR="00FF693C">
        <w:rPr>
          <w:rFonts w:ascii="Times New Roman" w:hAnsi="Times New Roman" w:cs="Times New Roman"/>
        </w:rPr>
        <w:t>Podatki w czasie</w:t>
      </w:r>
      <w:r w:rsidR="0048579D">
        <w:rPr>
          <w:rFonts w:ascii="Times New Roman" w:hAnsi="Times New Roman" w:cs="Times New Roman"/>
        </w:rPr>
        <w:t xml:space="preserve"> pandemii</w:t>
      </w:r>
      <w:r w:rsidR="002324EC" w:rsidRPr="00A83D2C">
        <w:rPr>
          <w:rFonts w:ascii="Times New Roman" w:hAnsi="Times New Roman" w:cs="Times New Roman"/>
        </w:rPr>
        <w:t>”</w:t>
      </w:r>
      <w:r w:rsidR="00E673BB" w:rsidRPr="00A83D2C">
        <w:rPr>
          <w:rFonts w:ascii="Times New Roman" w:hAnsi="Times New Roman" w:cs="Times New Roman"/>
        </w:rPr>
        <w:t xml:space="preserve">. </w:t>
      </w:r>
      <w:r w:rsidR="00C12CC8" w:rsidRPr="00A83D2C">
        <w:rPr>
          <w:rFonts w:ascii="Times New Roman" w:hAnsi="Times New Roman" w:cs="Times New Roman"/>
        </w:rPr>
        <w:t>P</w:t>
      </w:r>
      <w:r w:rsidR="00C12CC8" w:rsidRPr="00800300">
        <w:rPr>
          <w:rFonts w:ascii="Times New Roman" w:hAnsi="Times New Roman" w:cs="Times New Roman"/>
        </w:rPr>
        <w:t>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 formatu A4, czcionka 12.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3100A64F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3E2005A4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Uczestnika 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0B4E28C7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7819">
        <w:rPr>
          <w:rFonts w:ascii="Times New Roman" w:hAnsi="Times New Roman" w:cs="Times New Roman"/>
          <w:b/>
          <w:color w:val="FF0000"/>
          <w:sz w:val="22"/>
          <w:szCs w:val="22"/>
        </w:rPr>
        <w:t>29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listopada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4518FA2A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stycznia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1680A77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03488E">
        <w:rPr>
          <w:rFonts w:ascii="Times New Roman" w:hAnsi="Times New Roman" w:cs="Times New Roman"/>
          <w:sz w:val="22"/>
          <w:szCs w:val="22"/>
        </w:rPr>
        <w:t>;</w:t>
      </w:r>
    </w:p>
    <w:p w14:paraId="594313FF" w14:textId="3816E98D" w:rsidR="00E82157" w:rsidRDefault="00292AB0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821636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24</w:t>
      </w:r>
      <w:r w:rsidR="000C630D" w:rsidRPr="00E82157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509D0216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AA7819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grudnia 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>2020 r.</w:t>
      </w:r>
    </w:p>
    <w:p w14:paraId="00B118CA" w14:textId="6D8527DC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D2F9028" w14:textId="3A55A477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11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– 1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5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stycznia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DC7DFC" w:rsidRPr="002324E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92AB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C7DF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90654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4672B292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do 10</w:t>
      </w:r>
      <w:r w:rsidR="00B67E70"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2A7A65C5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24 stycznia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074B9">
        <w:rPr>
          <w:rFonts w:ascii="Times New Roman" w:hAnsi="Times New Roman" w:cs="Times New Roman"/>
          <w:b/>
          <w:color w:val="FF0000"/>
          <w:sz w:val="22"/>
          <w:szCs w:val="22"/>
        </w:rPr>
        <w:t>21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257BA6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9FA3258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w wymiarze miesięcznym nie większym niż 176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B8B329C" w14:textId="5FF217FA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FEDBA" w14:textId="5FCBAA26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lutego</w:t>
      </w:r>
      <w:r w:rsidR="00257BA6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30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czerwca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1AFA0419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5,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F57E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30 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września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723F6D4F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47BFBFE" w:rsidR="00AF2637" w:rsidRPr="00957098" w:rsidRDefault="003B2FE0" w:rsidP="0043291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</w:t>
      </w:r>
      <w:r w:rsidR="00593BF6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podlegają usunięciu.</w:t>
      </w:r>
    </w:p>
    <w:p w14:paraId="6F665005" w14:textId="77777777" w:rsidR="0003488E" w:rsidRDefault="0003488E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385F5FB4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593BF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poz. 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231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C9B211" w14:textId="314820C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6BD8EA2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poważnić do tego osoby trzecie.</w:t>
      </w:r>
    </w:p>
    <w:p w14:paraId="2EE27CBE" w14:textId="66345914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Konkursu, z chwilą przesłania zgłoszenia do Ko</w:t>
      </w:r>
      <w:r w:rsidR="00257BA6">
        <w:rPr>
          <w:rFonts w:ascii="Times New Roman" w:hAnsi="Times New Roman" w:cs="Times New Roman"/>
          <w:color w:val="auto"/>
          <w:sz w:val="22"/>
          <w:szCs w:val="22"/>
        </w:rPr>
        <w:t>nkursu wraz z pracą konkursową,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z tego tytułu dodatkowego wynagrodzenia.</w:t>
      </w:r>
    </w:p>
    <w:p w14:paraId="5F42FDA1" w14:textId="3A78E82E" w:rsidR="00DC7DFC" w:rsidRDefault="005E6AAF" w:rsidP="00DC7DFC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</w:t>
      </w:r>
      <w:r w:rsidR="00257BA6">
        <w:rPr>
          <w:rFonts w:ascii="Times New Roman" w:hAnsi="Times New Roman" w:cs="Times New Roman"/>
          <w:color w:val="auto"/>
          <w:sz w:val="22"/>
          <w:szCs w:val="22"/>
        </w:rPr>
        <w:t>ało żadnych praw osób trzecich.</w:t>
      </w:r>
    </w:p>
    <w:p w14:paraId="260541E3" w14:textId="77777777" w:rsidR="00DC7DFC" w:rsidRPr="00DC7DFC" w:rsidRDefault="00DC7DFC" w:rsidP="00DC7DFC">
      <w:pPr>
        <w:pStyle w:val="Default"/>
        <w:spacing w:after="120"/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739A4986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07C9CD8" w14:textId="47958529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 w:rsidR="00263CEC">
        <w:rPr>
          <w:rFonts w:ascii="Times New Roman" w:hAnsi="Times New Roman" w:cs="Times New Roman"/>
          <w:sz w:val="22"/>
          <w:szCs w:val="22"/>
        </w:rPr>
        <w:t xml:space="preserve">w odniesieniu do </w:t>
      </w:r>
      <w:r>
        <w:rPr>
          <w:rFonts w:ascii="Times New Roman" w:hAnsi="Times New Roman" w:cs="Times New Roman"/>
          <w:sz w:val="22"/>
          <w:szCs w:val="22"/>
        </w:rPr>
        <w:t>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03488E">
        <w:rPr>
          <w:rFonts w:ascii="Times New Roman" w:hAnsi="Times New Roman" w:cs="Times New Roman"/>
          <w:sz w:val="22"/>
          <w:szCs w:val="22"/>
        </w:rPr>
        <w:t>, Funduszy i Polityki Regionalnej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05E66AC2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>,</w:t>
      </w:r>
    </w:p>
    <w:p w14:paraId="7555235E" w14:textId="268534B0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DC7DFC">
        <w:rPr>
          <w:rFonts w:ascii="Times New Roman" w:hAnsi="Times New Roman" w:cs="Times New Roman"/>
          <w:sz w:val="22"/>
          <w:szCs w:val="22"/>
        </w:rPr>
        <w:t>,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11AD1A7E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Minister Finansów</w:t>
      </w:r>
      <w:r w:rsidR="000348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Funduszy i Polityki Regionalnej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E3CA5C2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podatkową;</w:t>
      </w:r>
    </w:p>
    <w:p w14:paraId="180C9D4E" w14:textId="7B9BB7D3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</w:p>
    <w:p w14:paraId="64C7C817" w14:textId="237EE8A3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</w:t>
      </w:r>
      <w:r w:rsidR="00DC7DFC" w:rsidRPr="00DC7DFC">
        <w:rPr>
          <w:rFonts w:ascii="Times New Roman" w:hAnsi="Times New Roman" w:cs="Times New Roman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sz w:val="22"/>
          <w:szCs w:val="22"/>
        </w:rPr>
        <w:t xml:space="preserve">formularzu </w:t>
      </w:r>
      <w:r w:rsidR="00D93795">
        <w:rPr>
          <w:rFonts w:ascii="Times New Roman" w:hAnsi="Times New Roman" w:cs="Times New Roman"/>
          <w:sz w:val="22"/>
          <w:szCs w:val="22"/>
        </w:rPr>
        <w:t>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431F82CD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50D0BB" w14:textId="67D22AA2" w:rsidR="00DC7DFC" w:rsidRPr="001044A9" w:rsidRDefault="00F944C3" w:rsidP="00DC7DF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044A9">
        <w:rPr>
          <w:rFonts w:ascii="Times New Roman" w:hAnsi="Times New Roman" w:cs="Times New Roman"/>
          <w:sz w:val="22"/>
          <w:szCs w:val="22"/>
        </w:rPr>
        <w:t xml:space="preserve">Organizator zastrzega sobie prawo do </w:t>
      </w:r>
      <w:r w:rsidR="00A673AC" w:rsidRPr="001044A9">
        <w:rPr>
          <w:rFonts w:ascii="Times New Roman" w:hAnsi="Times New Roman" w:cs="Times New Roman"/>
          <w:sz w:val="22"/>
          <w:szCs w:val="22"/>
        </w:rPr>
        <w:t>poproszenia o podanie dodatkowych danych osobowych potrzebnych do wewnętrznych procedur weryfikacyjnych.</w:t>
      </w:r>
    </w:p>
    <w:p w14:paraId="2DF7C19D" w14:textId="31DF9DB1" w:rsidR="00257BA6" w:rsidRDefault="00257BA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>Dane osobowe zawarte w Formularzu zgłoszenia i dołączonych dokumentach są przetwarzane na platformie e_recruiter udostępnionej przez firmę Pracuj.pl. Dane mogą być również udostępnione innym uprawionym odbiorcom lub kategoriom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odbiorców danyc</w:t>
      </w:r>
      <w:r>
        <w:rPr>
          <w:rFonts w:ascii="Times New Roman" w:hAnsi="Times New Roman" w:cs="Times New Roman"/>
          <w:sz w:val="22"/>
          <w:szCs w:val="22"/>
        </w:rPr>
        <w:t>h, na podstawie przepisów prawa.</w:t>
      </w:r>
    </w:p>
    <w:p w14:paraId="5D78CAF2" w14:textId="1F1552B3" w:rsidR="00D97306" w:rsidRPr="00257BA6" w:rsidRDefault="00D9730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miesięcy od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daty</w:t>
      </w:r>
      <w:r w:rsidRPr="00257BA6"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zgłoszenia do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udziału w Konkursie</w:t>
      </w:r>
      <w:r w:rsidRPr="00EC2E7E"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 w:rsidRPr="00257BA6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 w:rsidRPr="00257BA6">
        <w:rPr>
          <w:rFonts w:ascii="Times New Roman" w:hAnsi="Times New Roman" w:cs="Times New Roman"/>
          <w:sz w:val="22"/>
          <w:szCs w:val="22"/>
        </w:rPr>
        <w:t xml:space="preserve"> oraz dane osobowe Laureatów Konkursu zawarte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sz w:val="22"/>
          <w:szCs w:val="22"/>
        </w:rPr>
        <w:t>zgłoszenia do udziału w </w:t>
      </w:r>
      <w:r w:rsidR="0061516F" w:rsidRPr="00257BA6">
        <w:rPr>
          <w:rFonts w:ascii="Times New Roman" w:hAnsi="Times New Roman" w:cs="Times New Roman"/>
          <w:sz w:val="22"/>
          <w:szCs w:val="22"/>
        </w:rPr>
        <w:t>Konkursie</w:t>
      </w:r>
      <w:r w:rsidRPr="00257BA6"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lat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od daty opublikowania</w:t>
      </w:r>
      <w:r w:rsidRPr="00257BA6"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28A90F80" w14:textId="2976408B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  <w:r w:rsidR="001044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>ust. 4 pkt 4,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149482F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2BDF1F2F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3896E831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>2146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73AC80A6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3BD0544B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EC2E7E">
          <w:rPr>
            <w:rStyle w:val="Hipercze"/>
            <w:rFonts w:ascii="Times New Roman" w:hAnsi="Times New Roman" w:cs="Times New Roman"/>
            <w:sz w:val="22"/>
            <w:szCs w:val="22"/>
          </w:rPr>
          <w:t>podatkowi.liderzy</w:t>
        </w:r>
        <w:r w:rsidR="00EC2E7E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1B1AE1D" w14:textId="2A22080F" w:rsidR="00A01D27" w:rsidRPr="001044A9" w:rsidRDefault="005D5FBF" w:rsidP="00015319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044A9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 w:rsidRPr="001044A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00300" w:rsidRPr="001044A9">
        <w:rPr>
          <w:rFonts w:ascii="Times New Roman" w:hAnsi="Times New Roman" w:cs="Times New Roman"/>
        </w:rPr>
        <w:br w:type="page"/>
      </w:r>
    </w:p>
    <w:p w14:paraId="241555EC" w14:textId="3ECA13BE" w:rsidR="00D569C0" w:rsidRPr="008D0732" w:rsidRDefault="00A35DCA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8FB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642E8583" w14:textId="0A08B943" w:rsidR="003258CE" w:rsidRPr="000C44E4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3258CE">
        <w:rPr>
          <w:rFonts w:ascii="New Athena Unicode" w:hAnsi="New Athena Unicode"/>
          <w:b/>
        </w:rPr>
        <w:t>Obywatelstwo:</w:t>
      </w:r>
      <w:r>
        <w:rPr>
          <w:rFonts w:ascii="New Athena Unicode" w:hAnsi="New Athena Unicode"/>
          <w:b/>
        </w:rPr>
        <w:t xml:space="preserve"> </w:t>
      </w:r>
      <w:r>
        <w:rPr>
          <w:rFonts w:ascii="New Athena Unicode" w:hAnsi="New Athena Unicode"/>
        </w:rPr>
        <w:t>………………………………………………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6E1ADB1F" w:rsidR="0009652D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69643AD6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EC2E7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77777777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36A4B5BF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sprawie ustalenia regulaminu organizacyjnego Ministerstwa Finansów (Dz. Urz. Min. Fin. </w:t>
      </w:r>
      <w:r w:rsidR="0020484D" w:rsidRPr="00D97306">
        <w:rPr>
          <w:rFonts w:ascii="Times New Roman" w:hAnsi="Times New Roman" w:cs="Times New Roman"/>
        </w:rPr>
        <w:t>z 2020 r. poz.</w:t>
      </w:r>
      <w:r w:rsidR="00BC30B6">
        <w:rPr>
          <w:rFonts w:ascii="Times New Roman" w:hAnsi="Times New Roman" w:cs="Times New Roman"/>
        </w:rPr>
        <w:t xml:space="preserve">80, 83 i 91 </w:t>
      </w:r>
      <w:r w:rsidR="00BA2AD2">
        <w:rPr>
          <w:rFonts w:ascii="Times New Roman" w:hAnsi="Times New Roman" w:cs="Times New Roman"/>
        </w:rPr>
        <w:t xml:space="preserve">)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59E7DAA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0536940B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777777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Stażysty;</w:t>
      </w:r>
    </w:p>
    <w:p w14:paraId="7C54CC2C" w14:textId="7A117C76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Stażu;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5350DA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stażu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67DD3B7F" w:rsidR="00B51A04" w:rsidRPr="00D97306" w:rsidRDefault="00B51A04" w:rsidP="00BA2AD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05787" w14:textId="5FB3F8CF" w:rsidR="00B51A04" w:rsidRPr="00D97306" w:rsidRDefault="00B51A04" w:rsidP="0010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Organizatora Stażu </w:t>
      </w:r>
      <w:r w:rsidR="00D97306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dla Stażysty.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2D40728C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4C431" w14:textId="77777777" w:rsidR="00487A3F" w:rsidRDefault="00487A3F" w:rsidP="009335D6">
      <w:pPr>
        <w:spacing w:after="0" w:line="240" w:lineRule="auto"/>
      </w:pPr>
      <w:r>
        <w:separator/>
      </w:r>
    </w:p>
  </w:endnote>
  <w:endnote w:type="continuationSeparator" w:id="0">
    <w:p w14:paraId="799025D3" w14:textId="77777777" w:rsidR="00487A3F" w:rsidRDefault="00487A3F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624CA" w14:textId="77777777" w:rsidR="00487A3F" w:rsidRDefault="00487A3F" w:rsidP="009335D6">
      <w:pPr>
        <w:spacing w:after="0" w:line="240" w:lineRule="auto"/>
      </w:pPr>
      <w:r>
        <w:separator/>
      </w:r>
    </w:p>
  </w:footnote>
  <w:footnote w:type="continuationSeparator" w:id="0">
    <w:p w14:paraId="7372B498" w14:textId="77777777" w:rsidR="00487A3F" w:rsidRDefault="00487A3F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Pr="001044A9" w:rsidRDefault="00DA262E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45AD"/>
    <w:rsid w:val="00195A05"/>
    <w:rsid w:val="001A2E25"/>
    <w:rsid w:val="001A5183"/>
    <w:rsid w:val="001A58D8"/>
    <w:rsid w:val="001A6C1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8CE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87A3F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3BF6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A781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podatkowi-liderz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F977D-A8A8-4B24-B621-9795072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3897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- 8 edycja</dc:title>
  <dc:subject/>
  <cp:keywords/>
  <dc:description/>
  <cp:revision>5</cp:revision>
  <cp:lastPrinted>2019-10-02T11:41:00Z</cp:lastPrinted>
  <dcterms:created xsi:type="dcterms:W3CDTF">2020-10-26T15:01:00Z</dcterms:created>
  <dcterms:modified xsi:type="dcterms:W3CDTF">2020-10-28T09:07:00Z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