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9B539C" w14:textId="77777777" w:rsidR="008927DE" w:rsidRPr="008927DE" w:rsidRDefault="008927DE" w:rsidP="008927DE">
      <w:pPr>
        <w:jc w:val="center"/>
        <w:outlineLvl w:val="0"/>
        <w:rPr>
          <w:i/>
        </w:rPr>
      </w:pPr>
      <w:r w:rsidRPr="008927DE">
        <w:rPr>
          <w:i/>
        </w:rPr>
        <w:t>WZÓR</w:t>
      </w:r>
    </w:p>
    <w:p w14:paraId="06E38628" w14:textId="77777777" w:rsidR="007A0A3D" w:rsidRDefault="00A1534B" w:rsidP="008927DE">
      <w:pPr>
        <w:jc w:val="center"/>
        <w:outlineLvl w:val="0"/>
      </w:pPr>
      <w:r>
        <w:t xml:space="preserve">Raport </w:t>
      </w:r>
      <w:r w:rsidR="009D3D41">
        <w:t>końcowy z realizacji projektu</w:t>
      </w:r>
      <w:r w:rsidR="00CA79E4">
        <w:t xml:space="preserve"> informatycznego</w:t>
      </w:r>
    </w:p>
    <w:tbl>
      <w:tblPr>
        <w:tblStyle w:val="Tabela-Siatka"/>
        <w:tblW w:w="0" w:type="auto"/>
        <w:tblLook w:val="04A0" w:firstRow="1" w:lastRow="0" w:firstColumn="1" w:lastColumn="0" w:noHBand="0" w:noVBand="1"/>
      </w:tblPr>
      <w:tblGrid>
        <w:gridCol w:w="480"/>
        <w:gridCol w:w="2350"/>
        <w:gridCol w:w="6232"/>
      </w:tblGrid>
      <w:tr w:rsidR="007A0A3D" w:rsidRPr="002450C4" w14:paraId="1F4E0317" w14:textId="77777777" w:rsidTr="00920CE8">
        <w:tc>
          <w:tcPr>
            <w:tcW w:w="480" w:type="dxa"/>
          </w:tcPr>
          <w:p w14:paraId="619E5105" w14:textId="77777777" w:rsidR="007A0A3D" w:rsidRPr="002450C4" w:rsidRDefault="007A0A3D" w:rsidP="007A0A3D">
            <w:pPr>
              <w:jc w:val="center"/>
              <w:rPr>
                <w:b/>
                <w:sz w:val="18"/>
                <w:szCs w:val="20"/>
              </w:rPr>
            </w:pPr>
            <w:r w:rsidRPr="002450C4">
              <w:rPr>
                <w:b/>
                <w:sz w:val="18"/>
                <w:szCs w:val="20"/>
              </w:rPr>
              <w:t>Lp.</w:t>
            </w:r>
          </w:p>
        </w:tc>
        <w:tc>
          <w:tcPr>
            <w:tcW w:w="2350" w:type="dxa"/>
          </w:tcPr>
          <w:p w14:paraId="11971844" w14:textId="77777777" w:rsidR="007A0A3D" w:rsidRPr="00AE072D" w:rsidRDefault="007A0A3D" w:rsidP="007A0A3D">
            <w:pPr>
              <w:jc w:val="center"/>
              <w:rPr>
                <w:b/>
                <w:sz w:val="18"/>
                <w:szCs w:val="20"/>
              </w:rPr>
            </w:pPr>
            <w:r w:rsidRPr="00AE072D">
              <w:rPr>
                <w:b/>
                <w:sz w:val="18"/>
                <w:szCs w:val="20"/>
              </w:rPr>
              <w:t>Wyszczególnienie</w:t>
            </w:r>
          </w:p>
        </w:tc>
        <w:tc>
          <w:tcPr>
            <w:tcW w:w="6232" w:type="dxa"/>
          </w:tcPr>
          <w:p w14:paraId="6C8AAE4F" w14:textId="77777777" w:rsidR="007A0A3D" w:rsidRPr="00AE072D" w:rsidRDefault="007A0A3D" w:rsidP="007A0A3D">
            <w:pPr>
              <w:jc w:val="center"/>
              <w:rPr>
                <w:b/>
                <w:sz w:val="18"/>
                <w:szCs w:val="20"/>
              </w:rPr>
            </w:pPr>
            <w:r w:rsidRPr="00AE072D">
              <w:rPr>
                <w:b/>
                <w:sz w:val="18"/>
                <w:szCs w:val="20"/>
              </w:rPr>
              <w:t>Opis</w:t>
            </w:r>
          </w:p>
        </w:tc>
      </w:tr>
      <w:tr w:rsidR="007A0A3D" w:rsidRPr="002450C4" w14:paraId="6A4F92F2" w14:textId="77777777" w:rsidTr="00920CE8">
        <w:tc>
          <w:tcPr>
            <w:tcW w:w="480" w:type="dxa"/>
          </w:tcPr>
          <w:p w14:paraId="0ED93C89" w14:textId="77777777" w:rsidR="007A0A3D" w:rsidRPr="002450C4" w:rsidRDefault="007A0A3D" w:rsidP="007A0A3D">
            <w:pPr>
              <w:pStyle w:val="Akapitzlist"/>
              <w:numPr>
                <w:ilvl w:val="0"/>
                <w:numId w:val="1"/>
              </w:numPr>
              <w:rPr>
                <w:sz w:val="18"/>
                <w:szCs w:val="20"/>
              </w:rPr>
            </w:pPr>
          </w:p>
        </w:tc>
        <w:tc>
          <w:tcPr>
            <w:tcW w:w="2350" w:type="dxa"/>
          </w:tcPr>
          <w:p w14:paraId="3EF40992" w14:textId="77777777" w:rsidR="007A0A3D" w:rsidRPr="00AE072D" w:rsidRDefault="007A0A3D">
            <w:pPr>
              <w:rPr>
                <w:sz w:val="18"/>
                <w:szCs w:val="20"/>
              </w:rPr>
            </w:pPr>
            <w:r w:rsidRPr="00AE072D">
              <w:rPr>
                <w:sz w:val="18"/>
                <w:szCs w:val="20"/>
              </w:rPr>
              <w:t>Tytuł projektu</w:t>
            </w:r>
          </w:p>
        </w:tc>
        <w:tc>
          <w:tcPr>
            <w:tcW w:w="6232" w:type="dxa"/>
          </w:tcPr>
          <w:p w14:paraId="331FE98D" w14:textId="77777777" w:rsidR="007A0A3D" w:rsidRPr="00AE072D" w:rsidRDefault="00783BB4" w:rsidP="00783BB4">
            <w:pPr>
              <w:rPr>
                <w:b/>
                <w:i/>
                <w:sz w:val="18"/>
                <w:szCs w:val="20"/>
              </w:rPr>
            </w:pPr>
            <w:r w:rsidRPr="00AE072D">
              <w:rPr>
                <w:b/>
                <w:sz w:val="18"/>
                <w:szCs w:val="20"/>
              </w:rPr>
              <w:t>Digitalizacja Polskiej Szkoły Telewizyjnej i Filmowej z Archiwum TVP S.A</w:t>
            </w:r>
          </w:p>
        </w:tc>
      </w:tr>
      <w:tr w:rsidR="007A0A3D" w:rsidRPr="002450C4" w14:paraId="76C93242" w14:textId="77777777" w:rsidTr="00920CE8">
        <w:trPr>
          <w:trHeight w:val="265"/>
        </w:trPr>
        <w:tc>
          <w:tcPr>
            <w:tcW w:w="480" w:type="dxa"/>
          </w:tcPr>
          <w:p w14:paraId="09C54E1F" w14:textId="77777777" w:rsidR="007A0A3D" w:rsidRPr="002450C4" w:rsidRDefault="007A0A3D" w:rsidP="007A0A3D">
            <w:pPr>
              <w:pStyle w:val="Akapitzlist"/>
              <w:numPr>
                <w:ilvl w:val="0"/>
                <w:numId w:val="1"/>
              </w:numPr>
              <w:rPr>
                <w:sz w:val="18"/>
                <w:szCs w:val="20"/>
              </w:rPr>
            </w:pPr>
          </w:p>
        </w:tc>
        <w:tc>
          <w:tcPr>
            <w:tcW w:w="2350" w:type="dxa"/>
          </w:tcPr>
          <w:p w14:paraId="7152A691" w14:textId="77777777" w:rsidR="007A0A3D" w:rsidRPr="00AE072D" w:rsidRDefault="007A0A3D" w:rsidP="00A1534B">
            <w:pPr>
              <w:rPr>
                <w:sz w:val="18"/>
                <w:szCs w:val="20"/>
              </w:rPr>
            </w:pPr>
            <w:r w:rsidRPr="00AE072D">
              <w:rPr>
                <w:sz w:val="18"/>
                <w:szCs w:val="20"/>
              </w:rPr>
              <w:t xml:space="preserve">Beneficjent projektu </w:t>
            </w:r>
          </w:p>
        </w:tc>
        <w:tc>
          <w:tcPr>
            <w:tcW w:w="6232" w:type="dxa"/>
          </w:tcPr>
          <w:p w14:paraId="0ACD086F" w14:textId="77777777" w:rsidR="001C611C" w:rsidRPr="00AE072D" w:rsidRDefault="00783BB4" w:rsidP="00783BB4">
            <w:pPr>
              <w:rPr>
                <w:b/>
                <w:sz w:val="18"/>
                <w:szCs w:val="20"/>
              </w:rPr>
            </w:pPr>
            <w:r w:rsidRPr="00AE072D">
              <w:rPr>
                <w:b/>
                <w:sz w:val="18"/>
                <w:szCs w:val="20"/>
              </w:rPr>
              <w:t>Telewizja Polska Spółka Akcyjna.</w:t>
            </w:r>
          </w:p>
        </w:tc>
      </w:tr>
      <w:tr w:rsidR="007A0A3D" w:rsidRPr="002450C4" w14:paraId="6DDBAF62" w14:textId="77777777" w:rsidTr="00920CE8">
        <w:tc>
          <w:tcPr>
            <w:tcW w:w="480" w:type="dxa"/>
          </w:tcPr>
          <w:p w14:paraId="1F9A0710" w14:textId="77777777" w:rsidR="007A0A3D" w:rsidRPr="002450C4" w:rsidRDefault="007A0A3D" w:rsidP="007A0A3D">
            <w:pPr>
              <w:pStyle w:val="Akapitzlist"/>
              <w:numPr>
                <w:ilvl w:val="0"/>
                <w:numId w:val="1"/>
              </w:numPr>
              <w:rPr>
                <w:sz w:val="18"/>
                <w:szCs w:val="20"/>
              </w:rPr>
            </w:pPr>
          </w:p>
        </w:tc>
        <w:tc>
          <w:tcPr>
            <w:tcW w:w="2350" w:type="dxa"/>
          </w:tcPr>
          <w:p w14:paraId="730DB8AA" w14:textId="77777777" w:rsidR="007A0A3D" w:rsidRPr="00AE072D" w:rsidRDefault="007A0A3D" w:rsidP="007A0A3D">
            <w:pPr>
              <w:rPr>
                <w:sz w:val="18"/>
                <w:szCs w:val="20"/>
              </w:rPr>
            </w:pPr>
            <w:r w:rsidRPr="00AE072D">
              <w:rPr>
                <w:sz w:val="18"/>
                <w:szCs w:val="20"/>
              </w:rPr>
              <w:t xml:space="preserve">Partnerzy </w:t>
            </w:r>
          </w:p>
        </w:tc>
        <w:tc>
          <w:tcPr>
            <w:tcW w:w="6232" w:type="dxa"/>
          </w:tcPr>
          <w:p w14:paraId="70725960" w14:textId="77777777" w:rsidR="007A0A3D" w:rsidRPr="00AE072D" w:rsidRDefault="00783BB4" w:rsidP="00FD074F">
            <w:pPr>
              <w:jc w:val="both"/>
              <w:rPr>
                <w:i/>
                <w:sz w:val="18"/>
                <w:szCs w:val="20"/>
              </w:rPr>
            </w:pPr>
            <w:r w:rsidRPr="00AE072D">
              <w:rPr>
                <w:i/>
                <w:sz w:val="18"/>
                <w:szCs w:val="20"/>
              </w:rPr>
              <w:t>-</w:t>
            </w:r>
          </w:p>
        </w:tc>
      </w:tr>
      <w:tr w:rsidR="003B107D" w:rsidRPr="002450C4" w14:paraId="59625E8B" w14:textId="77777777" w:rsidTr="00920CE8">
        <w:tc>
          <w:tcPr>
            <w:tcW w:w="480" w:type="dxa"/>
          </w:tcPr>
          <w:p w14:paraId="1FE43804" w14:textId="77777777" w:rsidR="003B107D" w:rsidRPr="002450C4" w:rsidRDefault="003B107D" w:rsidP="007A0A3D">
            <w:pPr>
              <w:pStyle w:val="Akapitzlist"/>
              <w:numPr>
                <w:ilvl w:val="0"/>
                <w:numId w:val="1"/>
              </w:numPr>
              <w:rPr>
                <w:sz w:val="18"/>
                <w:szCs w:val="20"/>
              </w:rPr>
            </w:pPr>
          </w:p>
        </w:tc>
        <w:tc>
          <w:tcPr>
            <w:tcW w:w="2350" w:type="dxa"/>
          </w:tcPr>
          <w:p w14:paraId="1145BD35" w14:textId="77777777" w:rsidR="003B107D" w:rsidRPr="00AE072D" w:rsidRDefault="005A4344" w:rsidP="0092099A">
            <w:pPr>
              <w:jc w:val="both"/>
              <w:rPr>
                <w:sz w:val="18"/>
                <w:szCs w:val="20"/>
              </w:rPr>
            </w:pPr>
            <w:r w:rsidRPr="00AE072D">
              <w:rPr>
                <w:sz w:val="18"/>
                <w:szCs w:val="20"/>
              </w:rPr>
              <w:t>Postęp finansowy</w:t>
            </w:r>
          </w:p>
        </w:tc>
        <w:tc>
          <w:tcPr>
            <w:tcW w:w="6232" w:type="dxa"/>
          </w:tcPr>
          <w:p w14:paraId="3B78663B" w14:textId="77777777" w:rsidR="00752731" w:rsidRDefault="00752731" w:rsidP="0092099A">
            <w:pPr>
              <w:jc w:val="both"/>
              <w:rPr>
                <w:i/>
                <w:sz w:val="18"/>
                <w:szCs w:val="20"/>
              </w:rPr>
            </w:pPr>
          </w:p>
          <w:p w14:paraId="14F6C652" w14:textId="77777777" w:rsidR="00752731" w:rsidRPr="006036B2" w:rsidRDefault="00752731" w:rsidP="00752731">
            <w:pPr>
              <w:jc w:val="both"/>
              <w:rPr>
                <w:rFonts w:cs="Calibri"/>
                <w:sz w:val="18"/>
                <w:szCs w:val="20"/>
              </w:rPr>
            </w:pPr>
            <w:r>
              <w:rPr>
                <w:rFonts w:cs="Calibri"/>
                <w:sz w:val="18"/>
                <w:szCs w:val="20"/>
              </w:rPr>
              <w:t>Wartość Pr</w:t>
            </w:r>
            <w:r w:rsidRPr="00EF4194">
              <w:rPr>
                <w:rFonts w:cs="Calibri"/>
                <w:sz w:val="18"/>
                <w:szCs w:val="20"/>
              </w:rPr>
              <w:t>ojektu</w:t>
            </w:r>
            <w:r>
              <w:rPr>
                <w:rFonts w:cs="Calibri"/>
                <w:sz w:val="18"/>
                <w:szCs w:val="20"/>
              </w:rPr>
              <w:t xml:space="preserve"> </w:t>
            </w:r>
            <w:r w:rsidRPr="006036B2">
              <w:rPr>
                <w:rFonts w:cs="Calibri"/>
                <w:sz w:val="18"/>
                <w:szCs w:val="20"/>
              </w:rPr>
              <w:t>(zgodnie z aneksem nr POPC.02.03.02-00-0008/16-03)</w:t>
            </w:r>
            <w:r w:rsidR="006036B2">
              <w:rPr>
                <w:rFonts w:cs="Calibri"/>
                <w:sz w:val="18"/>
                <w:szCs w:val="20"/>
              </w:rPr>
              <w:t>:</w:t>
            </w:r>
            <w:r w:rsidRPr="006036B2">
              <w:rPr>
                <w:rFonts w:cs="Calibri"/>
                <w:sz w:val="18"/>
                <w:szCs w:val="20"/>
              </w:rPr>
              <w:t xml:space="preserve"> </w:t>
            </w:r>
          </w:p>
          <w:p w14:paraId="5A22E5F2" w14:textId="77777777" w:rsidR="00752731" w:rsidRPr="006036B2" w:rsidRDefault="00752731" w:rsidP="00752731">
            <w:pPr>
              <w:jc w:val="both"/>
              <w:rPr>
                <w:rFonts w:cs="Calibri"/>
                <w:sz w:val="18"/>
                <w:szCs w:val="20"/>
              </w:rPr>
            </w:pPr>
            <w:r w:rsidRPr="006036B2">
              <w:rPr>
                <w:rFonts w:cs="Calibri"/>
                <w:sz w:val="18"/>
                <w:szCs w:val="20"/>
              </w:rPr>
              <w:t>76 978 427,28 PLN</w:t>
            </w:r>
          </w:p>
          <w:p w14:paraId="07DC4A90" w14:textId="77777777" w:rsidR="00752731" w:rsidRPr="006036B2" w:rsidRDefault="00752731" w:rsidP="00752731">
            <w:pPr>
              <w:jc w:val="both"/>
              <w:rPr>
                <w:rFonts w:cs="Calibri"/>
                <w:sz w:val="18"/>
                <w:szCs w:val="20"/>
              </w:rPr>
            </w:pPr>
            <w:r w:rsidRPr="00EF4194">
              <w:rPr>
                <w:rFonts w:cs="Calibri"/>
                <w:sz w:val="18"/>
                <w:szCs w:val="20"/>
              </w:rPr>
              <w:t xml:space="preserve">Faktyczny koszt projektu: </w:t>
            </w:r>
            <w:r w:rsidRPr="006036B2">
              <w:rPr>
                <w:rFonts w:cs="Calibri"/>
                <w:sz w:val="18"/>
                <w:szCs w:val="20"/>
              </w:rPr>
              <w:t>61 714 261,44 PLN</w:t>
            </w:r>
          </w:p>
          <w:p w14:paraId="29251B07" w14:textId="77777777" w:rsidR="00752731" w:rsidRPr="006036B2" w:rsidRDefault="00752731" w:rsidP="00752731">
            <w:pPr>
              <w:jc w:val="both"/>
              <w:rPr>
                <w:rFonts w:cs="Calibri"/>
                <w:sz w:val="18"/>
                <w:szCs w:val="20"/>
              </w:rPr>
            </w:pPr>
            <w:r w:rsidRPr="00EF4194">
              <w:rPr>
                <w:rFonts w:cs="Calibri"/>
                <w:sz w:val="18"/>
                <w:szCs w:val="20"/>
              </w:rPr>
              <w:t>Wartość odchyleń:</w:t>
            </w:r>
            <w:r>
              <w:rPr>
                <w:rFonts w:cs="Calibri"/>
                <w:sz w:val="18"/>
                <w:szCs w:val="20"/>
              </w:rPr>
              <w:t xml:space="preserve"> </w:t>
            </w:r>
            <w:r w:rsidRPr="006036B2">
              <w:rPr>
                <w:rFonts w:cs="Calibri"/>
                <w:sz w:val="18"/>
                <w:szCs w:val="20"/>
              </w:rPr>
              <w:t>15 264 165,84 PLN</w:t>
            </w:r>
          </w:p>
          <w:p w14:paraId="0F8AB589" w14:textId="77777777" w:rsidR="00752731" w:rsidRPr="00EF4194" w:rsidRDefault="00752731" w:rsidP="00752731">
            <w:pPr>
              <w:jc w:val="both"/>
              <w:rPr>
                <w:rFonts w:cs="Calibri"/>
                <w:sz w:val="18"/>
                <w:szCs w:val="20"/>
              </w:rPr>
            </w:pPr>
          </w:p>
          <w:p w14:paraId="57630203" w14:textId="77777777" w:rsidR="00BB58BA" w:rsidRDefault="00752731" w:rsidP="001609DF">
            <w:pPr>
              <w:jc w:val="both"/>
              <w:rPr>
                <w:rFonts w:cs="Calibri"/>
                <w:sz w:val="18"/>
                <w:szCs w:val="20"/>
              </w:rPr>
            </w:pPr>
            <w:r w:rsidRPr="00EF4194">
              <w:rPr>
                <w:rFonts w:cs="Calibri"/>
                <w:sz w:val="18"/>
                <w:szCs w:val="20"/>
              </w:rPr>
              <w:t>Odchylenie (oszczędnoś</w:t>
            </w:r>
            <w:r w:rsidR="001609DF">
              <w:rPr>
                <w:rFonts w:cs="Calibri"/>
                <w:sz w:val="18"/>
                <w:szCs w:val="20"/>
              </w:rPr>
              <w:t>ci</w:t>
            </w:r>
            <w:r w:rsidRPr="00EF4194">
              <w:rPr>
                <w:rFonts w:cs="Calibri"/>
                <w:sz w:val="18"/>
                <w:szCs w:val="20"/>
              </w:rPr>
              <w:t>) wynika</w:t>
            </w:r>
            <w:r w:rsidR="001609DF">
              <w:rPr>
                <w:rFonts w:cs="Calibri"/>
                <w:sz w:val="18"/>
                <w:szCs w:val="20"/>
              </w:rPr>
              <w:t xml:space="preserve">ją z szeregu czynników, które wystąpiły pomiędzy </w:t>
            </w:r>
            <w:r w:rsidRPr="00EF4194">
              <w:rPr>
                <w:rFonts w:cs="Calibri"/>
                <w:sz w:val="18"/>
                <w:szCs w:val="20"/>
              </w:rPr>
              <w:t xml:space="preserve"> </w:t>
            </w:r>
            <w:r>
              <w:rPr>
                <w:rFonts w:cs="Calibri"/>
                <w:sz w:val="18"/>
                <w:szCs w:val="20"/>
              </w:rPr>
              <w:t xml:space="preserve">datą </w:t>
            </w:r>
            <w:r w:rsidR="006036B2">
              <w:rPr>
                <w:rFonts w:cs="Calibri"/>
                <w:sz w:val="18"/>
                <w:szCs w:val="20"/>
              </w:rPr>
              <w:t>planowania</w:t>
            </w:r>
            <w:r>
              <w:rPr>
                <w:rFonts w:cs="Calibri"/>
                <w:sz w:val="18"/>
                <w:szCs w:val="20"/>
              </w:rPr>
              <w:t xml:space="preserve"> kosztów a ich </w:t>
            </w:r>
            <w:r w:rsidR="001609DF">
              <w:rPr>
                <w:rFonts w:cs="Calibri"/>
                <w:sz w:val="18"/>
                <w:szCs w:val="20"/>
              </w:rPr>
              <w:t xml:space="preserve">okresem ich ponoszenia. Najistotniejsze powody to przede wszystkim duże oszczędności wynikające z postępowań przetargowych. Przygotowując projekt przeprowadzono sondaże rynkowe w celu ustalenia wartości zakupów. W wyniku przeprowadzonych postępowań przetargowych, zakupiono o wiele taniej planowany sprzęt komputerowy, oprogramowanie i usługi. </w:t>
            </w:r>
            <w:r w:rsidR="00AA7885">
              <w:rPr>
                <w:rFonts w:cs="Calibri"/>
                <w:sz w:val="18"/>
                <w:szCs w:val="20"/>
              </w:rPr>
              <w:t xml:space="preserve">Część oszczędności zagospodarowano w ramach zakupów dodatkowego wyposażenia, które okazało się konieczne do nabycia w trakcie realizacji projektu. </w:t>
            </w:r>
            <w:r w:rsidR="001609DF">
              <w:rPr>
                <w:rFonts w:cs="Calibri"/>
                <w:sz w:val="18"/>
                <w:szCs w:val="20"/>
              </w:rPr>
              <w:t xml:space="preserve">Kolejną istotną pozycją, na której wygenerowano dużo oszczędności, to wydatki </w:t>
            </w:r>
            <w:r w:rsidR="00BB58BA">
              <w:rPr>
                <w:rFonts w:cs="Calibri"/>
                <w:sz w:val="18"/>
                <w:szCs w:val="20"/>
              </w:rPr>
              <w:t>dotycząc</w:t>
            </w:r>
            <w:r w:rsidR="001609DF">
              <w:rPr>
                <w:rFonts w:cs="Calibri"/>
                <w:sz w:val="18"/>
                <w:szCs w:val="20"/>
              </w:rPr>
              <w:t xml:space="preserve">e </w:t>
            </w:r>
            <w:r w:rsidR="00BB58BA">
              <w:rPr>
                <w:rFonts w:cs="Calibri"/>
                <w:sz w:val="18"/>
                <w:szCs w:val="20"/>
              </w:rPr>
              <w:t>wynagrodzeń</w:t>
            </w:r>
            <w:r w:rsidR="00BB58BA" w:rsidRPr="00BB58BA">
              <w:rPr>
                <w:rFonts w:cs="Calibri"/>
                <w:sz w:val="18"/>
                <w:szCs w:val="20"/>
              </w:rPr>
              <w:t xml:space="preserve"> pracowników wykonujących merytoryczne zadania bezpośrednio związane z głównymi celami i produktami projektu</w:t>
            </w:r>
            <w:r w:rsidR="00BB58BA">
              <w:rPr>
                <w:rFonts w:cs="Calibri"/>
                <w:sz w:val="18"/>
                <w:szCs w:val="20"/>
              </w:rPr>
              <w:t xml:space="preserve">. </w:t>
            </w:r>
            <w:r w:rsidR="001609DF">
              <w:rPr>
                <w:rFonts w:cs="Calibri"/>
                <w:sz w:val="18"/>
                <w:szCs w:val="20"/>
              </w:rPr>
              <w:t>Ze względu na rzadko występujące kompetencje w obszarze rekonstrukcji archiwalnych materiałów audiowizualnych, rekrutacja specjalistów była długotrwała, i rozłożona w czasie. Spowodowało to duże oszczędności, których nie można było zagospodarować na inne wynagrodzenia.</w:t>
            </w:r>
          </w:p>
          <w:p w14:paraId="0C51249B" w14:textId="77777777" w:rsidR="001609DF" w:rsidRDefault="001609DF" w:rsidP="001609DF">
            <w:pPr>
              <w:jc w:val="both"/>
              <w:rPr>
                <w:i/>
                <w:sz w:val="18"/>
                <w:szCs w:val="20"/>
              </w:rPr>
            </w:pPr>
          </w:p>
          <w:p w14:paraId="32E8667A" w14:textId="1E976A42" w:rsidR="00E168A9" w:rsidRDefault="001609DF" w:rsidP="001609DF">
            <w:pPr>
              <w:jc w:val="both"/>
              <w:rPr>
                <w:sz w:val="18"/>
                <w:szCs w:val="20"/>
              </w:rPr>
            </w:pPr>
            <w:r>
              <w:rPr>
                <w:sz w:val="18"/>
                <w:szCs w:val="20"/>
              </w:rPr>
              <w:t xml:space="preserve">Jednocześnie, mimo powyższych </w:t>
            </w:r>
            <w:r w:rsidR="00AA7885">
              <w:rPr>
                <w:sz w:val="18"/>
                <w:szCs w:val="20"/>
              </w:rPr>
              <w:t>oszczędności, udało się zrealizować projekt w pełnym, pierwotnie planowanym zakresie.</w:t>
            </w:r>
          </w:p>
          <w:p w14:paraId="31D419C1" w14:textId="77777777" w:rsidR="00436A8B" w:rsidRDefault="00436A8B" w:rsidP="001609DF">
            <w:pPr>
              <w:jc w:val="both"/>
              <w:rPr>
                <w:sz w:val="18"/>
                <w:szCs w:val="20"/>
              </w:rPr>
            </w:pPr>
          </w:p>
          <w:p w14:paraId="6F25E98D" w14:textId="30ECC84C" w:rsidR="009A5E32" w:rsidRDefault="009A5E32" w:rsidP="001609DF">
            <w:pPr>
              <w:jc w:val="both"/>
              <w:rPr>
                <w:sz w:val="18"/>
                <w:szCs w:val="20"/>
              </w:rPr>
            </w:pPr>
            <w:r w:rsidRPr="009546B1">
              <w:rPr>
                <w:sz w:val="18"/>
                <w:szCs w:val="18"/>
              </w:rPr>
              <w:t xml:space="preserve">Osiągnięty poziom certyfikacji w projekcie </w:t>
            </w:r>
            <w:r w:rsidRPr="009546B1">
              <w:rPr>
                <w:sz w:val="18"/>
                <w:szCs w:val="20"/>
              </w:rPr>
              <w:t>w odniesieniu do zakontraktowanej wartości dofinansowania wynosi</w:t>
            </w:r>
            <w:r w:rsidRPr="009546B1">
              <w:rPr>
                <w:sz w:val="18"/>
                <w:szCs w:val="18"/>
              </w:rPr>
              <w:t>: 69,68%</w:t>
            </w:r>
          </w:p>
          <w:p w14:paraId="3C73726D" w14:textId="341604D6" w:rsidR="00557658" w:rsidRDefault="00557658" w:rsidP="00557658">
            <w:pPr>
              <w:pStyle w:val="Default"/>
              <w:jc w:val="both"/>
              <w:rPr>
                <w:sz w:val="18"/>
                <w:szCs w:val="18"/>
              </w:rPr>
            </w:pPr>
            <w:bookmarkStart w:id="0" w:name="_Hlk39743078"/>
            <w:r w:rsidRPr="009546B1">
              <w:rPr>
                <w:sz w:val="18"/>
                <w:szCs w:val="18"/>
              </w:rPr>
              <w:t xml:space="preserve">Osiągnięty poziom certyfikacji w projekcie </w:t>
            </w:r>
            <w:r w:rsidRPr="009546B1">
              <w:rPr>
                <w:sz w:val="18"/>
                <w:szCs w:val="20"/>
              </w:rPr>
              <w:t xml:space="preserve">w odniesieniu do </w:t>
            </w:r>
            <w:r w:rsidR="000D4ED8">
              <w:rPr>
                <w:sz w:val="18"/>
                <w:szCs w:val="20"/>
              </w:rPr>
              <w:t>aktualnej</w:t>
            </w:r>
            <w:r w:rsidRPr="009546B1">
              <w:rPr>
                <w:sz w:val="18"/>
                <w:szCs w:val="20"/>
              </w:rPr>
              <w:t xml:space="preserve"> wartości dofinansowania wynosi</w:t>
            </w:r>
            <w:r w:rsidRPr="009546B1">
              <w:rPr>
                <w:sz w:val="18"/>
                <w:szCs w:val="18"/>
              </w:rPr>
              <w:t xml:space="preserve">: </w:t>
            </w:r>
            <w:r w:rsidR="000D4ED8">
              <w:rPr>
                <w:sz w:val="18"/>
                <w:szCs w:val="18"/>
              </w:rPr>
              <w:t>73,52%</w:t>
            </w:r>
            <w:r w:rsidRPr="009546B1">
              <w:rPr>
                <w:sz w:val="18"/>
                <w:szCs w:val="18"/>
              </w:rPr>
              <w:t xml:space="preserve">. </w:t>
            </w:r>
            <w:bookmarkEnd w:id="0"/>
            <w:r w:rsidR="00AC256F" w:rsidRPr="009546B1">
              <w:rPr>
                <w:sz w:val="18"/>
                <w:szCs w:val="18"/>
              </w:rPr>
              <w:t>W</w:t>
            </w:r>
            <w:r w:rsidRPr="009546B1">
              <w:rPr>
                <w:sz w:val="18"/>
                <w:szCs w:val="18"/>
              </w:rPr>
              <w:t xml:space="preserve"> trakcie </w:t>
            </w:r>
            <w:r w:rsidR="00AC256F" w:rsidRPr="009546B1">
              <w:rPr>
                <w:sz w:val="18"/>
                <w:szCs w:val="18"/>
              </w:rPr>
              <w:t>oceny</w:t>
            </w:r>
            <w:r w:rsidRPr="009546B1">
              <w:rPr>
                <w:sz w:val="18"/>
                <w:szCs w:val="18"/>
              </w:rPr>
              <w:t xml:space="preserve"> przez IP</w:t>
            </w:r>
            <w:r w:rsidR="00AC256F" w:rsidRPr="009546B1">
              <w:rPr>
                <w:sz w:val="18"/>
                <w:szCs w:val="18"/>
              </w:rPr>
              <w:t xml:space="preserve"> są 2 wnioski o płatność</w:t>
            </w:r>
            <w:r w:rsidR="000D4ED8">
              <w:rPr>
                <w:sz w:val="18"/>
                <w:szCs w:val="18"/>
              </w:rPr>
              <w:t xml:space="preserve"> oraz aneks 5 w trakcie akceptacji</w:t>
            </w:r>
            <w:r w:rsidR="00AC256F" w:rsidRPr="009546B1">
              <w:rPr>
                <w:sz w:val="18"/>
                <w:szCs w:val="18"/>
              </w:rPr>
              <w:t>.</w:t>
            </w:r>
          </w:p>
          <w:p w14:paraId="3A0E8072" w14:textId="70D1723A" w:rsidR="001609DF" w:rsidRPr="00436A8B" w:rsidRDefault="00436A8B" w:rsidP="00436A8B">
            <w:pPr>
              <w:pStyle w:val="Default"/>
              <w:jc w:val="both"/>
              <w:rPr>
                <w:sz w:val="18"/>
                <w:szCs w:val="18"/>
              </w:rPr>
            </w:pPr>
            <w:r w:rsidRPr="009546B1">
              <w:rPr>
                <w:sz w:val="18"/>
                <w:szCs w:val="18"/>
              </w:rPr>
              <w:t xml:space="preserve">Osiągnięty poziom certyfikacji w projekcie </w:t>
            </w:r>
            <w:r w:rsidRPr="009546B1">
              <w:rPr>
                <w:sz w:val="18"/>
                <w:szCs w:val="20"/>
              </w:rPr>
              <w:t xml:space="preserve">w odniesieniu do </w:t>
            </w:r>
            <w:r>
              <w:rPr>
                <w:sz w:val="18"/>
                <w:szCs w:val="20"/>
              </w:rPr>
              <w:t>aktualnej</w:t>
            </w:r>
            <w:r w:rsidRPr="009546B1">
              <w:rPr>
                <w:sz w:val="18"/>
                <w:szCs w:val="20"/>
              </w:rPr>
              <w:t xml:space="preserve"> wartości dofinansowania</w:t>
            </w:r>
            <w:r>
              <w:rPr>
                <w:sz w:val="18"/>
                <w:szCs w:val="20"/>
              </w:rPr>
              <w:t>,</w:t>
            </w:r>
            <w:r w:rsidRPr="009546B1">
              <w:rPr>
                <w:sz w:val="18"/>
                <w:szCs w:val="20"/>
              </w:rPr>
              <w:t xml:space="preserve"> </w:t>
            </w:r>
            <w:r>
              <w:rPr>
                <w:sz w:val="18"/>
                <w:szCs w:val="20"/>
              </w:rPr>
              <w:t>z uwzględnieniem aneksu 5,</w:t>
            </w:r>
            <w:r w:rsidRPr="009546B1">
              <w:rPr>
                <w:sz w:val="18"/>
                <w:szCs w:val="20"/>
              </w:rPr>
              <w:t xml:space="preserve"> </w:t>
            </w:r>
            <w:r w:rsidRPr="009546B1">
              <w:rPr>
                <w:sz w:val="18"/>
                <w:szCs w:val="20"/>
              </w:rPr>
              <w:t>wynosi</w:t>
            </w:r>
            <w:r w:rsidRPr="009546B1">
              <w:rPr>
                <w:sz w:val="18"/>
                <w:szCs w:val="18"/>
              </w:rPr>
              <w:t xml:space="preserve">: </w:t>
            </w:r>
            <w:r>
              <w:rPr>
                <w:sz w:val="18"/>
                <w:szCs w:val="18"/>
              </w:rPr>
              <w:t>93</w:t>
            </w:r>
            <w:r w:rsidR="002556F2">
              <w:rPr>
                <w:sz w:val="18"/>
                <w:szCs w:val="18"/>
              </w:rPr>
              <w:t>,77</w:t>
            </w:r>
            <w:bookmarkStart w:id="1" w:name="_GoBack"/>
            <w:bookmarkEnd w:id="1"/>
            <w:r>
              <w:rPr>
                <w:sz w:val="18"/>
                <w:szCs w:val="18"/>
              </w:rPr>
              <w:t xml:space="preserve"> </w:t>
            </w:r>
            <w:r>
              <w:rPr>
                <w:sz w:val="18"/>
                <w:szCs w:val="18"/>
              </w:rPr>
              <w:t>%</w:t>
            </w:r>
            <w:r w:rsidRPr="009546B1">
              <w:rPr>
                <w:sz w:val="18"/>
                <w:szCs w:val="18"/>
              </w:rPr>
              <w:t>.</w:t>
            </w:r>
          </w:p>
        </w:tc>
      </w:tr>
      <w:tr w:rsidR="007A0A3D" w:rsidRPr="002450C4" w14:paraId="3252D75A" w14:textId="77777777" w:rsidTr="00920CE8">
        <w:tc>
          <w:tcPr>
            <w:tcW w:w="480" w:type="dxa"/>
          </w:tcPr>
          <w:p w14:paraId="2DD1DF20" w14:textId="77777777" w:rsidR="007A0A3D" w:rsidRPr="002450C4" w:rsidRDefault="007A0A3D" w:rsidP="007A0A3D">
            <w:pPr>
              <w:pStyle w:val="Akapitzlist"/>
              <w:numPr>
                <w:ilvl w:val="0"/>
                <w:numId w:val="1"/>
              </w:numPr>
              <w:rPr>
                <w:sz w:val="18"/>
                <w:szCs w:val="20"/>
              </w:rPr>
            </w:pPr>
          </w:p>
        </w:tc>
        <w:tc>
          <w:tcPr>
            <w:tcW w:w="2350" w:type="dxa"/>
          </w:tcPr>
          <w:p w14:paraId="6769A64A" w14:textId="77777777" w:rsidR="007A0A3D" w:rsidRPr="00AE072D" w:rsidRDefault="005A4344">
            <w:pPr>
              <w:rPr>
                <w:sz w:val="18"/>
                <w:szCs w:val="20"/>
              </w:rPr>
            </w:pPr>
            <w:r w:rsidRPr="00AE072D">
              <w:rPr>
                <w:sz w:val="18"/>
                <w:szCs w:val="20"/>
              </w:rPr>
              <w:t>Postęp rzeczowy</w:t>
            </w:r>
          </w:p>
        </w:tc>
        <w:tc>
          <w:tcPr>
            <w:tcW w:w="6232" w:type="dxa"/>
          </w:tcPr>
          <w:tbl>
            <w:tblPr>
              <w:tblStyle w:val="Tabela-Siatka"/>
              <w:tblW w:w="5952" w:type="dxa"/>
              <w:tblLook w:val="04A0" w:firstRow="1" w:lastRow="0" w:firstColumn="1" w:lastColumn="0" w:noHBand="0" w:noVBand="1"/>
            </w:tblPr>
            <w:tblGrid>
              <w:gridCol w:w="3780"/>
              <w:gridCol w:w="1057"/>
              <w:gridCol w:w="1115"/>
            </w:tblGrid>
            <w:tr w:rsidR="00DE76C3" w:rsidRPr="00AE072D" w14:paraId="42865326" w14:textId="77777777" w:rsidTr="00DE76C3">
              <w:tc>
                <w:tcPr>
                  <w:tcW w:w="3826" w:type="dxa"/>
                </w:tcPr>
                <w:p w14:paraId="5B1D52A7" w14:textId="77777777" w:rsidR="00DE76C3" w:rsidRPr="00E4174E" w:rsidRDefault="00DE76C3" w:rsidP="00E4174E">
                  <w:pPr>
                    <w:jc w:val="both"/>
                    <w:rPr>
                      <w:b/>
                      <w:i/>
                      <w:sz w:val="18"/>
                      <w:szCs w:val="20"/>
                    </w:rPr>
                  </w:pPr>
                  <w:r w:rsidRPr="00E4174E">
                    <w:rPr>
                      <w:b/>
                      <w:i/>
                      <w:sz w:val="18"/>
                      <w:szCs w:val="20"/>
                    </w:rPr>
                    <w:t>Kamień milowy</w:t>
                  </w:r>
                </w:p>
              </w:tc>
              <w:tc>
                <w:tcPr>
                  <w:tcW w:w="1011" w:type="dxa"/>
                </w:tcPr>
                <w:p w14:paraId="0EF8AE7B" w14:textId="77777777" w:rsidR="00DE76C3" w:rsidRPr="00E4174E" w:rsidRDefault="00DE76C3" w:rsidP="00E4174E">
                  <w:pPr>
                    <w:jc w:val="both"/>
                    <w:rPr>
                      <w:b/>
                      <w:i/>
                      <w:sz w:val="18"/>
                      <w:szCs w:val="20"/>
                    </w:rPr>
                  </w:pPr>
                  <w:r w:rsidRPr="00E4174E">
                    <w:rPr>
                      <w:b/>
                      <w:i/>
                      <w:sz w:val="18"/>
                      <w:szCs w:val="20"/>
                    </w:rPr>
                    <w:t xml:space="preserve">Planowany </w:t>
                  </w:r>
                  <w:r w:rsidR="000E20E8">
                    <w:rPr>
                      <w:b/>
                      <w:i/>
                      <w:sz w:val="18"/>
                      <w:szCs w:val="20"/>
                    </w:rPr>
                    <w:t>data</w:t>
                  </w:r>
                  <w:r w:rsidRPr="00E4174E">
                    <w:rPr>
                      <w:b/>
                      <w:i/>
                      <w:sz w:val="18"/>
                      <w:szCs w:val="20"/>
                    </w:rPr>
                    <w:t xml:space="preserve"> osiągnięcia</w:t>
                  </w:r>
                </w:p>
              </w:tc>
              <w:tc>
                <w:tcPr>
                  <w:tcW w:w="1115" w:type="dxa"/>
                </w:tcPr>
                <w:p w14:paraId="754A680B" w14:textId="77777777" w:rsidR="00DE76C3" w:rsidRPr="00E4174E" w:rsidRDefault="00DE76C3" w:rsidP="00E4174E">
                  <w:pPr>
                    <w:jc w:val="both"/>
                    <w:rPr>
                      <w:b/>
                      <w:i/>
                      <w:sz w:val="18"/>
                      <w:szCs w:val="20"/>
                    </w:rPr>
                  </w:pPr>
                  <w:r>
                    <w:rPr>
                      <w:b/>
                      <w:i/>
                      <w:sz w:val="18"/>
                      <w:szCs w:val="20"/>
                    </w:rPr>
                    <w:t>Rzeczywista data osiągnięcia</w:t>
                  </w:r>
                </w:p>
              </w:tc>
            </w:tr>
            <w:tr w:rsidR="00DE76C3" w:rsidRPr="00AE072D" w14:paraId="5C13B788" w14:textId="77777777" w:rsidTr="00DE76C3">
              <w:tc>
                <w:tcPr>
                  <w:tcW w:w="3826" w:type="dxa"/>
                </w:tcPr>
                <w:p w14:paraId="3630BB09" w14:textId="77777777" w:rsidR="00DE76C3" w:rsidRPr="00E4174E" w:rsidRDefault="00DE76C3" w:rsidP="00E4174E">
                  <w:pPr>
                    <w:jc w:val="both"/>
                    <w:rPr>
                      <w:i/>
                      <w:sz w:val="18"/>
                      <w:szCs w:val="20"/>
                    </w:rPr>
                  </w:pPr>
                  <w:r w:rsidRPr="00E4174E">
                    <w:rPr>
                      <w:i/>
                      <w:sz w:val="18"/>
                      <w:szCs w:val="20"/>
                    </w:rPr>
                    <w:t>Organizacja projektu</w:t>
                  </w:r>
                </w:p>
              </w:tc>
              <w:tc>
                <w:tcPr>
                  <w:tcW w:w="1011" w:type="dxa"/>
                </w:tcPr>
                <w:p w14:paraId="06842722" w14:textId="77777777" w:rsidR="00DE76C3" w:rsidRPr="00E4174E" w:rsidRDefault="00DE76C3" w:rsidP="00E4174E">
                  <w:pPr>
                    <w:jc w:val="both"/>
                    <w:rPr>
                      <w:i/>
                      <w:sz w:val="18"/>
                      <w:szCs w:val="20"/>
                    </w:rPr>
                  </w:pPr>
                  <w:r w:rsidRPr="00E4174E">
                    <w:rPr>
                      <w:i/>
                      <w:sz w:val="18"/>
                      <w:szCs w:val="20"/>
                    </w:rPr>
                    <w:t>07.2017</w:t>
                  </w:r>
                </w:p>
              </w:tc>
              <w:tc>
                <w:tcPr>
                  <w:tcW w:w="1115" w:type="dxa"/>
                </w:tcPr>
                <w:p w14:paraId="16DDF52F" w14:textId="77777777" w:rsidR="00DE76C3" w:rsidRPr="00E4174E" w:rsidRDefault="00DE76C3" w:rsidP="00E4174E">
                  <w:pPr>
                    <w:jc w:val="both"/>
                    <w:rPr>
                      <w:i/>
                      <w:sz w:val="18"/>
                      <w:szCs w:val="20"/>
                    </w:rPr>
                  </w:pPr>
                  <w:r w:rsidRPr="00E4174E">
                    <w:rPr>
                      <w:i/>
                      <w:sz w:val="18"/>
                      <w:szCs w:val="20"/>
                    </w:rPr>
                    <w:t>10.2017</w:t>
                  </w:r>
                </w:p>
              </w:tc>
            </w:tr>
            <w:tr w:rsidR="00DE76C3" w:rsidRPr="00AE072D" w14:paraId="69712711" w14:textId="77777777" w:rsidTr="00DE76C3">
              <w:tc>
                <w:tcPr>
                  <w:tcW w:w="3826" w:type="dxa"/>
                </w:tcPr>
                <w:p w14:paraId="7B74C3BB" w14:textId="77777777" w:rsidR="00DE76C3" w:rsidRPr="00E4174E" w:rsidRDefault="00DE76C3" w:rsidP="00E4174E">
                  <w:pPr>
                    <w:jc w:val="both"/>
                    <w:rPr>
                      <w:i/>
                      <w:sz w:val="18"/>
                      <w:szCs w:val="20"/>
                    </w:rPr>
                  </w:pPr>
                  <w:r w:rsidRPr="00E4174E">
                    <w:rPr>
                      <w:i/>
                      <w:sz w:val="18"/>
                      <w:szCs w:val="20"/>
                    </w:rPr>
                    <w:t>Zakup, instalacja i eksploatacja linii technologicznej do digitalizacji i rekonstrukcji</w:t>
                  </w:r>
                </w:p>
              </w:tc>
              <w:tc>
                <w:tcPr>
                  <w:tcW w:w="1011" w:type="dxa"/>
                </w:tcPr>
                <w:p w14:paraId="4985C948" w14:textId="77777777" w:rsidR="00DE76C3" w:rsidRPr="00E4174E" w:rsidRDefault="00DE76C3" w:rsidP="00E4174E">
                  <w:pPr>
                    <w:jc w:val="both"/>
                    <w:rPr>
                      <w:i/>
                      <w:sz w:val="18"/>
                      <w:szCs w:val="20"/>
                    </w:rPr>
                  </w:pPr>
                  <w:r w:rsidRPr="00E4174E">
                    <w:rPr>
                      <w:i/>
                      <w:sz w:val="18"/>
                      <w:szCs w:val="20"/>
                    </w:rPr>
                    <w:t>08.2019</w:t>
                  </w:r>
                </w:p>
              </w:tc>
              <w:tc>
                <w:tcPr>
                  <w:tcW w:w="1115" w:type="dxa"/>
                </w:tcPr>
                <w:p w14:paraId="2C879BCF" w14:textId="77777777" w:rsidR="00DE76C3" w:rsidRPr="00E4174E" w:rsidRDefault="00DE76C3" w:rsidP="00E4174E">
                  <w:pPr>
                    <w:pStyle w:val="Akapitzlist"/>
                    <w:ind w:left="7"/>
                    <w:jc w:val="both"/>
                    <w:rPr>
                      <w:i/>
                      <w:sz w:val="18"/>
                      <w:szCs w:val="20"/>
                    </w:rPr>
                  </w:pPr>
                  <w:r w:rsidRPr="00E4174E">
                    <w:rPr>
                      <w:i/>
                      <w:sz w:val="18"/>
                      <w:szCs w:val="20"/>
                    </w:rPr>
                    <w:t>02.2019</w:t>
                  </w:r>
                </w:p>
              </w:tc>
            </w:tr>
            <w:tr w:rsidR="00DE76C3" w:rsidRPr="00AE072D" w14:paraId="20989DF7" w14:textId="77777777" w:rsidTr="00DE76C3">
              <w:tc>
                <w:tcPr>
                  <w:tcW w:w="3826" w:type="dxa"/>
                </w:tcPr>
                <w:p w14:paraId="34F4B355" w14:textId="77777777" w:rsidR="00DE76C3" w:rsidRPr="00E4174E" w:rsidRDefault="00DE76C3" w:rsidP="00E4174E">
                  <w:pPr>
                    <w:jc w:val="both"/>
                    <w:rPr>
                      <w:i/>
                      <w:sz w:val="18"/>
                      <w:szCs w:val="20"/>
                    </w:rPr>
                  </w:pPr>
                  <w:r w:rsidRPr="00E4174E">
                    <w:rPr>
                      <w:i/>
                      <w:sz w:val="18"/>
                      <w:szCs w:val="20"/>
                    </w:rPr>
                    <w:t>Digitalizacja i rekonstrukcja materiałów audiowizualnych</w:t>
                  </w:r>
                </w:p>
              </w:tc>
              <w:tc>
                <w:tcPr>
                  <w:tcW w:w="1011" w:type="dxa"/>
                </w:tcPr>
                <w:p w14:paraId="2A909CE5" w14:textId="77777777" w:rsidR="00DE76C3" w:rsidRPr="00E4174E" w:rsidRDefault="00DE76C3" w:rsidP="00E4174E">
                  <w:pPr>
                    <w:jc w:val="both"/>
                    <w:rPr>
                      <w:i/>
                      <w:sz w:val="18"/>
                      <w:szCs w:val="20"/>
                    </w:rPr>
                  </w:pPr>
                  <w:r w:rsidRPr="00E4174E">
                    <w:rPr>
                      <w:i/>
                      <w:sz w:val="18"/>
                      <w:szCs w:val="20"/>
                    </w:rPr>
                    <w:t>08.2019</w:t>
                  </w:r>
                </w:p>
              </w:tc>
              <w:tc>
                <w:tcPr>
                  <w:tcW w:w="1115" w:type="dxa"/>
                </w:tcPr>
                <w:p w14:paraId="08DFCEF1" w14:textId="77777777" w:rsidR="00DE76C3" w:rsidRPr="00E4174E" w:rsidRDefault="00DE76C3" w:rsidP="00E4174E">
                  <w:pPr>
                    <w:jc w:val="both"/>
                    <w:rPr>
                      <w:i/>
                      <w:sz w:val="18"/>
                      <w:szCs w:val="20"/>
                    </w:rPr>
                  </w:pPr>
                  <w:r w:rsidRPr="00E4174E">
                    <w:rPr>
                      <w:i/>
                      <w:sz w:val="18"/>
                      <w:szCs w:val="20"/>
                    </w:rPr>
                    <w:t>08.2019</w:t>
                  </w:r>
                </w:p>
                <w:p w14:paraId="0D12AD8C" w14:textId="77777777" w:rsidR="00DE76C3" w:rsidRPr="00E4174E" w:rsidRDefault="00DE76C3" w:rsidP="00E4174E">
                  <w:pPr>
                    <w:jc w:val="both"/>
                    <w:rPr>
                      <w:i/>
                      <w:sz w:val="18"/>
                      <w:szCs w:val="20"/>
                    </w:rPr>
                  </w:pPr>
                </w:p>
              </w:tc>
            </w:tr>
            <w:tr w:rsidR="00DE76C3" w:rsidRPr="00AE072D" w14:paraId="12CC7759" w14:textId="77777777" w:rsidTr="00DE76C3">
              <w:tc>
                <w:tcPr>
                  <w:tcW w:w="3826" w:type="dxa"/>
                </w:tcPr>
                <w:p w14:paraId="19F0D8DC" w14:textId="77777777" w:rsidR="00DE76C3" w:rsidRPr="00E4174E" w:rsidRDefault="00DE76C3" w:rsidP="00E4174E">
                  <w:pPr>
                    <w:jc w:val="both"/>
                    <w:rPr>
                      <w:i/>
                      <w:sz w:val="18"/>
                      <w:szCs w:val="20"/>
                    </w:rPr>
                  </w:pPr>
                  <w:r w:rsidRPr="00E4174E">
                    <w:rPr>
                      <w:i/>
                      <w:sz w:val="18"/>
                      <w:szCs w:val="20"/>
                    </w:rPr>
                    <w:t>Modernizacja Systemu Dystrybucji Treści</w:t>
                  </w:r>
                </w:p>
              </w:tc>
              <w:tc>
                <w:tcPr>
                  <w:tcW w:w="1011" w:type="dxa"/>
                </w:tcPr>
                <w:p w14:paraId="47BC3861" w14:textId="77777777" w:rsidR="00DE76C3" w:rsidRPr="00E4174E" w:rsidRDefault="00DE76C3" w:rsidP="00E4174E">
                  <w:pPr>
                    <w:jc w:val="both"/>
                    <w:rPr>
                      <w:i/>
                      <w:sz w:val="18"/>
                      <w:szCs w:val="20"/>
                    </w:rPr>
                  </w:pPr>
                  <w:r w:rsidRPr="00E4174E">
                    <w:rPr>
                      <w:i/>
                      <w:sz w:val="18"/>
                      <w:szCs w:val="20"/>
                    </w:rPr>
                    <w:t>10.2017</w:t>
                  </w:r>
                </w:p>
              </w:tc>
              <w:tc>
                <w:tcPr>
                  <w:tcW w:w="1115" w:type="dxa"/>
                </w:tcPr>
                <w:p w14:paraId="1ACBAD85" w14:textId="77777777" w:rsidR="00DE76C3" w:rsidRPr="00E4174E" w:rsidRDefault="00DE76C3" w:rsidP="00E4174E">
                  <w:pPr>
                    <w:pStyle w:val="Akapitzlist"/>
                    <w:ind w:left="7"/>
                    <w:jc w:val="both"/>
                    <w:rPr>
                      <w:i/>
                      <w:sz w:val="18"/>
                      <w:szCs w:val="20"/>
                    </w:rPr>
                  </w:pPr>
                  <w:r w:rsidRPr="00E4174E">
                    <w:rPr>
                      <w:i/>
                      <w:sz w:val="18"/>
                      <w:szCs w:val="20"/>
                    </w:rPr>
                    <w:t>01.2018</w:t>
                  </w:r>
                </w:p>
              </w:tc>
            </w:tr>
            <w:tr w:rsidR="00DE76C3" w:rsidRPr="00AE072D" w14:paraId="54A58874" w14:textId="77777777" w:rsidTr="00DE76C3">
              <w:tc>
                <w:tcPr>
                  <w:tcW w:w="3826" w:type="dxa"/>
                </w:tcPr>
                <w:p w14:paraId="490B555E" w14:textId="77777777" w:rsidR="00DE76C3" w:rsidRPr="00E4174E" w:rsidRDefault="00DE76C3" w:rsidP="00E4174E">
                  <w:pPr>
                    <w:jc w:val="both"/>
                    <w:rPr>
                      <w:i/>
                      <w:sz w:val="18"/>
                      <w:szCs w:val="20"/>
                    </w:rPr>
                  </w:pPr>
                  <w:r w:rsidRPr="00E4174E">
                    <w:rPr>
                      <w:i/>
                      <w:sz w:val="18"/>
                      <w:szCs w:val="20"/>
                    </w:rPr>
                    <w:t>Adaptacja platformy Internetowej – portalu TVP</w:t>
                  </w:r>
                </w:p>
              </w:tc>
              <w:tc>
                <w:tcPr>
                  <w:tcW w:w="1011" w:type="dxa"/>
                </w:tcPr>
                <w:p w14:paraId="52D6CE4A" w14:textId="77777777" w:rsidR="00DE76C3" w:rsidRPr="00E4174E" w:rsidRDefault="00DE76C3" w:rsidP="00E4174E">
                  <w:pPr>
                    <w:jc w:val="both"/>
                    <w:rPr>
                      <w:i/>
                      <w:sz w:val="18"/>
                      <w:szCs w:val="20"/>
                    </w:rPr>
                  </w:pPr>
                  <w:r w:rsidRPr="00E4174E">
                    <w:rPr>
                      <w:i/>
                      <w:sz w:val="18"/>
                      <w:szCs w:val="20"/>
                    </w:rPr>
                    <w:t>12.2017</w:t>
                  </w:r>
                </w:p>
              </w:tc>
              <w:tc>
                <w:tcPr>
                  <w:tcW w:w="1115" w:type="dxa"/>
                </w:tcPr>
                <w:p w14:paraId="15B4D03E" w14:textId="77777777" w:rsidR="00DE76C3" w:rsidRPr="00E4174E" w:rsidRDefault="00DE76C3" w:rsidP="00E4174E">
                  <w:pPr>
                    <w:jc w:val="both"/>
                    <w:rPr>
                      <w:i/>
                      <w:sz w:val="18"/>
                      <w:szCs w:val="20"/>
                    </w:rPr>
                  </w:pPr>
                  <w:r w:rsidRPr="00E4174E">
                    <w:rPr>
                      <w:i/>
                      <w:sz w:val="18"/>
                      <w:szCs w:val="20"/>
                    </w:rPr>
                    <w:t>01.2018</w:t>
                  </w:r>
                </w:p>
              </w:tc>
            </w:tr>
            <w:tr w:rsidR="00DE76C3" w:rsidRPr="00AE072D" w14:paraId="2D23DB44" w14:textId="77777777" w:rsidTr="00DE76C3">
              <w:tc>
                <w:tcPr>
                  <w:tcW w:w="3826" w:type="dxa"/>
                </w:tcPr>
                <w:p w14:paraId="6D70B13D" w14:textId="77777777" w:rsidR="00DE76C3" w:rsidRPr="00E4174E" w:rsidRDefault="00DE76C3" w:rsidP="00E4174E">
                  <w:pPr>
                    <w:jc w:val="both"/>
                    <w:rPr>
                      <w:i/>
                      <w:sz w:val="18"/>
                      <w:szCs w:val="20"/>
                    </w:rPr>
                  </w:pPr>
                  <w:r w:rsidRPr="00E4174E">
                    <w:rPr>
                      <w:i/>
                      <w:sz w:val="18"/>
                      <w:szCs w:val="20"/>
                    </w:rPr>
                    <w:t xml:space="preserve">Udostępnienie </w:t>
                  </w:r>
                  <w:proofErr w:type="spellStart"/>
                  <w:r w:rsidRPr="00E4174E">
                    <w:rPr>
                      <w:i/>
                      <w:sz w:val="18"/>
                      <w:szCs w:val="20"/>
                    </w:rPr>
                    <w:t>zdigitalizowanych</w:t>
                  </w:r>
                  <w:proofErr w:type="spellEnd"/>
                  <w:r w:rsidRPr="00E4174E">
                    <w:rPr>
                      <w:i/>
                      <w:sz w:val="18"/>
                      <w:szCs w:val="20"/>
                    </w:rPr>
                    <w:t xml:space="preserve"> materiałów audiowizualnych</w:t>
                  </w:r>
                </w:p>
              </w:tc>
              <w:tc>
                <w:tcPr>
                  <w:tcW w:w="1011" w:type="dxa"/>
                </w:tcPr>
                <w:p w14:paraId="174C6EF8" w14:textId="77777777" w:rsidR="00DE76C3" w:rsidRPr="00E4174E" w:rsidRDefault="00DE76C3" w:rsidP="00E4174E">
                  <w:pPr>
                    <w:jc w:val="both"/>
                    <w:rPr>
                      <w:i/>
                      <w:sz w:val="18"/>
                      <w:szCs w:val="20"/>
                    </w:rPr>
                  </w:pPr>
                  <w:r w:rsidRPr="00E4174E">
                    <w:rPr>
                      <w:i/>
                      <w:sz w:val="18"/>
                      <w:szCs w:val="20"/>
                    </w:rPr>
                    <w:t>08.2019</w:t>
                  </w:r>
                </w:p>
              </w:tc>
              <w:tc>
                <w:tcPr>
                  <w:tcW w:w="1115" w:type="dxa"/>
                </w:tcPr>
                <w:p w14:paraId="6A49D2AB" w14:textId="77777777" w:rsidR="00DE76C3" w:rsidRPr="00E4174E" w:rsidRDefault="00DE76C3" w:rsidP="00E4174E">
                  <w:pPr>
                    <w:pStyle w:val="Akapitzlist"/>
                    <w:ind w:left="7"/>
                    <w:jc w:val="both"/>
                    <w:rPr>
                      <w:i/>
                      <w:sz w:val="18"/>
                      <w:szCs w:val="20"/>
                    </w:rPr>
                  </w:pPr>
                  <w:r w:rsidRPr="00E4174E">
                    <w:rPr>
                      <w:i/>
                      <w:sz w:val="18"/>
                      <w:szCs w:val="20"/>
                    </w:rPr>
                    <w:t>10.2019</w:t>
                  </w:r>
                </w:p>
              </w:tc>
            </w:tr>
            <w:tr w:rsidR="00DE76C3" w:rsidRPr="00AE072D" w14:paraId="7584E84A" w14:textId="77777777" w:rsidTr="00DE76C3">
              <w:tc>
                <w:tcPr>
                  <w:tcW w:w="3826" w:type="dxa"/>
                </w:tcPr>
                <w:p w14:paraId="539F7DD1" w14:textId="77777777" w:rsidR="00DE76C3" w:rsidRPr="00E4174E" w:rsidRDefault="00DE76C3" w:rsidP="00E4174E">
                  <w:pPr>
                    <w:jc w:val="both"/>
                    <w:rPr>
                      <w:i/>
                      <w:sz w:val="18"/>
                      <w:szCs w:val="20"/>
                    </w:rPr>
                  </w:pPr>
                  <w:r w:rsidRPr="00E4174E">
                    <w:rPr>
                      <w:i/>
                      <w:sz w:val="18"/>
                      <w:szCs w:val="20"/>
                    </w:rPr>
                    <w:t>Informacja i promocja projektu</w:t>
                  </w:r>
                </w:p>
              </w:tc>
              <w:tc>
                <w:tcPr>
                  <w:tcW w:w="1011" w:type="dxa"/>
                </w:tcPr>
                <w:p w14:paraId="28AAAB05" w14:textId="77777777" w:rsidR="00DE76C3" w:rsidRPr="00E4174E" w:rsidRDefault="00DE76C3" w:rsidP="00E4174E">
                  <w:pPr>
                    <w:jc w:val="both"/>
                    <w:rPr>
                      <w:i/>
                      <w:sz w:val="18"/>
                      <w:szCs w:val="20"/>
                    </w:rPr>
                  </w:pPr>
                  <w:r w:rsidRPr="00E4174E">
                    <w:rPr>
                      <w:i/>
                      <w:sz w:val="18"/>
                      <w:szCs w:val="20"/>
                    </w:rPr>
                    <w:t>08.2019</w:t>
                  </w:r>
                </w:p>
              </w:tc>
              <w:tc>
                <w:tcPr>
                  <w:tcW w:w="1115" w:type="dxa"/>
                </w:tcPr>
                <w:p w14:paraId="366FAE77" w14:textId="77777777" w:rsidR="00DE76C3" w:rsidRPr="00E4174E" w:rsidRDefault="00DE76C3" w:rsidP="00E4174E">
                  <w:pPr>
                    <w:jc w:val="both"/>
                    <w:rPr>
                      <w:i/>
                      <w:sz w:val="18"/>
                      <w:szCs w:val="20"/>
                    </w:rPr>
                  </w:pPr>
                  <w:r w:rsidRPr="00E4174E">
                    <w:rPr>
                      <w:i/>
                      <w:sz w:val="18"/>
                      <w:szCs w:val="20"/>
                    </w:rPr>
                    <w:t>08.2019</w:t>
                  </w:r>
                </w:p>
              </w:tc>
            </w:tr>
          </w:tbl>
          <w:p w14:paraId="06D04FA7" w14:textId="77777777" w:rsidR="00DE76C3" w:rsidRDefault="000E20E8" w:rsidP="00DE76C3">
            <w:pPr>
              <w:rPr>
                <w:sz w:val="18"/>
                <w:szCs w:val="20"/>
              </w:rPr>
            </w:pPr>
            <w:r>
              <w:rPr>
                <w:i/>
                <w:sz w:val="18"/>
                <w:szCs w:val="20"/>
              </w:rPr>
              <w:t>W przypadku Organizacji projektu p</w:t>
            </w:r>
            <w:r w:rsidR="00DE76C3" w:rsidRPr="00E4174E">
              <w:rPr>
                <w:i/>
                <w:sz w:val="18"/>
                <w:szCs w:val="20"/>
              </w:rPr>
              <w:t>rzesunięcie terminu względem planowanej daty zakończenia, wynika</w:t>
            </w:r>
            <w:r w:rsidR="00DE76C3">
              <w:rPr>
                <w:i/>
                <w:sz w:val="18"/>
                <w:szCs w:val="20"/>
              </w:rPr>
              <w:t>ło</w:t>
            </w:r>
            <w:r w:rsidR="00DE76C3" w:rsidRPr="00E4174E">
              <w:rPr>
                <w:i/>
                <w:sz w:val="18"/>
                <w:szCs w:val="20"/>
              </w:rPr>
              <w:t xml:space="preserve"> ze zmian kadrowych które w I kwartale 2017 zaszły w zespole zarządzającym projektem</w:t>
            </w:r>
          </w:p>
          <w:p w14:paraId="008C7B62" w14:textId="77777777" w:rsidR="00DE76C3" w:rsidRDefault="00DE76C3" w:rsidP="00E264D6">
            <w:pPr>
              <w:rPr>
                <w:i/>
                <w:sz w:val="18"/>
                <w:szCs w:val="20"/>
              </w:rPr>
            </w:pPr>
            <w:r>
              <w:rPr>
                <w:i/>
                <w:sz w:val="18"/>
                <w:szCs w:val="20"/>
              </w:rPr>
              <w:t xml:space="preserve">W przypadku </w:t>
            </w:r>
            <w:r w:rsidRPr="00E4174E">
              <w:rPr>
                <w:i/>
                <w:sz w:val="18"/>
                <w:szCs w:val="20"/>
              </w:rPr>
              <w:t>Modernizacj</w:t>
            </w:r>
            <w:r>
              <w:rPr>
                <w:i/>
                <w:sz w:val="18"/>
                <w:szCs w:val="20"/>
              </w:rPr>
              <w:t>i</w:t>
            </w:r>
            <w:r w:rsidRPr="00E4174E">
              <w:rPr>
                <w:i/>
                <w:sz w:val="18"/>
                <w:szCs w:val="20"/>
              </w:rPr>
              <w:t xml:space="preserve"> Systemu Dystrybucji Treści </w:t>
            </w:r>
            <w:r>
              <w:rPr>
                <w:i/>
                <w:sz w:val="18"/>
                <w:szCs w:val="20"/>
              </w:rPr>
              <w:t>o</w:t>
            </w:r>
            <w:r w:rsidRPr="00E4174E">
              <w:rPr>
                <w:i/>
                <w:sz w:val="18"/>
                <w:szCs w:val="20"/>
              </w:rPr>
              <w:t xml:space="preserve">późnienie wynikało z przeciągającej się procedury przetargowej. Związane było to m.in. z koniecznością korekty dokumentacji przetargowej ogłoszonego postępowania, w wyniku przeprowadzonej przez CPPC analizy ex </w:t>
            </w:r>
            <w:proofErr w:type="spellStart"/>
            <w:r w:rsidRPr="00E4174E">
              <w:rPr>
                <w:i/>
                <w:sz w:val="18"/>
                <w:szCs w:val="20"/>
              </w:rPr>
              <w:t>ante</w:t>
            </w:r>
            <w:proofErr w:type="spellEnd"/>
            <w:r w:rsidRPr="00E4174E">
              <w:rPr>
                <w:i/>
                <w:sz w:val="18"/>
                <w:szCs w:val="20"/>
              </w:rPr>
              <w:t>. W związku z powyższym niezbędne było przesunięcie terminów rozstrzygnięcia postępowania, co przełożyło się na wszystkie terminy zw. z kamieniem milowym.</w:t>
            </w:r>
          </w:p>
          <w:p w14:paraId="28661D8B" w14:textId="77777777" w:rsidR="00DE76C3" w:rsidRDefault="00DE76C3" w:rsidP="00E264D6">
            <w:pPr>
              <w:rPr>
                <w:i/>
                <w:sz w:val="18"/>
                <w:szCs w:val="20"/>
              </w:rPr>
            </w:pPr>
            <w:r>
              <w:rPr>
                <w:i/>
                <w:sz w:val="18"/>
                <w:szCs w:val="20"/>
              </w:rPr>
              <w:lastRenderedPageBreak/>
              <w:t xml:space="preserve">W przypadku </w:t>
            </w:r>
            <w:r w:rsidRPr="00E4174E">
              <w:rPr>
                <w:i/>
                <w:sz w:val="18"/>
                <w:szCs w:val="20"/>
              </w:rPr>
              <w:t>Adaptacj</w:t>
            </w:r>
            <w:r>
              <w:rPr>
                <w:i/>
                <w:sz w:val="18"/>
                <w:szCs w:val="20"/>
              </w:rPr>
              <w:t>i</w:t>
            </w:r>
            <w:r w:rsidRPr="00E4174E">
              <w:rPr>
                <w:i/>
                <w:sz w:val="18"/>
                <w:szCs w:val="20"/>
              </w:rPr>
              <w:t xml:space="preserve"> platformy Internetowej – portalu TVP </w:t>
            </w:r>
            <w:r>
              <w:rPr>
                <w:i/>
                <w:sz w:val="18"/>
                <w:szCs w:val="20"/>
              </w:rPr>
              <w:t>o</w:t>
            </w:r>
            <w:r w:rsidRPr="00E4174E">
              <w:rPr>
                <w:i/>
                <w:sz w:val="18"/>
                <w:szCs w:val="20"/>
              </w:rPr>
              <w:t>późnienie wynika</w:t>
            </w:r>
            <w:r>
              <w:rPr>
                <w:i/>
                <w:sz w:val="18"/>
                <w:szCs w:val="20"/>
              </w:rPr>
              <w:t>ło</w:t>
            </w:r>
            <w:r w:rsidRPr="00E4174E">
              <w:rPr>
                <w:i/>
                <w:sz w:val="18"/>
                <w:szCs w:val="20"/>
              </w:rPr>
              <w:t xml:space="preserve"> z wydłużonego procesu akceptacji zaprezentowanych przez wykonawcę projektów graficznych. Dostosowanie projektu do wysokich standardów estetycznych serwisów TVP wymagało dodatkowych prac i konsultacji z wykonawcą, a także zaangażowania po stronie pracowników TVP</w:t>
            </w:r>
          </w:p>
          <w:p w14:paraId="70882726" w14:textId="77777777" w:rsidR="00DE76C3" w:rsidRPr="00AE072D" w:rsidRDefault="00DE76C3" w:rsidP="00E264D6">
            <w:pPr>
              <w:rPr>
                <w:sz w:val="18"/>
                <w:szCs w:val="20"/>
              </w:rPr>
            </w:pPr>
            <w:r>
              <w:rPr>
                <w:i/>
                <w:sz w:val="18"/>
                <w:szCs w:val="20"/>
              </w:rPr>
              <w:t>W przypadku Ud</w:t>
            </w:r>
            <w:r w:rsidRPr="00E4174E">
              <w:rPr>
                <w:i/>
                <w:sz w:val="18"/>
                <w:szCs w:val="20"/>
              </w:rPr>
              <w:t>ostępnieni</w:t>
            </w:r>
            <w:r>
              <w:rPr>
                <w:i/>
                <w:sz w:val="18"/>
                <w:szCs w:val="20"/>
              </w:rPr>
              <w:t>a</w:t>
            </w:r>
            <w:r w:rsidRPr="00E4174E">
              <w:rPr>
                <w:i/>
                <w:sz w:val="18"/>
                <w:szCs w:val="20"/>
              </w:rPr>
              <w:t xml:space="preserve"> </w:t>
            </w:r>
            <w:proofErr w:type="spellStart"/>
            <w:r w:rsidRPr="00E4174E">
              <w:rPr>
                <w:i/>
                <w:sz w:val="18"/>
                <w:szCs w:val="20"/>
              </w:rPr>
              <w:t>zdigitalizowanych</w:t>
            </w:r>
            <w:proofErr w:type="spellEnd"/>
            <w:r w:rsidRPr="00E4174E">
              <w:rPr>
                <w:i/>
                <w:sz w:val="18"/>
                <w:szCs w:val="20"/>
              </w:rPr>
              <w:t xml:space="preserve"> materiałów audiowizualnych </w:t>
            </w:r>
            <w:r>
              <w:rPr>
                <w:i/>
                <w:sz w:val="18"/>
                <w:szCs w:val="20"/>
              </w:rPr>
              <w:t>p</w:t>
            </w:r>
            <w:r w:rsidRPr="00E4174E">
              <w:rPr>
                <w:i/>
                <w:sz w:val="18"/>
                <w:szCs w:val="20"/>
              </w:rPr>
              <w:t>rzekroczenie terminu wynika</w:t>
            </w:r>
            <w:r>
              <w:rPr>
                <w:i/>
                <w:sz w:val="18"/>
                <w:szCs w:val="20"/>
              </w:rPr>
              <w:t>ło</w:t>
            </w:r>
            <w:r w:rsidRPr="00E4174E">
              <w:rPr>
                <w:i/>
                <w:sz w:val="18"/>
                <w:szCs w:val="20"/>
              </w:rPr>
              <w:t xml:space="preserve"> z gorszej jakości materiału niż pierwotnie zakładano, co zwiększyło pracochłonność</w:t>
            </w:r>
            <w:r>
              <w:rPr>
                <w:i/>
                <w:sz w:val="18"/>
                <w:szCs w:val="20"/>
              </w:rPr>
              <w:t>.</w:t>
            </w:r>
          </w:p>
        </w:tc>
      </w:tr>
      <w:tr w:rsidR="004D135D" w:rsidRPr="002450C4" w14:paraId="2B5D2F26" w14:textId="77777777" w:rsidTr="00920CE8">
        <w:tc>
          <w:tcPr>
            <w:tcW w:w="480" w:type="dxa"/>
          </w:tcPr>
          <w:p w14:paraId="2F1C6134" w14:textId="77777777" w:rsidR="004D135D" w:rsidRPr="002450C4" w:rsidRDefault="004D135D" w:rsidP="007A0A3D">
            <w:pPr>
              <w:pStyle w:val="Akapitzlist"/>
              <w:numPr>
                <w:ilvl w:val="0"/>
                <w:numId w:val="1"/>
              </w:numPr>
              <w:rPr>
                <w:sz w:val="18"/>
                <w:szCs w:val="20"/>
              </w:rPr>
            </w:pPr>
          </w:p>
        </w:tc>
        <w:tc>
          <w:tcPr>
            <w:tcW w:w="2350" w:type="dxa"/>
          </w:tcPr>
          <w:p w14:paraId="6EC9C2A2" w14:textId="77777777" w:rsidR="004D135D" w:rsidRPr="00AE072D" w:rsidRDefault="004D135D">
            <w:pPr>
              <w:rPr>
                <w:sz w:val="18"/>
                <w:szCs w:val="20"/>
              </w:rPr>
            </w:pPr>
            <w:r w:rsidRPr="00AE072D">
              <w:rPr>
                <w:sz w:val="18"/>
                <w:szCs w:val="20"/>
              </w:rPr>
              <w:t>E-usługi dla obywateli i przedsiębiorców</w:t>
            </w:r>
          </w:p>
        </w:tc>
        <w:tc>
          <w:tcPr>
            <w:tcW w:w="6232" w:type="dxa"/>
          </w:tcPr>
          <w:p w14:paraId="4D3CAA46" w14:textId="77777777" w:rsidR="004D135D" w:rsidRPr="00AE072D" w:rsidRDefault="000E20E8" w:rsidP="00E30008">
            <w:pPr>
              <w:rPr>
                <w:bCs/>
                <w:i/>
                <w:sz w:val="18"/>
                <w:szCs w:val="20"/>
              </w:rPr>
            </w:pPr>
            <w:r>
              <w:rPr>
                <w:bCs/>
                <w:i/>
                <w:sz w:val="18"/>
                <w:szCs w:val="20"/>
              </w:rPr>
              <w:t>Nie dotyczy</w:t>
            </w:r>
          </w:p>
        </w:tc>
      </w:tr>
      <w:tr w:rsidR="00920CE8" w:rsidRPr="002450C4" w14:paraId="64A10B9F" w14:textId="77777777" w:rsidTr="00920CE8">
        <w:tc>
          <w:tcPr>
            <w:tcW w:w="480" w:type="dxa"/>
          </w:tcPr>
          <w:p w14:paraId="30E697FA" w14:textId="77777777" w:rsidR="00920CE8" w:rsidRPr="002450C4" w:rsidRDefault="00920CE8" w:rsidP="007A0A3D">
            <w:pPr>
              <w:pStyle w:val="Akapitzlist"/>
              <w:numPr>
                <w:ilvl w:val="0"/>
                <w:numId w:val="1"/>
              </w:numPr>
              <w:rPr>
                <w:sz w:val="18"/>
                <w:szCs w:val="20"/>
              </w:rPr>
            </w:pPr>
          </w:p>
        </w:tc>
        <w:tc>
          <w:tcPr>
            <w:tcW w:w="2350" w:type="dxa"/>
          </w:tcPr>
          <w:p w14:paraId="19611D20" w14:textId="77777777" w:rsidR="00920CE8" w:rsidRPr="00AE072D" w:rsidRDefault="00920CE8" w:rsidP="0092099A">
            <w:pPr>
              <w:rPr>
                <w:sz w:val="18"/>
                <w:szCs w:val="20"/>
              </w:rPr>
            </w:pPr>
            <w:r w:rsidRPr="00AE072D">
              <w:rPr>
                <w:sz w:val="18"/>
                <w:szCs w:val="20"/>
              </w:rPr>
              <w:t>Postęp w realizacji strategicznych celów Państwa</w:t>
            </w:r>
          </w:p>
        </w:tc>
        <w:tc>
          <w:tcPr>
            <w:tcW w:w="6232" w:type="dxa"/>
          </w:tcPr>
          <w:p w14:paraId="3DA71D28" w14:textId="77777777" w:rsidR="00B868EA" w:rsidRPr="00AE072D" w:rsidRDefault="00B868EA" w:rsidP="001236A3">
            <w:pPr>
              <w:jc w:val="both"/>
              <w:rPr>
                <w:i/>
                <w:sz w:val="18"/>
                <w:szCs w:val="20"/>
              </w:rPr>
            </w:pPr>
            <w:r w:rsidRPr="00AE072D">
              <w:rPr>
                <w:i/>
                <w:sz w:val="18"/>
                <w:szCs w:val="20"/>
              </w:rPr>
              <w:t>Wskaźniki efektywności projektu (na dzień 31.12.2019):</w:t>
            </w:r>
          </w:p>
          <w:p w14:paraId="4F165AC7" w14:textId="77777777" w:rsidR="00B868EA" w:rsidRPr="00AE072D" w:rsidRDefault="00B868EA" w:rsidP="001236A3">
            <w:pPr>
              <w:pStyle w:val="Akapitzlist"/>
              <w:numPr>
                <w:ilvl w:val="0"/>
                <w:numId w:val="10"/>
              </w:numPr>
              <w:contextualSpacing w:val="0"/>
              <w:jc w:val="both"/>
              <w:rPr>
                <w:i/>
                <w:sz w:val="18"/>
                <w:szCs w:val="20"/>
              </w:rPr>
            </w:pPr>
            <w:r w:rsidRPr="00AE072D">
              <w:rPr>
                <w:i/>
                <w:sz w:val="18"/>
                <w:szCs w:val="20"/>
              </w:rPr>
              <w:t>Liczba podmiotów, które udostępniły on-line informacje sektora publicznego – 1 podmiot</w:t>
            </w:r>
          </w:p>
          <w:p w14:paraId="27A55691" w14:textId="77777777" w:rsidR="00B868EA" w:rsidRPr="00AE072D" w:rsidRDefault="00B868EA" w:rsidP="001236A3">
            <w:pPr>
              <w:pStyle w:val="Akapitzlist"/>
              <w:numPr>
                <w:ilvl w:val="0"/>
                <w:numId w:val="10"/>
              </w:numPr>
              <w:contextualSpacing w:val="0"/>
              <w:jc w:val="both"/>
              <w:rPr>
                <w:i/>
                <w:sz w:val="18"/>
                <w:szCs w:val="20"/>
              </w:rPr>
            </w:pPr>
            <w:r w:rsidRPr="00AE072D">
              <w:rPr>
                <w:i/>
                <w:sz w:val="18"/>
                <w:szCs w:val="20"/>
              </w:rPr>
              <w:t xml:space="preserve">Liczba </w:t>
            </w:r>
            <w:proofErr w:type="spellStart"/>
            <w:r w:rsidRPr="00AE072D">
              <w:rPr>
                <w:i/>
                <w:sz w:val="18"/>
                <w:szCs w:val="20"/>
              </w:rPr>
              <w:t>zdigitalizowanych</w:t>
            </w:r>
            <w:proofErr w:type="spellEnd"/>
            <w:r w:rsidRPr="00AE072D">
              <w:rPr>
                <w:i/>
                <w:sz w:val="18"/>
                <w:szCs w:val="20"/>
              </w:rPr>
              <w:t xml:space="preserve"> dokumentów zawierających informacje sektora publicznego – 836 sztuk</w:t>
            </w:r>
          </w:p>
          <w:p w14:paraId="0CF6BD17" w14:textId="77777777" w:rsidR="00B868EA" w:rsidRPr="00AE072D" w:rsidRDefault="00B868EA" w:rsidP="001236A3">
            <w:pPr>
              <w:pStyle w:val="Akapitzlist"/>
              <w:numPr>
                <w:ilvl w:val="0"/>
                <w:numId w:val="10"/>
              </w:numPr>
              <w:contextualSpacing w:val="0"/>
              <w:jc w:val="both"/>
              <w:rPr>
                <w:i/>
                <w:sz w:val="18"/>
                <w:szCs w:val="20"/>
              </w:rPr>
            </w:pPr>
            <w:r w:rsidRPr="00AE072D">
              <w:rPr>
                <w:i/>
                <w:sz w:val="18"/>
                <w:szCs w:val="20"/>
              </w:rPr>
              <w:t>Liczba udostępnionych on-line dokumentów zawierających informacje sektora publicznego – 836 sztuk</w:t>
            </w:r>
          </w:p>
          <w:p w14:paraId="70C0C89C" w14:textId="77777777" w:rsidR="00B868EA" w:rsidRPr="00AE072D" w:rsidRDefault="00B868EA" w:rsidP="001236A3">
            <w:pPr>
              <w:pStyle w:val="Akapitzlist"/>
              <w:numPr>
                <w:ilvl w:val="0"/>
                <w:numId w:val="10"/>
              </w:numPr>
              <w:contextualSpacing w:val="0"/>
              <w:jc w:val="both"/>
              <w:rPr>
                <w:i/>
                <w:sz w:val="18"/>
                <w:szCs w:val="20"/>
              </w:rPr>
            </w:pPr>
            <w:r w:rsidRPr="00AE072D">
              <w:rPr>
                <w:i/>
                <w:sz w:val="18"/>
                <w:szCs w:val="20"/>
              </w:rPr>
              <w:t>Liczba utworzonych API – 1</w:t>
            </w:r>
          </w:p>
          <w:p w14:paraId="2EDCFDC9" w14:textId="77777777" w:rsidR="00B868EA" w:rsidRPr="00AE072D" w:rsidRDefault="00B868EA" w:rsidP="001236A3">
            <w:pPr>
              <w:pStyle w:val="Akapitzlist"/>
              <w:numPr>
                <w:ilvl w:val="0"/>
                <w:numId w:val="10"/>
              </w:numPr>
              <w:contextualSpacing w:val="0"/>
              <w:jc w:val="both"/>
              <w:rPr>
                <w:i/>
                <w:sz w:val="18"/>
                <w:szCs w:val="20"/>
              </w:rPr>
            </w:pPr>
            <w:r w:rsidRPr="00AE072D">
              <w:rPr>
                <w:i/>
                <w:sz w:val="18"/>
                <w:szCs w:val="20"/>
              </w:rPr>
              <w:t>Liczba baz danych udostępnionych on-line poprzez API – 1</w:t>
            </w:r>
          </w:p>
          <w:p w14:paraId="6F00DE42" w14:textId="77777777" w:rsidR="00B868EA" w:rsidRPr="00AE072D" w:rsidRDefault="001236A3" w:rsidP="001236A3">
            <w:pPr>
              <w:pStyle w:val="Akapitzlist"/>
              <w:numPr>
                <w:ilvl w:val="0"/>
                <w:numId w:val="10"/>
              </w:numPr>
              <w:contextualSpacing w:val="0"/>
              <w:jc w:val="both"/>
              <w:rPr>
                <w:i/>
                <w:sz w:val="18"/>
                <w:szCs w:val="20"/>
              </w:rPr>
            </w:pPr>
            <w:r w:rsidRPr="00AE072D">
              <w:rPr>
                <w:i/>
                <w:sz w:val="18"/>
                <w:szCs w:val="20"/>
              </w:rPr>
              <w:t>Liczba pobrań/</w:t>
            </w:r>
            <w:proofErr w:type="spellStart"/>
            <w:r w:rsidRPr="00AE072D">
              <w:rPr>
                <w:i/>
                <w:sz w:val="18"/>
                <w:szCs w:val="20"/>
              </w:rPr>
              <w:t>odtworzeń</w:t>
            </w:r>
            <w:proofErr w:type="spellEnd"/>
            <w:r w:rsidRPr="00AE072D">
              <w:rPr>
                <w:i/>
                <w:sz w:val="18"/>
                <w:szCs w:val="20"/>
              </w:rPr>
              <w:t xml:space="preserve"> dokumentów zawierających informacje sektora publicznego – 1 888 007</w:t>
            </w:r>
          </w:p>
          <w:p w14:paraId="0F5B8CCE" w14:textId="77777777" w:rsidR="001236A3" w:rsidRPr="00AE072D" w:rsidRDefault="001236A3" w:rsidP="001236A3">
            <w:pPr>
              <w:pStyle w:val="Akapitzlist"/>
              <w:numPr>
                <w:ilvl w:val="0"/>
                <w:numId w:val="10"/>
              </w:numPr>
              <w:contextualSpacing w:val="0"/>
              <w:jc w:val="both"/>
              <w:rPr>
                <w:i/>
                <w:sz w:val="18"/>
                <w:szCs w:val="20"/>
              </w:rPr>
            </w:pPr>
            <w:r w:rsidRPr="00AE072D">
              <w:rPr>
                <w:i/>
                <w:sz w:val="18"/>
                <w:szCs w:val="20"/>
              </w:rPr>
              <w:t xml:space="preserve">Rozmiar </w:t>
            </w:r>
            <w:proofErr w:type="spellStart"/>
            <w:r w:rsidRPr="00AE072D">
              <w:rPr>
                <w:i/>
                <w:sz w:val="18"/>
                <w:szCs w:val="20"/>
              </w:rPr>
              <w:t>zdigitalizowanej</w:t>
            </w:r>
            <w:proofErr w:type="spellEnd"/>
            <w:r w:rsidRPr="00AE072D">
              <w:rPr>
                <w:i/>
                <w:sz w:val="18"/>
                <w:szCs w:val="20"/>
              </w:rPr>
              <w:t xml:space="preserve"> informacji sektora publicznego – 148,83 TB</w:t>
            </w:r>
          </w:p>
          <w:p w14:paraId="46357402" w14:textId="77777777" w:rsidR="001236A3" w:rsidRPr="00AE072D" w:rsidRDefault="001236A3" w:rsidP="001236A3">
            <w:pPr>
              <w:pStyle w:val="Akapitzlist"/>
              <w:numPr>
                <w:ilvl w:val="0"/>
                <w:numId w:val="10"/>
              </w:numPr>
              <w:contextualSpacing w:val="0"/>
              <w:jc w:val="both"/>
              <w:rPr>
                <w:i/>
                <w:sz w:val="18"/>
                <w:szCs w:val="20"/>
              </w:rPr>
            </w:pPr>
            <w:r w:rsidRPr="00AE072D">
              <w:rPr>
                <w:i/>
                <w:sz w:val="18"/>
                <w:szCs w:val="20"/>
              </w:rPr>
              <w:t>Rozmiar udostępnionych on-line informacji sektora publicznego – 148,83 TB</w:t>
            </w:r>
          </w:p>
          <w:p w14:paraId="0BB03AE9" w14:textId="77777777" w:rsidR="001236A3" w:rsidRPr="00AE072D" w:rsidRDefault="001236A3" w:rsidP="001236A3">
            <w:pPr>
              <w:pStyle w:val="Akapitzlist"/>
              <w:numPr>
                <w:ilvl w:val="0"/>
                <w:numId w:val="10"/>
              </w:numPr>
              <w:contextualSpacing w:val="0"/>
              <w:jc w:val="both"/>
              <w:rPr>
                <w:i/>
                <w:sz w:val="18"/>
                <w:szCs w:val="20"/>
              </w:rPr>
            </w:pPr>
            <w:r w:rsidRPr="00AE072D">
              <w:rPr>
                <w:i/>
                <w:sz w:val="18"/>
                <w:szCs w:val="20"/>
              </w:rPr>
              <w:t>Liczba wygenerowanych kluczy API – 1</w:t>
            </w:r>
          </w:p>
          <w:p w14:paraId="02D0A961" w14:textId="77777777" w:rsidR="001236A3" w:rsidRPr="00AE072D" w:rsidRDefault="001236A3" w:rsidP="001236A3">
            <w:pPr>
              <w:pStyle w:val="Akapitzlist"/>
              <w:numPr>
                <w:ilvl w:val="0"/>
                <w:numId w:val="10"/>
              </w:numPr>
              <w:contextualSpacing w:val="0"/>
              <w:jc w:val="both"/>
              <w:rPr>
                <w:i/>
                <w:sz w:val="18"/>
                <w:szCs w:val="20"/>
              </w:rPr>
            </w:pPr>
            <w:r w:rsidRPr="00AE072D">
              <w:rPr>
                <w:i/>
                <w:sz w:val="18"/>
                <w:szCs w:val="20"/>
              </w:rPr>
              <w:t xml:space="preserve">Liczba nowych linii do digitalizacji – 1 </w:t>
            </w:r>
          </w:p>
          <w:p w14:paraId="19FEB293" w14:textId="77777777" w:rsidR="00B868EA" w:rsidRPr="00AE072D" w:rsidRDefault="00B868EA" w:rsidP="001236A3">
            <w:pPr>
              <w:jc w:val="both"/>
              <w:rPr>
                <w:i/>
                <w:sz w:val="18"/>
                <w:szCs w:val="20"/>
              </w:rPr>
            </w:pPr>
          </w:p>
          <w:p w14:paraId="5B157E0E" w14:textId="77777777" w:rsidR="00A42596" w:rsidRPr="00AE072D" w:rsidRDefault="00A42596" w:rsidP="001236A3">
            <w:pPr>
              <w:jc w:val="both"/>
              <w:rPr>
                <w:i/>
                <w:sz w:val="18"/>
                <w:szCs w:val="20"/>
              </w:rPr>
            </w:pPr>
            <w:r w:rsidRPr="00AE072D">
              <w:rPr>
                <w:i/>
                <w:sz w:val="18"/>
                <w:szCs w:val="20"/>
              </w:rPr>
              <w:t>Realizacja projektu przyczyni</w:t>
            </w:r>
            <w:r w:rsidR="00B868EA" w:rsidRPr="00AE072D">
              <w:rPr>
                <w:i/>
                <w:sz w:val="18"/>
                <w:szCs w:val="20"/>
              </w:rPr>
              <w:t>ła</w:t>
            </w:r>
            <w:r w:rsidRPr="00AE072D">
              <w:rPr>
                <w:i/>
                <w:sz w:val="18"/>
                <w:szCs w:val="20"/>
              </w:rPr>
              <w:t xml:space="preserve"> się do realizacji celów określonych przez PO PC. Cele projektu są spójne z Celem szczegółowym 4: „Cyfrowa dostępność i użyteczność informacji sektora publicznego” w ramach Osi priorytetowej II: „E-administracja i otwarty rząd” w PO Polska Cyfrowa 2014-2020. Realizacja projektu przyczyni</w:t>
            </w:r>
            <w:r w:rsidR="00B868EA" w:rsidRPr="00AE072D">
              <w:rPr>
                <w:i/>
                <w:sz w:val="18"/>
                <w:szCs w:val="20"/>
              </w:rPr>
              <w:t>ła</w:t>
            </w:r>
            <w:r w:rsidRPr="00AE072D">
              <w:rPr>
                <w:i/>
                <w:sz w:val="18"/>
                <w:szCs w:val="20"/>
              </w:rPr>
              <w:t xml:space="preserve"> się do zniesienia bariery po stronie podaży treści audiowizualnych o szczególnym znaczeniu dla dziedzictwa kulturowego. Digitalizacja, częściowa rekonstrukcja i udostępnienie zbiorów </w:t>
            </w:r>
            <w:r w:rsidR="00B868EA" w:rsidRPr="00AE072D">
              <w:rPr>
                <w:i/>
                <w:sz w:val="18"/>
                <w:szCs w:val="20"/>
              </w:rPr>
              <w:t>wyeliminowało</w:t>
            </w:r>
            <w:r w:rsidRPr="00AE072D">
              <w:rPr>
                <w:i/>
                <w:sz w:val="18"/>
                <w:szCs w:val="20"/>
              </w:rPr>
              <w:t xml:space="preserve"> bariery przestrzeni i czasu w swobodnym dostępnie do </w:t>
            </w:r>
            <w:proofErr w:type="spellStart"/>
            <w:r w:rsidRPr="00AE072D">
              <w:rPr>
                <w:i/>
                <w:sz w:val="18"/>
                <w:szCs w:val="20"/>
              </w:rPr>
              <w:t>scyfryzowanych</w:t>
            </w:r>
            <w:proofErr w:type="spellEnd"/>
            <w:r w:rsidRPr="00AE072D">
              <w:rPr>
                <w:i/>
                <w:sz w:val="18"/>
                <w:szCs w:val="20"/>
              </w:rPr>
              <w:t xml:space="preserve"> materiałów, przy jednoczesnym podniesieniu ich jakości technicznej/audiowizualnej. Dodatkowo, ich jakość w wymiarze artystycznym, merytorycznym, kulturotwórczym czy historycznym powoduje, iż są to pozycje w znacznej części o znaczeniu ponadnarodowym, nie tylko dla polskiego, ale także europejskiego dziedzictwa kulturowego. Cele projektu komponują się zatem z założeniami Programu Operacyjnego Polska Cyfrowa 2014-2020 i posiadają bezpośredni wpływ na realizację oczekiwanych wskaźników rezultatu na poziomie Celu Szczegółowego 4 tego Programu, poprzez zwiększenie dostępności i użyteczności informacji udostępnianych w formie cyfrowej przez sektor publiczny. </w:t>
            </w:r>
          </w:p>
          <w:p w14:paraId="6291C8F5" w14:textId="77777777" w:rsidR="001236A3" w:rsidRPr="00AE072D" w:rsidRDefault="00B34AFD" w:rsidP="001236A3">
            <w:pPr>
              <w:jc w:val="both"/>
              <w:rPr>
                <w:i/>
                <w:sz w:val="18"/>
                <w:szCs w:val="20"/>
              </w:rPr>
            </w:pPr>
            <w:r w:rsidRPr="00AE072D">
              <w:rPr>
                <w:i/>
                <w:sz w:val="18"/>
                <w:szCs w:val="20"/>
              </w:rPr>
              <w:t>Na poziomie dokumentów europejskich, cele projektu wpisują się w strategię rozwojową „Europa 2020”, w ramach której jedną z 7 inicjatyw przewodnich jest Europejska Agenda Cyfrowa.</w:t>
            </w:r>
          </w:p>
          <w:p w14:paraId="0DD75219" w14:textId="77777777" w:rsidR="00B34AFD" w:rsidRPr="00AE072D" w:rsidRDefault="00B34AFD" w:rsidP="001236A3">
            <w:pPr>
              <w:jc w:val="both"/>
              <w:rPr>
                <w:i/>
                <w:sz w:val="18"/>
                <w:szCs w:val="20"/>
              </w:rPr>
            </w:pPr>
            <w:r w:rsidRPr="00AE072D">
              <w:rPr>
                <w:i/>
                <w:sz w:val="18"/>
                <w:szCs w:val="20"/>
              </w:rPr>
              <w:t>Na poziomie krajowym cele projektu wpisują się w Krajową Inteligentną Specjalizację nr 19 – Inteligentne Technologie Kreacyjne</w:t>
            </w:r>
          </w:p>
          <w:p w14:paraId="18753C8F" w14:textId="77777777" w:rsidR="00920CE8" w:rsidRPr="00AE072D" w:rsidRDefault="00B34AFD" w:rsidP="001236A3">
            <w:pPr>
              <w:jc w:val="both"/>
              <w:rPr>
                <w:i/>
                <w:sz w:val="18"/>
                <w:szCs w:val="20"/>
              </w:rPr>
            </w:pPr>
            <w:r w:rsidRPr="00AE072D">
              <w:rPr>
                <w:i/>
                <w:sz w:val="18"/>
                <w:szCs w:val="20"/>
              </w:rPr>
              <w:t>Główny wskaźnik rezultatu projektu to Liczba pobrań/</w:t>
            </w:r>
            <w:proofErr w:type="spellStart"/>
            <w:r w:rsidRPr="00AE072D">
              <w:rPr>
                <w:i/>
                <w:sz w:val="18"/>
                <w:szCs w:val="20"/>
              </w:rPr>
              <w:t>odtworzeń</w:t>
            </w:r>
            <w:proofErr w:type="spellEnd"/>
            <w:r w:rsidRPr="00AE072D">
              <w:rPr>
                <w:i/>
                <w:sz w:val="18"/>
                <w:szCs w:val="20"/>
              </w:rPr>
              <w:t xml:space="preserve"> dokumentów zawierających informacje sektora publicznego, który jest monitorowany na bazie raportów generowanych przez system informatyczny. Wskaźnik ten został znacząco przekroczony w stosunku do zakładanej wartości. Po zakończeniu projektu wskaźnik będzie cyklicznie monitorowany.</w:t>
            </w:r>
          </w:p>
        </w:tc>
      </w:tr>
      <w:tr w:rsidR="007A0A3D" w:rsidRPr="002450C4" w14:paraId="3AC52236" w14:textId="77777777" w:rsidTr="00920CE8">
        <w:tc>
          <w:tcPr>
            <w:tcW w:w="480" w:type="dxa"/>
          </w:tcPr>
          <w:p w14:paraId="1147AC28" w14:textId="77777777" w:rsidR="007A0A3D" w:rsidRPr="002450C4" w:rsidRDefault="007A0A3D" w:rsidP="007A0A3D">
            <w:pPr>
              <w:pStyle w:val="Akapitzlist"/>
              <w:numPr>
                <w:ilvl w:val="0"/>
                <w:numId w:val="1"/>
              </w:numPr>
              <w:rPr>
                <w:sz w:val="18"/>
                <w:szCs w:val="20"/>
              </w:rPr>
            </w:pPr>
          </w:p>
        </w:tc>
        <w:tc>
          <w:tcPr>
            <w:tcW w:w="2350" w:type="dxa"/>
          </w:tcPr>
          <w:p w14:paraId="05A42266" w14:textId="77777777" w:rsidR="007A0A3D" w:rsidRPr="00AE072D" w:rsidRDefault="005D4188" w:rsidP="00A6601B">
            <w:pPr>
              <w:rPr>
                <w:sz w:val="18"/>
                <w:szCs w:val="20"/>
              </w:rPr>
            </w:pPr>
            <w:r w:rsidRPr="00AE072D">
              <w:rPr>
                <w:sz w:val="18"/>
                <w:szCs w:val="20"/>
              </w:rPr>
              <w:t>Ryzyka i problemy</w:t>
            </w:r>
          </w:p>
        </w:tc>
        <w:tc>
          <w:tcPr>
            <w:tcW w:w="6232" w:type="dxa"/>
          </w:tcPr>
          <w:p w14:paraId="04C84873" w14:textId="77777777" w:rsidR="000E20E8" w:rsidRPr="00442769" w:rsidRDefault="000E20E8" w:rsidP="00BC120E">
            <w:pPr>
              <w:jc w:val="both"/>
              <w:rPr>
                <w:i/>
                <w:sz w:val="18"/>
                <w:szCs w:val="18"/>
              </w:rPr>
            </w:pPr>
            <w:r w:rsidRPr="00442769">
              <w:rPr>
                <w:i/>
                <w:sz w:val="18"/>
                <w:szCs w:val="18"/>
              </w:rPr>
              <w:t>Ryzyka zdefiniowane w opisie projektu nie wpłynęły na zaplanowane efekty i ostateczną datę zakończenia.</w:t>
            </w:r>
          </w:p>
          <w:p w14:paraId="75039FA0" w14:textId="77777777" w:rsidR="007A0A3D" w:rsidRPr="00442769" w:rsidRDefault="00404310" w:rsidP="00BC120E">
            <w:pPr>
              <w:jc w:val="both"/>
              <w:rPr>
                <w:i/>
                <w:sz w:val="18"/>
                <w:szCs w:val="18"/>
              </w:rPr>
            </w:pPr>
            <w:r w:rsidRPr="00442769">
              <w:rPr>
                <w:i/>
                <w:sz w:val="18"/>
                <w:szCs w:val="18"/>
              </w:rPr>
              <w:t xml:space="preserve">Na dzień zakończenia projektu wszystkie kamienie milowe zostały zrealizowane. Przyczyny przesunięcia realizacji </w:t>
            </w:r>
            <w:r w:rsidR="000E20E8" w:rsidRPr="00442769">
              <w:rPr>
                <w:i/>
                <w:sz w:val="18"/>
                <w:szCs w:val="18"/>
              </w:rPr>
              <w:t xml:space="preserve">poszczególnych kamieni milowych </w:t>
            </w:r>
            <w:r w:rsidRPr="00442769">
              <w:rPr>
                <w:i/>
                <w:sz w:val="18"/>
                <w:szCs w:val="18"/>
              </w:rPr>
              <w:t>w stosunku do terminów planowanych zostały opisane w punkcie 5.</w:t>
            </w:r>
          </w:p>
          <w:p w14:paraId="57A9F64E" w14:textId="253A63E0" w:rsidR="009546B1" w:rsidRPr="00442769" w:rsidRDefault="009546B1" w:rsidP="009546B1">
            <w:pPr>
              <w:contextualSpacing/>
              <w:jc w:val="both"/>
              <w:rPr>
                <w:i/>
                <w:sz w:val="18"/>
                <w:szCs w:val="18"/>
              </w:rPr>
            </w:pPr>
            <w:r w:rsidRPr="00442769">
              <w:rPr>
                <w:i/>
                <w:sz w:val="18"/>
                <w:szCs w:val="18"/>
              </w:rPr>
              <w:t xml:space="preserve">Do największych </w:t>
            </w:r>
            <w:r w:rsidR="00442769">
              <w:rPr>
                <w:i/>
                <w:sz w:val="18"/>
                <w:szCs w:val="18"/>
              </w:rPr>
              <w:t>problemów</w:t>
            </w:r>
            <w:r w:rsidRPr="00442769">
              <w:rPr>
                <w:i/>
                <w:sz w:val="18"/>
                <w:szCs w:val="18"/>
              </w:rPr>
              <w:t>, które wpływały na przebieg projektu i terminy realizacji należało realizowanie zamówień na dostawy sprzętu i oprogramowania w trybie PZP</w:t>
            </w:r>
            <w:r w:rsidR="00442769">
              <w:rPr>
                <w:i/>
                <w:sz w:val="18"/>
                <w:szCs w:val="18"/>
              </w:rPr>
              <w:t xml:space="preserve"> oraz uzyskiwanie zgód korporacyjnych</w:t>
            </w:r>
            <w:r w:rsidRPr="00442769">
              <w:rPr>
                <w:i/>
                <w:sz w:val="18"/>
                <w:szCs w:val="18"/>
              </w:rPr>
              <w:t xml:space="preserve">. Opóźnienie w realizacji kamienia milowego </w:t>
            </w:r>
            <w:r w:rsidR="00442769" w:rsidRPr="00442769">
              <w:rPr>
                <w:rFonts w:ascii="Trebuchet MS" w:hAnsi="Trebuchet MS"/>
                <w:b/>
                <w:bCs/>
                <w:i/>
                <w:sz w:val="18"/>
                <w:szCs w:val="18"/>
              </w:rPr>
              <w:t>Zawarcie umowy z dostawcą</w:t>
            </w:r>
            <w:r w:rsidRPr="00442769">
              <w:rPr>
                <w:i/>
                <w:sz w:val="18"/>
                <w:szCs w:val="18"/>
              </w:rPr>
              <w:t xml:space="preserve"> wynikało z przeciągającej się procedury przetargowej. Związane było to m.in. z koniecznością korekty dokumentacji </w:t>
            </w:r>
            <w:r w:rsidRPr="00442769">
              <w:rPr>
                <w:i/>
                <w:sz w:val="18"/>
                <w:szCs w:val="18"/>
              </w:rPr>
              <w:lastRenderedPageBreak/>
              <w:t xml:space="preserve">przetargowej ogłoszonego postępowania, w wyniku przeprowadzonej przez Centrum Projektów Polska Cyfrowa analizy ex </w:t>
            </w:r>
            <w:proofErr w:type="spellStart"/>
            <w:r w:rsidRPr="00442769">
              <w:rPr>
                <w:i/>
                <w:sz w:val="18"/>
                <w:szCs w:val="18"/>
              </w:rPr>
              <w:t>ante</w:t>
            </w:r>
            <w:proofErr w:type="spellEnd"/>
            <w:r w:rsidRPr="00442769">
              <w:rPr>
                <w:i/>
                <w:sz w:val="18"/>
                <w:szCs w:val="18"/>
              </w:rPr>
              <w:t xml:space="preserve"> (kontrola nr POPC.02.03.02-00-0008/16-001 – pismo znak CPPC-WZP.651.5.1.1.2017/KK z dnia 09.01.2017 r. – wynik kontroli: z nieistotnymi zastrzeżeniami). W związku z powyższym niezbędne było przesunięcie terminów rozstrzygnięcia postępowania, co przełożyło się również na pozostałe terminy kamieni milowych. Wpływ na opóźnienie spowodowany był również znaczną ilością zadawanych pytań po stronie dostawców, co wymagało po stronie TVP przygotowania odpowiedzi, kierując się minimalizacją ryzyka związanego z odwołaniem się oferentów do Krajowej Izby Odwoławczej. Z racji na błędy bądź niejasności w złożonych ofertach, TVP wezwała część oferentów do złożenia dodatkowych wyjaśnień bądź uzupełnień. Opóźnienie w realizacji tego kamienia milowego wpłynęło na opóźnienie w realizacji kamieni milow</w:t>
            </w:r>
            <w:r w:rsidR="00442769" w:rsidRPr="00442769">
              <w:rPr>
                <w:i/>
                <w:sz w:val="18"/>
                <w:szCs w:val="18"/>
              </w:rPr>
              <w:t xml:space="preserve">ych </w:t>
            </w:r>
            <w:r w:rsidR="00442769" w:rsidRPr="00442769">
              <w:rPr>
                <w:rFonts w:ascii="Trebuchet MS" w:hAnsi="Trebuchet MS"/>
                <w:b/>
                <w:bCs/>
                <w:i/>
                <w:sz w:val="18"/>
                <w:szCs w:val="18"/>
              </w:rPr>
              <w:t xml:space="preserve">Dostawy, uruchomienie i instalacja </w:t>
            </w:r>
            <w:r w:rsidR="00442769" w:rsidRPr="00442769">
              <w:rPr>
                <w:i/>
                <w:sz w:val="18"/>
                <w:szCs w:val="18"/>
              </w:rPr>
              <w:t>oraz</w:t>
            </w:r>
            <w:r w:rsidR="00442769" w:rsidRPr="00442769">
              <w:rPr>
                <w:rFonts w:ascii="Trebuchet MS" w:hAnsi="Trebuchet MS"/>
                <w:b/>
                <w:bCs/>
                <w:i/>
                <w:sz w:val="18"/>
                <w:szCs w:val="18"/>
              </w:rPr>
              <w:t xml:space="preserve"> Odbiory techniczne</w:t>
            </w:r>
            <w:r w:rsidR="00442769" w:rsidRPr="00442769">
              <w:rPr>
                <w:rFonts w:ascii="Trebuchet MS" w:hAnsi="Trebuchet MS"/>
                <w:sz w:val="18"/>
                <w:szCs w:val="18"/>
              </w:rPr>
              <w:t xml:space="preserve">. </w:t>
            </w:r>
          </w:p>
          <w:p w14:paraId="12900965" w14:textId="1E7F4D34" w:rsidR="009546B1" w:rsidRPr="00442769" w:rsidRDefault="009546B1" w:rsidP="00BC120E">
            <w:pPr>
              <w:jc w:val="both"/>
              <w:rPr>
                <w:i/>
                <w:sz w:val="18"/>
                <w:szCs w:val="18"/>
              </w:rPr>
            </w:pPr>
          </w:p>
        </w:tc>
      </w:tr>
      <w:tr w:rsidR="00813FEF" w:rsidRPr="002450C4" w14:paraId="0EF8254C" w14:textId="77777777" w:rsidTr="00813FEF">
        <w:tc>
          <w:tcPr>
            <w:tcW w:w="480" w:type="dxa"/>
          </w:tcPr>
          <w:p w14:paraId="37BE4623" w14:textId="77777777" w:rsidR="00813FEF" w:rsidRPr="002450C4" w:rsidRDefault="00813FEF" w:rsidP="0058262E">
            <w:pPr>
              <w:pStyle w:val="Akapitzlist"/>
              <w:numPr>
                <w:ilvl w:val="0"/>
                <w:numId w:val="1"/>
              </w:numPr>
              <w:rPr>
                <w:sz w:val="18"/>
                <w:szCs w:val="20"/>
              </w:rPr>
            </w:pPr>
          </w:p>
        </w:tc>
        <w:tc>
          <w:tcPr>
            <w:tcW w:w="2350" w:type="dxa"/>
          </w:tcPr>
          <w:p w14:paraId="1995825C" w14:textId="77777777" w:rsidR="00813FEF" w:rsidRPr="00AE072D" w:rsidRDefault="009D3D41" w:rsidP="009D3D41">
            <w:pPr>
              <w:rPr>
                <w:sz w:val="18"/>
                <w:szCs w:val="20"/>
              </w:rPr>
            </w:pPr>
            <w:r w:rsidRPr="00AE072D">
              <w:rPr>
                <w:sz w:val="18"/>
                <w:szCs w:val="20"/>
              </w:rPr>
              <w:t>U</w:t>
            </w:r>
            <w:r w:rsidR="00813FEF" w:rsidRPr="00AE072D">
              <w:rPr>
                <w:sz w:val="18"/>
                <w:szCs w:val="20"/>
              </w:rPr>
              <w:t xml:space="preserve">zyskane korzyści </w:t>
            </w:r>
          </w:p>
        </w:tc>
        <w:tc>
          <w:tcPr>
            <w:tcW w:w="6232" w:type="dxa"/>
          </w:tcPr>
          <w:p w14:paraId="17B6CE81" w14:textId="77777777" w:rsidR="00090527" w:rsidRPr="00AE072D" w:rsidRDefault="0044074F" w:rsidP="009D3D41">
            <w:pPr>
              <w:jc w:val="both"/>
              <w:rPr>
                <w:bCs/>
                <w:i/>
                <w:sz w:val="18"/>
                <w:szCs w:val="20"/>
              </w:rPr>
            </w:pPr>
            <w:r w:rsidRPr="00AE072D">
              <w:rPr>
                <w:bCs/>
                <w:i/>
                <w:sz w:val="18"/>
                <w:szCs w:val="20"/>
              </w:rPr>
              <w:t xml:space="preserve">Odbiorcami efektów projektu są odbiorcy indywidualni oraz instytucjonalni. W przypadku odbiorców instytucjonalnych zostały </w:t>
            </w:r>
            <w:r w:rsidR="00442910" w:rsidRPr="00AE072D">
              <w:rPr>
                <w:bCs/>
                <w:i/>
                <w:sz w:val="18"/>
                <w:szCs w:val="20"/>
              </w:rPr>
              <w:t>zaspokojone</w:t>
            </w:r>
            <w:r w:rsidRPr="00AE072D">
              <w:rPr>
                <w:bCs/>
                <w:i/>
                <w:sz w:val="18"/>
                <w:szCs w:val="20"/>
              </w:rPr>
              <w:t xml:space="preserve"> następujące potrzeby:</w:t>
            </w:r>
          </w:p>
          <w:p w14:paraId="5B1CDE7D" w14:textId="77777777" w:rsidR="0044074F" w:rsidRPr="00AE072D" w:rsidRDefault="0044074F" w:rsidP="00442910">
            <w:pPr>
              <w:jc w:val="both"/>
              <w:rPr>
                <w:bCs/>
                <w:i/>
                <w:sz w:val="18"/>
                <w:szCs w:val="20"/>
              </w:rPr>
            </w:pPr>
            <w:r w:rsidRPr="00AE072D">
              <w:rPr>
                <w:bCs/>
                <w:i/>
                <w:sz w:val="18"/>
                <w:szCs w:val="20"/>
              </w:rPr>
              <w:t>1.Realizacja zadań wynikających z obowiązujących przepisów prawnych.</w:t>
            </w:r>
            <w:r w:rsidRPr="00AE072D">
              <w:rPr>
                <w:bCs/>
                <w:i/>
                <w:sz w:val="18"/>
                <w:szCs w:val="20"/>
              </w:rPr>
              <w:br/>
              <w:t>2. Realizacja zadań będących odpowiedzią na zapotrzebowanie społeczne.</w:t>
            </w:r>
          </w:p>
          <w:p w14:paraId="7D904104" w14:textId="77777777" w:rsidR="0044074F" w:rsidRPr="00AE072D" w:rsidRDefault="0044074F" w:rsidP="00442910">
            <w:pPr>
              <w:jc w:val="both"/>
              <w:rPr>
                <w:bCs/>
                <w:i/>
                <w:sz w:val="18"/>
                <w:szCs w:val="20"/>
              </w:rPr>
            </w:pPr>
            <w:r w:rsidRPr="00AE072D">
              <w:rPr>
                <w:bCs/>
                <w:i/>
                <w:sz w:val="18"/>
                <w:szCs w:val="20"/>
              </w:rPr>
              <w:t>3. Realizacja działalności edukacyjnej.</w:t>
            </w:r>
          </w:p>
          <w:p w14:paraId="221B2DF7" w14:textId="77777777" w:rsidR="0044074F" w:rsidRPr="00AE072D" w:rsidRDefault="0044074F" w:rsidP="00442910">
            <w:pPr>
              <w:jc w:val="both"/>
              <w:rPr>
                <w:bCs/>
                <w:i/>
                <w:sz w:val="18"/>
                <w:szCs w:val="20"/>
              </w:rPr>
            </w:pPr>
            <w:r w:rsidRPr="00AE072D">
              <w:rPr>
                <w:bCs/>
                <w:i/>
                <w:sz w:val="18"/>
                <w:szCs w:val="20"/>
              </w:rPr>
              <w:t>4. Promocja i upowszechnianie polskiej kultury</w:t>
            </w:r>
          </w:p>
          <w:p w14:paraId="07BF2BC9" w14:textId="77777777" w:rsidR="0044074F" w:rsidRPr="00AE072D" w:rsidRDefault="0044074F" w:rsidP="00442910">
            <w:pPr>
              <w:jc w:val="both"/>
              <w:rPr>
                <w:bCs/>
                <w:i/>
                <w:sz w:val="18"/>
                <w:szCs w:val="20"/>
              </w:rPr>
            </w:pPr>
            <w:r w:rsidRPr="00AE072D">
              <w:rPr>
                <w:bCs/>
                <w:i/>
                <w:sz w:val="18"/>
                <w:szCs w:val="20"/>
              </w:rPr>
              <w:t>5. Ochrona dorobku kultury i dziedzictwa narodowego.</w:t>
            </w:r>
          </w:p>
          <w:p w14:paraId="4BFF6355" w14:textId="77777777" w:rsidR="0044074F" w:rsidRPr="00AE072D" w:rsidRDefault="0044074F" w:rsidP="00442910">
            <w:pPr>
              <w:jc w:val="both"/>
              <w:rPr>
                <w:bCs/>
                <w:i/>
                <w:sz w:val="18"/>
                <w:szCs w:val="20"/>
              </w:rPr>
            </w:pPr>
            <w:r w:rsidRPr="00AE072D">
              <w:rPr>
                <w:bCs/>
                <w:i/>
                <w:sz w:val="18"/>
                <w:szCs w:val="20"/>
              </w:rPr>
              <w:t>6.Poszerzenie wiedzy o zasobach.</w:t>
            </w:r>
          </w:p>
          <w:p w14:paraId="1F929F41" w14:textId="77777777" w:rsidR="0044074F" w:rsidRPr="00AE072D" w:rsidRDefault="0044074F" w:rsidP="00442910">
            <w:pPr>
              <w:jc w:val="both"/>
              <w:rPr>
                <w:bCs/>
                <w:i/>
                <w:sz w:val="18"/>
                <w:szCs w:val="20"/>
              </w:rPr>
            </w:pPr>
            <w:r w:rsidRPr="00AE072D">
              <w:rPr>
                <w:bCs/>
                <w:i/>
                <w:sz w:val="18"/>
                <w:szCs w:val="20"/>
              </w:rPr>
              <w:t>7.Umożliwienie ponownego wykorzystania zasobów.</w:t>
            </w:r>
          </w:p>
          <w:p w14:paraId="56F43F41" w14:textId="77777777" w:rsidR="0044074F" w:rsidRPr="00AE072D" w:rsidRDefault="0044074F" w:rsidP="00442910">
            <w:pPr>
              <w:jc w:val="both"/>
              <w:rPr>
                <w:bCs/>
                <w:i/>
                <w:sz w:val="18"/>
                <w:szCs w:val="20"/>
              </w:rPr>
            </w:pPr>
            <w:r w:rsidRPr="00AE072D">
              <w:rPr>
                <w:bCs/>
                <w:i/>
                <w:sz w:val="18"/>
                <w:szCs w:val="20"/>
              </w:rPr>
              <w:t>8.Ułatwienie dostępu do zasobów kultury.</w:t>
            </w:r>
          </w:p>
          <w:p w14:paraId="732B74C1" w14:textId="77777777" w:rsidR="0044074F" w:rsidRPr="00AE072D" w:rsidRDefault="0044074F" w:rsidP="00442910">
            <w:pPr>
              <w:jc w:val="both"/>
              <w:rPr>
                <w:bCs/>
                <w:i/>
                <w:sz w:val="18"/>
                <w:szCs w:val="20"/>
              </w:rPr>
            </w:pPr>
            <w:r w:rsidRPr="00AE072D">
              <w:rPr>
                <w:bCs/>
                <w:i/>
                <w:sz w:val="18"/>
                <w:szCs w:val="20"/>
              </w:rPr>
              <w:t xml:space="preserve">9.Udostępnianie posiadanego </w:t>
            </w:r>
            <w:proofErr w:type="spellStart"/>
            <w:r w:rsidRPr="00AE072D">
              <w:rPr>
                <w:bCs/>
                <w:i/>
                <w:sz w:val="18"/>
                <w:szCs w:val="20"/>
              </w:rPr>
              <w:t>kontentu</w:t>
            </w:r>
            <w:proofErr w:type="spellEnd"/>
          </w:p>
          <w:p w14:paraId="652B0FA4" w14:textId="77777777" w:rsidR="00442910" w:rsidRPr="00AE072D" w:rsidRDefault="00442910" w:rsidP="00442910">
            <w:pPr>
              <w:jc w:val="both"/>
              <w:rPr>
                <w:bCs/>
                <w:i/>
                <w:sz w:val="18"/>
                <w:szCs w:val="20"/>
              </w:rPr>
            </w:pPr>
            <w:r w:rsidRPr="00AE072D">
              <w:rPr>
                <w:bCs/>
                <w:i/>
                <w:sz w:val="18"/>
                <w:szCs w:val="20"/>
              </w:rPr>
              <w:t>10. Realizacja zadań publicznych.</w:t>
            </w:r>
          </w:p>
          <w:p w14:paraId="4003E669" w14:textId="77777777" w:rsidR="0044074F" w:rsidRPr="00AE072D" w:rsidRDefault="00442910" w:rsidP="00442910">
            <w:pPr>
              <w:jc w:val="both"/>
              <w:rPr>
                <w:bCs/>
                <w:i/>
                <w:sz w:val="18"/>
                <w:szCs w:val="20"/>
              </w:rPr>
            </w:pPr>
            <w:r w:rsidRPr="00AE072D">
              <w:rPr>
                <w:bCs/>
                <w:i/>
                <w:sz w:val="18"/>
                <w:szCs w:val="20"/>
              </w:rPr>
              <w:t>11.Zabezpieczenie zasobów przed zniszczeniem.</w:t>
            </w:r>
          </w:p>
          <w:p w14:paraId="70AB3032" w14:textId="77777777" w:rsidR="00B34AFD" w:rsidRPr="00AE072D" w:rsidRDefault="00B34AFD" w:rsidP="009D3D41">
            <w:pPr>
              <w:jc w:val="both"/>
              <w:rPr>
                <w:bCs/>
                <w:i/>
                <w:sz w:val="18"/>
                <w:szCs w:val="20"/>
              </w:rPr>
            </w:pPr>
          </w:p>
          <w:p w14:paraId="7264D723" w14:textId="77777777" w:rsidR="00442910" w:rsidRPr="00AE072D" w:rsidRDefault="00442910" w:rsidP="009D3D41">
            <w:pPr>
              <w:jc w:val="both"/>
              <w:rPr>
                <w:bCs/>
                <w:i/>
                <w:sz w:val="18"/>
                <w:szCs w:val="20"/>
              </w:rPr>
            </w:pPr>
            <w:r w:rsidRPr="00AE072D">
              <w:rPr>
                <w:bCs/>
                <w:i/>
                <w:sz w:val="18"/>
                <w:szCs w:val="20"/>
              </w:rPr>
              <w:t>W przypadku odbiorców indywidualnych zostały zaspokojone następujące potrzeby:</w:t>
            </w:r>
          </w:p>
          <w:p w14:paraId="219E45FD" w14:textId="77777777" w:rsidR="00442910" w:rsidRPr="00AE072D" w:rsidRDefault="00442910" w:rsidP="00442910">
            <w:pPr>
              <w:jc w:val="both"/>
              <w:rPr>
                <w:bCs/>
                <w:i/>
                <w:sz w:val="18"/>
                <w:szCs w:val="20"/>
              </w:rPr>
            </w:pPr>
            <w:r w:rsidRPr="00AE072D">
              <w:rPr>
                <w:bCs/>
                <w:i/>
                <w:sz w:val="18"/>
                <w:szCs w:val="20"/>
              </w:rPr>
              <w:t>1. Uzyskanie dostępu do dzieła.</w:t>
            </w:r>
          </w:p>
          <w:p w14:paraId="4FEFC085" w14:textId="77777777" w:rsidR="00442910" w:rsidRPr="00AE072D" w:rsidRDefault="00442910" w:rsidP="00442910">
            <w:pPr>
              <w:jc w:val="both"/>
              <w:rPr>
                <w:bCs/>
                <w:i/>
                <w:sz w:val="18"/>
                <w:szCs w:val="20"/>
              </w:rPr>
            </w:pPr>
            <w:r w:rsidRPr="00AE072D">
              <w:rPr>
                <w:bCs/>
                <w:i/>
                <w:sz w:val="18"/>
                <w:szCs w:val="20"/>
              </w:rPr>
              <w:t>2. Potrzeba edukacji</w:t>
            </w:r>
          </w:p>
          <w:p w14:paraId="3BB97E57" w14:textId="77777777" w:rsidR="00442910" w:rsidRPr="00AE072D" w:rsidRDefault="00442910" w:rsidP="00442910">
            <w:pPr>
              <w:jc w:val="both"/>
              <w:rPr>
                <w:bCs/>
                <w:i/>
                <w:sz w:val="18"/>
                <w:szCs w:val="20"/>
              </w:rPr>
            </w:pPr>
            <w:r w:rsidRPr="00AE072D">
              <w:rPr>
                <w:bCs/>
                <w:i/>
                <w:sz w:val="18"/>
                <w:szCs w:val="20"/>
              </w:rPr>
              <w:t>3. Potrzeba ochrony dzieła (w odniesieniu do twórców).</w:t>
            </w:r>
          </w:p>
          <w:p w14:paraId="5630A925" w14:textId="77777777" w:rsidR="00442910" w:rsidRPr="00AE072D" w:rsidRDefault="00442910" w:rsidP="00442910">
            <w:pPr>
              <w:jc w:val="both"/>
              <w:rPr>
                <w:bCs/>
                <w:i/>
                <w:sz w:val="18"/>
                <w:szCs w:val="20"/>
              </w:rPr>
            </w:pPr>
            <w:r w:rsidRPr="00AE072D">
              <w:rPr>
                <w:bCs/>
                <w:i/>
                <w:sz w:val="18"/>
                <w:szCs w:val="20"/>
              </w:rPr>
              <w:t>4. Dostęp do dzieł kultury w dobrej jakości technicznej.</w:t>
            </w:r>
          </w:p>
          <w:p w14:paraId="23D5CC9B" w14:textId="77777777" w:rsidR="00442910" w:rsidRPr="00AE072D" w:rsidRDefault="00442910" w:rsidP="00442910">
            <w:pPr>
              <w:jc w:val="both"/>
              <w:rPr>
                <w:bCs/>
                <w:i/>
                <w:sz w:val="18"/>
                <w:szCs w:val="20"/>
              </w:rPr>
            </w:pPr>
            <w:r w:rsidRPr="00AE072D">
              <w:rPr>
                <w:bCs/>
                <w:i/>
                <w:sz w:val="18"/>
                <w:szCs w:val="20"/>
              </w:rPr>
              <w:t>5. Dostęp do dzieł kultury w miejscu i czasie wybranym przez odbiorcę.</w:t>
            </w:r>
          </w:p>
          <w:p w14:paraId="5C1719D1" w14:textId="77777777" w:rsidR="00A86EC3" w:rsidRPr="00AE072D" w:rsidRDefault="00A86EC3" w:rsidP="009D3D41">
            <w:pPr>
              <w:jc w:val="both"/>
              <w:rPr>
                <w:bCs/>
                <w:i/>
                <w:sz w:val="18"/>
                <w:szCs w:val="20"/>
              </w:rPr>
            </w:pPr>
          </w:p>
          <w:p w14:paraId="7D465A03" w14:textId="5AC67C5B" w:rsidR="00813FEF" w:rsidRPr="00AE072D" w:rsidRDefault="00A86EC3" w:rsidP="00A86EC3">
            <w:pPr>
              <w:jc w:val="both"/>
              <w:rPr>
                <w:i/>
                <w:sz w:val="18"/>
                <w:szCs w:val="20"/>
              </w:rPr>
            </w:pPr>
            <w:r w:rsidRPr="00AE072D">
              <w:rPr>
                <w:bCs/>
                <w:i/>
                <w:sz w:val="18"/>
                <w:szCs w:val="20"/>
              </w:rPr>
              <w:t>Podstawowymi miernikami wykorzystania efektów projektu będzie liczba pobrań/odtworzeni dokumentów (jest na bieżąco monitorowana) oraz liczba wygenerowanych kluczy API na podstawie liczby umów na udostępnianie treści przez API zawartych z innymi podmiotami.</w:t>
            </w:r>
            <w:r w:rsidR="00442769">
              <w:rPr>
                <w:bCs/>
                <w:i/>
                <w:sz w:val="18"/>
                <w:szCs w:val="20"/>
              </w:rPr>
              <w:t xml:space="preserve"> Informacje te będą aktualizowane kwartalnie i będą dostępne na każdorazowe żądanie.</w:t>
            </w:r>
          </w:p>
        </w:tc>
      </w:tr>
      <w:tr w:rsidR="00F82254" w:rsidRPr="002450C4" w14:paraId="0A183E22" w14:textId="77777777" w:rsidTr="00813FEF">
        <w:tc>
          <w:tcPr>
            <w:tcW w:w="480" w:type="dxa"/>
          </w:tcPr>
          <w:p w14:paraId="60BB7FFE" w14:textId="77777777" w:rsidR="00F82254" w:rsidRPr="002450C4" w:rsidRDefault="00F82254" w:rsidP="0058262E">
            <w:pPr>
              <w:pStyle w:val="Akapitzlist"/>
              <w:numPr>
                <w:ilvl w:val="0"/>
                <w:numId w:val="1"/>
              </w:numPr>
              <w:rPr>
                <w:sz w:val="18"/>
                <w:szCs w:val="20"/>
              </w:rPr>
            </w:pPr>
          </w:p>
        </w:tc>
        <w:tc>
          <w:tcPr>
            <w:tcW w:w="2350" w:type="dxa"/>
          </w:tcPr>
          <w:p w14:paraId="142A13A2" w14:textId="77777777" w:rsidR="00F82254" w:rsidRPr="00AE072D" w:rsidRDefault="00F82254" w:rsidP="00F82254">
            <w:pPr>
              <w:rPr>
                <w:sz w:val="18"/>
                <w:szCs w:val="20"/>
              </w:rPr>
            </w:pPr>
            <w:r w:rsidRPr="00AE072D">
              <w:rPr>
                <w:sz w:val="18"/>
                <w:szCs w:val="20"/>
              </w:rPr>
              <w:t>E-usługi i rejestry z jakimi zintegrował się wytworzony system w ramach realizacji projektu</w:t>
            </w:r>
          </w:p>
        </w:tc>
        <w:tc>
          <w:tcPr>
            <w:tcW w:w="6232" w:type="dxa"/>
          </w:tcPr>
          <w:p w14:paraId="2D3FF7F5" w14:textId="77777777" w:rsidR="00F82254" w:rsidRPr="00AE072D" w:rsidRDefault="0090696F" w:rsidP="00DB70A5">
            <w:pPr>
              <w:jc w:val="both"/>
              <w:rPr>
                <w:bCs/>
                <w:i/>
                <w:sz w:val="18"/>
                <w:szCs w:val="20"/>
              </w:rPr>
            </w:pPr>
            <w:r w:rsidRPr="00AE072D">
              <w:rPr>
                <w:i/>
                <w:sz w:val="18"/>
                <w:szCs w:val="18"/>
              </w:rPr>
              <w:t>W ramach projektu nie były uruchamiane e-usługi</w:t>
            </w:r>
            <w:r w:rsidR="008829F8" w:rsidRPr="00AE072D">
              <w:rPr>
                <w:i/>
                <w:sz w:val="18"/>
                <w:szCs w:val="18"/>
              </w:rPr>
              <w:t xml:space="preserve">. Dostępne są </w:t>
            </w:r>
            <w:proofErr w:type="spellStart"/>
            <w:r w:rsidR="008829F8" w:rsidRPr="00AE072D">
              <w:rPr>
                <w:i/>
                <w:sz w:val="18"/>
                <w:szCs w:val="18"/>
              </w:rPr>
              <w:t>scyfryzowane</w:t>
            </w:r>
            <w:proofErr w:type="spellEnd"/>
            <w:r w:rsidR="008829F8" w:rsidRPr="00AE072D">
              <w:rPr>
                <w:i/>
                <w:sz w:val="18"/>
                <w:szCs w:val="18"/>
              </w:rPr>
              <w:t xml:space="preserve"> utwory, które można odtwarzać poprzez udostępniony portal. W ramach projektu został również utworzony API.</w:t>
            </w:r>
          </w:p>
        </w:tc>
      </w:tr>
      <w:tr w:rsidR="007C54F9" w:rsidRPr="002450C4" w14:paraId="0EB42D85" w14:textId="77777777" w:rsidTr="00813FEF">
        <w:tc>
          <w:tcPr>
            <w:tcW w:w="480" w:type="dxa"/>
          </w:tcPr>
          <w:p w14:paraId="5F1466CE" w14:textId="77777777" w:rsidR="007C54F9" w:rsidRPr="002450C4" w:rsidRDefault="007C54F9" w:rsidP="0058262E">
            <w:pPr>
              <w:pStyle w:val="Akapitzlist"/>
              <w:numPr>
                <w:ilvl w:val="0"/>
                <w:numId w:val="1"/>
              </w:numPr>
              <w:rPr>
                <w:sz w:val="18"/>
                <w:szCs w:val="20"/>
              </w:rPr>
            </w:pPr>
          </w:p>
        </w:tc>
        <w:tc>
          <w:tcPr>
            <w:tcW w:w="2350" w:type="dxa"/>
          </w:tcPr>
          <w:p w14:paraId="2CB8DF7A" w14:textId="77777777" w:rsidR="007C54F9" w:rsidRPr="00AE072D" w:rsidRDefault="003B7BD6" w:rsidP="007C54F9">
            <w:pPr>
              <w:rPr>
                <w:sz w:val="18"/>
                <w:szCs w:val="20"/>
              </w:rPr>
            </w:pPr>
            <w:r w:rsidRPr="00AE072D">
              <w:rPr>
                <w:sz w:val="18"/>
                <w:szCs w:val="20"/>
              </w:rPr>
              <w:t>Zapewnienie utrzymania projektu (w okresie trwałości)</w:t>
            </w:r>
          </w:p>
        </w:tc>
        <w:tc>
          <w:tcPr>
            <w:tcW w:w="6232" w:type="dxa"/>
          </w:tcPr>
          <w:p w14:paraId="4B6221B6" w14:textId="77777777" w:rsidR="007C54F9" w:rsidRPr="00AE072D" w:rsidRDefault="00A86EC3" w:rsidP="007C54F9">
            <w:pPr>
              <w:jc w:val="both"/>
              <w:rPr>
                <w:i/>
                <w:sz w:val="18"/>
                <w:szCs w:val="18"/>
              </w:rPr>
            </w:pPr>
            <w:r w:rsidRPr="00AE072D">
              <w:rPr>
                <w:i/>
                <w:sz w:val="18"/>
                <w:szCs w:val="18"/>
              </w:rPr>
              <w:t>Deficyt nadwyżki kosztów operacyjnych nad przychodami będzie pokryty z bieżącego budżetu</w:t>
            </w:r>
            <w:r w:rsidR="000E20E8">
              <w:rPr>
                <w:i/>
                <w:sz w:val="18"/>
                <w:szCs w:val="18"/>
              </w:rPr>
              <w:t xml:space="preserve"> TVP SA</w:t>
            </w:r>
            <w:r w:rsidRPr="00AE072D">
              <w:rPr>
                <w:i/>
                <w:sz w:val="18"/>
                <w:szCs w:val="18"/>
              </w:rPr>
              <w:t xml:space="preserve">. Ma to odzwierciedlenie w analizie, która uwzględnia wkład własny </w:t>
            </w:r>
            <w:r w:rsidR="000E20E8">
              <w:rPr>
                <w:i/>
                <w:sz w:val="18"/>
                <w:szCs w:val="18"/>
              </w:rPr>
              <w:t>S</w:t>
            </w:r>
            <w:r w:rsidRPr="00AE072D">
              <w:rPr>
                <w:i/>
                <w:sz w:val="18"/>
                <w:szCs w:val="18"/>
              </w:rPr>
              <w:t>półki w całym okresie analizy co w zarówno w całkowitych przepływach finansowych jak i całkowitych skumulowanych przepływach finansowych zapewnia trwałość przedsięwzięcia.</w:t>
            </w:r>
          </w:p>
        </w:tc>
      </w:tr>
      <w:tr w:rsidR="009D3D41" w:rsidRPr="002450C4" w14:paraId="63007257" w14:textId="77777777" w:rsidTr="00813FEF">
        <w:tc>
          <w:tcPr>
            <w:tcW w:w="480" w:type="dxa"/>
          </w:tcPr>
          <w:p w14:paraId="3142F819" w14:textId="77777777" w:rsidR="009D3D41" w:rsidRPr="002450C4" w:rsidRDefault="009D3D41" w:rsidP="0058262E">
            <w:pPr>
              <w:pStyle w:val="Akapitzlist"/>
              <w:numPr>
                <w:ilvl w:val="0"/>
                <w:numId w:val="1"/>
              </w:numPr>
              <w:rPr>
                <w:sz w:val="18"/>
                <w:szCs w:val="20"/>
              </w:rPr>
            </w:pPr>
          </w:p>
        </w:tc>
        <w:tc>
          <w:tcPr>
            <w:tcW w:w="2350" w:type="dxa"/>
          </w:tcPr>
          <w:p w14:paraId="71349412" w14:textId="77777777" w:rsidR="009D3D41" w:rsidRPr="00AE072D" w:rsidRDefault="009D3D41" w:rsidP="007E6098">
            <w:pPr>
              <w:rPr>
                <w:sz w:val="18"/>
                <w:szCs w:val="20"/>
              </w:rPr>
            </w:pPr>
            <w:r w:rsidRPr="00AE072D">
              <w:rPr>
                <w:sz w:val="18"/>
                <w:szCs w:val="20"/>
              </w:rPr>
              <w:t>Doświadczenia związane z realizacją projektu</w:t>
            </w:r>
          </w:p>
        </w:tc>
        <w:tc>
          <w:tcPr>
            <w:tcW w:w="6232" w:type="dxa"/>
          </w:tcPr>
          <w:p w14:paraId="09217133" w14:textId="77777777" w:rsidR="009D3D41" w:rsidRPr="00AE072D" w:rsidRDefault="008829F8" w:rsidP="009D3D41">
            <w:pPr>
              <w:jc w:val="both"/>
              <w:rPr>
                <w:bCs/>
                <w:i/>
                <w:sz w:val="18"/>
                <w:szCs w:val="20"/>
              </w:rPr>
            </w:pPr>
            <w:r w:rsidRPr="00AE072D">
              <w:rPr>
                <w:bCs/>
                <w:i/>
                <w:sz w:val="18"/>
                <w:szCs w:val="20"/>
              </w:rPr>
              <w:t>W ramach projektu został zbudowany</w:t>
            </w:r>
            <w:r w:rsidR="00AE072D" w:rsidRPr="00AE072D">
              <w:rPr>
                <w:bCs/>
                <w:i/>
                <w:sz w:val="18"/>
                <w:szCs w:val="20"/>
              </w:rPr>
              <w:t xml:space="preserve"> unikalny</w:t>
            </w:r>
            <w:r w:rsidRPr="00AE072D">
              <w:rPr>
                <w:bCs/>
                <w:i/>
                <w:sz w:val="18"/>
                <w:szCs w:val="20"/>
              </w:rPr>
              <w:t xml:space="preserve"> zespół posiadający profesjonalne narzędzia oraz unikalną wiedzę </w:t>
            </w:r>
            <w:r w:rsidR="00AE072D" w:rsidRPr="00AE072D">
              <w:rPr>
                <w:bCs/>
                <w:i/>
                <w:sz w:val="18"/>
                <w:szCs w:val="20"/>
              </w:rPr>
              <w:t>i</w:t>
            </w:r>
            <w:r w:rsidRPr="00AE072D">
              <w:rPr>
                <w:bCs/>
                <w:i/>
                <w:sz w:val="18"/>
                <w:szCs w:val="20"/>
              </w:rPr>
              <w:t xml:space="preserve"> umiejętności związane z procesem cyfryzacji i rekonstrukcji materiałów z taśm filmowych. </w:t>
            </w:r>
            <w:r w:rsidR="00891489">
              <w:rPr>
                <w:bCs/>
                <w:i/>
                <w:sz w:val="18"/>
                <w:szCs w:val="20"/>
              </w:rPr>
              <w:t xml:space="preserve">Beneficjent wystąpił o środki na kolejne projekty, by wykorzystać potencjał tego zespołu na rzecz cyfryzacji i udostępniania dóbr kultury. </w:t>
            </w:r>
          </w:p>
        </w:tc>
      </w:tr>
    </w:tbl>
    <w:p w14:paraId="232F5204" w14:textId="77777777" w:rsidR="007A0A3D" w:rsidRDefault="007A0A3D" w:rsidP="007A0A3D"/>
    <w:sectPr w:rsidR="007A0A3D" w:rsidSect="001D158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FEDB66" w14:textId="77777777" w:rsidR="00E64160" w:rsidRDefault="00E64160" w:rsidP="00E264D6">
      <w:pPr>
        <w:spacing w:after="0" w:line="240" w:lineRule="auto"/>
      </w:pPr>
      <w:r>
        <w:separator/>
      </w:r>
    </w:p>
  </w:endnote>
  <w:endnote w:type="continuationSeparator" w:id="0">
    <w:p w14:paraId="34D8ADF1" w14:textId="77777777" w:rsidR="00E64160" w:rsidRDefault="00E64160" w:rsidP="00E264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2C24AA" w14:textId="77777777" w:rsidR="00E64160" w:rsidRDefault="00E64160" w:rsidP="00E264D6">
      <w:pPr>
        <w:spacing w:after="0" w:line="240" w:lineRule="auto"/>
      </w:pPr>
      <w:r>
        <w:separator/>
      </w:r>
    </w:p>
  </w:footnote>
  <w:footnote w:type="continuationSeparator" w:id="0">
    <w:p w14:paraId="67D4F34E" w14:textId="77777777" w:rsidR="00E64160" w:rsidRDefault="00E64160" w:rsidP="00E264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405095"/>
    <w:multiLevelType w:val="hybridMultilevel"/>
    <w:tmpl w:val="437678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A754A9E"/>
    <w:multiLevelType w:val="hybridMultilevel"/>
    <w:tmpl w:val="C12641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48D3787C"/>
    <w:multiLevelType w:val="hybridMultilevel"/>
    <w:tmpl w:val="194820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4FBB07AF"/>
    <w:multiLevelType w:val="hybridMultilevel"/>
    <w:tmpl w:val="E07470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512B1A2C"/>
    <w:multiLevelType w:val="hybridMultilevel"/>
    <w:tmpl w:val="7A0EF8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50565D7"/>
    <w:multiLevelType w:val="hybridMultilevel"/>
    <w:tmpl w:val="5464E3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5D392696"/>
    <w:multiLevelType w:val="hybridMultilevel"/>
    <w:tmpl w:val="0CDCC3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2FA3282"/>
    <w:multiLevelType w:val="hybridMultilevel"/>
    <w:tmpl w:val="B04840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7A6D06B5"/>
    <w:multiLevelType w:val="hybridMultilevel"/>
    <w:tmpl w:val="0CDCC3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6"/>
  </w:num>
  <w:num w:numId="5">
    <w:abstractNumId w:val="4"/>
  </w:num>
  <w:num w:numId="6">
    <w:abstractNumId w:val="8"/>
  </w:num>
  <w:num w:numId="7">
    <w:abstractNumId w:val="5"/>
  </w:num>
  <w:num w:numId="8">
    <w:abstractNumId w:val="9"/>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A3D"/>
    <w:rsid w:val="00080048"/>
    <w:rsid w:val="00090527"/>
    <w:rsid w:val="000D3CA9"/>
    <w:rsid w:val="000D4ED8"/>
    <w:rsid w:val="000E0C6F"/>
    <w:rsid w:val="000E20E8"/>
    <w:rsid w:val="00100BDE"/>
    <w:rsid w:val="001236A3"/>
    <w:rsid w:val="001455E8"/>
    <w:rsid w:val="00146465"/>
    <w:rsid w:val="001600BB"/>
    <w:rsid w:val="001609DF"/>
    <w:rsid w:val="001806EC"/>
    <w:rsid w:val="00192387"/>
    <w:rsid w:val="001C611C"/>
    <w:rsid w:val="001C6D7D"/>
    <w:rsid w:val="001D1587"/>
    <w:rsid w:val="0021582D"/>
    <w:rsid w:val="002450C4"/>
    <w:rsid w:val="002556F2"/>
    <w:rsid w:val="002763AF"/>
    <w:rsid w:val="002A153C"/>
    <w:rsid w:val="002A728C"/>
    <w:rsid w:val="0033720A"/>
    <w:rsid w:val="003B107D"/>
    <w:rsid w:val="003B7BD6"/>
    <w:rsid w:val="003D7919"/>
    <w:rsid w:val="00404310"/>
    <w:rsid w:val="004046DC"/>
    <w:rsid w:val="00436A8B"/>
    <w:rsid w:val="0044074F"/>
    <w:rsid w:val="00442769"/>
    <w:rsid w:val="00442910"/>
    <w:rsid w:val="0046007A"/>
    <w:rsid w:val="0048018B"/>
    <w:rsid w:val="004B19FE"/>
    <w:rsid w:val="004D135D"/>
    <w:rsid w:val="0053024F"/>
    <w:rsid w:val="00557658"/>
    <w:rsid w:val="0058262E"/>
    <w:rsid w:val="005A4344"/>
    <w:rsid w:val="005C33AF"/>
    <w:rsid w:val="005D4188"/>
    <w:rsid w:val="005E42E7"/>
    <w:rsid w:val="006031D3"/>
    <w:rsid w:val="006036B2"/>
    <w:rsid w:val="00610114"/>
    <w:rsid w:val="00632AA0"/>
    <w:rsid w:val="00643672"/>
    <w:rsid w:val="00687AFE"/>
    <w:rsid w:val="006B7454"/>
    <w:rsid w:val="006D0706"/>
    <w:rsid w:val="00716201"/>
    <w:rsid w:val="007408A3"/>
    <w:rsid w:val="00741075"/>
    <w:rsid w:val="00743031"/>
    <w:rsid w:val="007437D9"/>
    <w:rsid w:val="00752731"/>
    <w:rsid w:val="00773523"/>
    <w:rsid w:val="00783BB4"/>
    <w:rsid w:val="00796E4E"/>
    <w:rsid w:val="007A0A3D"/>
    <w:rsid w:val="007A4EA5"/>
    <w:rsid w:val="007C54F9"/>
    <w:rsid w:val="007E2F1F"/>
    <w:rsid w:val="007E6098"/>
    <w:rsid w:val="007F63EF"/>
    <w:rsid w:val="00813FEF"/>
    <w:rsid w:val="00814C23"/>
    <w:rsid w:val="00815735"/>
    <w:rsid w:val="008213A6"/>
    <w:rsid w:val="008632E4"/>
    <w:rsid w:val="008829F8"/>
    <w:rsid w:val="00891489"/>
    <w:rsid w:val="008927DE"/>
    <w:rsid w:val="008E0416"/>
    <w:rsid w:val="00905779"/>
    <w:rsid w:val="0090696F"/>
    <w:rsid w:val="0092099A"/>
    <w:rsid w:val="00920CE8"/>
    <w:rsid w:val="009546B1"/>
    <w:rsid w:val="0096307A"/>
    <w:rsid w:val="009672F9"/>
    <w:rsid w:val="009815CD"/>
    <w:rsid w:val="00982DC4"/>
    <w:rsid w:val="00986C8D"/>
    <w:rsid w:val="009A5E32"/>
    <w:rsid w:val="009D3D41"/>
    <w:rsid w:val="009E1398"/>
    <w:rsid w:val="00A12836"/>
    <w:rsid w:val="00A1534B"/>
    <w:rsid w:val="00A42596"/>
    <w:rsid w:val="00A522AB"/>
    <w:rsid w:val="00A6601B"/>
    <w:rsid w:val="00A710B2"/>
    <w:rsid w:val="00A86EC3"/>
    <w:rsid w:val="00AA1C73"/>
    <w:rsid w:val="00AA7885"/>
    <w:rsid w:val="00AB4839"/>
    <w:rsid w:val="00AC256F"/>
    <w:rsid w:val="00AE072D"/>
    <w:rsid w:val="00B03696"/>
    <w:rsid w:val="00B20824"/>
    <w:rsid w:val="00B33C04"/>
    <w:rsid w:val="00B34AFD"/>
    <w:rsid w:val="00B57299"/>
    <w:rsid w:val="00B868EA"/>
    <w:rsid w:val="00B93735"/>
    <w:rsid w:val="00BB58BA"/>
    <w:rsid w:val="00BC120E"/>
    <w:rsid w:val="00BE65D2"/>
    <w:rsid w:val="00BF54E2"/>
    <w:rsid w:val="00C37A3A"/>
    <w:rsid w:val="00C42446"/>
    <w:rsid w:val="00C546B0"/>
    <w:rsid w:val="00C56B53"/>
    <w:rsid w:val="00C67B9B"/>
    <w:rsid w:val="00C948E6"/>
    <w:rsid w:val="00CA79E4"/>
    <w:rsid w:val="00CF4111"/>
    <w:rsid w:val="00D22A05"/>
    <w:rsid w:val="00D2582C"/>
    <w:rsid w:val="00D65F79"/>
    <w:rsid w:val="00DB70A5"/>
    <w:rsid w:val="00DE76C3"/>
    <w:rsid w:val="00E168A9"/>
    <w:rsid w:val="00E264D6"/>
    <w:rsid w:val="00E30008"/>
    <w:rsid w:val="00E32596"/>
    <w:rsid w:val="00E4123A"/>
    <w:rsid w:val="00E4174E"/>
    <w:rsid w:val="00E52249"/>
    <w:rsid w:val="00E64160"/>
    <w:rsid w:val="00ED6D65"/>
    <w:rsid w:val="00EF094D"/>
    <w:rsid w:val="00F11FD1"/>
    <w:rsid w:val="00F32CAA"/>
    <w:rsid w:val="00F72EED"/>
    <w:rsid w:val="00F741B3"/>
    <w:rsid w:val="00F82254"/>
    <w:rsid w:val="00FA2C7F"/>
    <w:rsid w:val="00FC4350"/>
    <w:rsid w:val="00FD074F"/>
    <w:rsid w:val="00FF5C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AD5614"/>
  <w15:docId w15:val="{570D89AE-8C4D-49F1-9658-34BCAC4B1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D158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A0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A0A3D"/>
    <w:pPr>
      <w:ind w:left="720"/>
      <w:contextualSpacing/>
    </w:pPr>
  </w:style>
  <w:style w:type="paragraph" w:styleId="Tekstdymka">
    <w:name w:val="Balloon Text"/>
    <w:basedOn w:val="Normalny"/>
    <w:link w:val="TekstdymkaZnak"/>
    <w:uiPriority w:val="99"/>
    <w:semiHidden/>
    <w:unhideWhenUsed/>
    <w:rsid w:val="004D135D"/>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4D135D"/>
    <w:rPr>
      <w:rFonts w:ascii="Times New Roman" w:hAnsi="Times New Roman" w:cs="Times New Roman"/>
      <w:sz w:val="18"/>
      <w:szCs w:val="18"/>
    </w:rPr>
  </w:style>
  <w:style w:type="character" w:styleId="Odwoaniedokomentarza">
    <w:name w:val="annotation reference"/>
    <w:basedOn w:val="Domylnaczcionkaakapitu"/>
    <w:unhideWhenUsed/>
    <w:rsid w:val="00813FEF"/>
    <w:rPr>
      <w:sz w:val="16"/>
      <w:szCs w:val="16"/>
    </w:rPr>
  </w:style>
  <w:style w:type="paragraph" w:styleId="Tekstkomentarza">
    <w:name w:val="annotation text"/>
    <w:basedOn w:val="Normalny"/>
    <w:link w:val="TekstkomentarzaZnak"/>
    <w:uiPriority w:val="99"/>
    <w:semiHidden/>
    <w:unhideWhenUsed/>
    <w:rsid w:val="00813FE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13FEF"/>
    <w:rPr>
      <w:sz w:val="20"/>
      <w:szCs w:val="20"/>
    </w:rPr>
  </w:style>
  <w:style w:type="paragraph" w:styleId="Tekstprzypisudolnego">
    <w:name w:val="footnote text"/>
    <w:basedOn w:val="Normalny"/>
    <w:link w:val="TekstprzypisudolnegoZnak"/>
    <w:uiPriority w:val="99"/>
    <w:semiHidden/>
    <w:unhideWhenUsed/>
    <w:rsid w:val="00E264D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264D6"/>
    <w:rPr>
      <w:sz w:val="20"/>
      <w:szCs w:val="20"/>
    </w:rPr>
  </w:style>
  <w:style w:type="character" w:styleId="Odwoanieprzypisudolnego">
    <w:name w:val="footnote reference"/>
    <w:basedOn w:val="Domylnaczcionkaakapitu"/>
    <w:uiPriority w:val="99"/>
    <w:semiHidden/>
    <w:unhideWhenUsed/>
    <w:rsid w:val="00E264D6"/>
    <w:rPr>
      <w:vertAlign w:val="superscript"/>
    </w:rPr>
  </w:style>
  <w:style w:type="paragraph" w:styleId="Bezodstpw">
    <w:name w:val="No Spacing"/>
    <w:uiPriority w:val="1"/>
    <w:qFormat/>
    <w:rsid w:val="0044074F"/>
    <w:pPr>
      <w:spacing w:after="0" w:line="240" w:lineRule="auto"/>
      <w:jc w:val="both"/>
    </w:pPr>
    <w:rPr>
      <w:rFonts w:ascii="Calibri" w:eastAsia="Calibri" w:hAnsi="Calibri" w:cs="Times New Roman"/>
    </w:rPr>
  </w:style>
  <w:style w:type="paragraph" w:styleId="Tematkomentarza">
    <w:name w:val="annotation subject"/>
    <w:basedOn w:val="Tekstkomentarza"/>
    <w:next w:val="Tekstkomentarza"/>
    <w:link w:val="TematkomentarzaZnak"/>
    <w:uiPriority w:val="99"/>
    <w:semiHidden/>
    <w:unhideWhenUsed/>
    <w:rsid w:val="00DE76C3"/>
    <w:rPr>
      <w:b/>
      <w:bCs/>
    </w:rPr>
  </w:style>
  <w:style w:type="character" w:customStyle="1" w:styleId="TematkomentarzaZnak">
    <w:name w:val="Temat komentarza Znak"/>
    <w:basedOn w:val="TekstkomentarzaZnak"/>
    <w:link w:val="Tematkomentarza"/>
    <w:uiPriority w:val="99"/>
    <w:semiHidden/>
    <w:rsid w:val="00DE76C3"/>
    <w:rPr>
      <w:b/>
      <w:bCs/>
      <w:sz w:val="20"/>
      <w:szCs w:val="20"/>
    </w:rPr>
  </w:style>
  <w:style w:type="paragraph" w:customStyle="1" w:styleId="Default">
    <w:name w:val="Default"/>
    <w:rsid w:val="00557658"/>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934876">
      <w:bodyDiv w:val="1"/>
      <w:marLeft w:val="0"/>
      <w:marRight w:val="0"/>
      <w:marTop w:val="0"/>
      <w:marBottom w:val="0"/>
      <w:divBdr>
        <w:top w:val="none" w:sz="0" w:space="0" w:color="auto"/>
        <w:left w:val="none" w:sz="0" w:space="0" w:color="auto"/>
        <w:bottom w:val="none" w:sz="0" w:space="0" w:color="auto"/>
        <w:right w:val="none" w:sz="0" w:space="0" w:color="auto"/>
      </w:divBdr>
    </w:div>
    <w:div w:id="6568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89CAD4-039B-494A-901C-11CB5471B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3</Pages>
  <Words>1515</Words>
  <Characters>9094</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MAiC</Company>
  <LinksUpToDate>false</LinksUpToDate>
  <CharactersWithSpaces>10588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Sankiewicz Szymon</dc:creator>
  <cp:lastModifiedBy>Natorski, Artur</cp:lastModifiedBy>
  <cp:revision>4</cp:revision>
  <dcterms:created xsi:type="dcterms:W3CDTF">2020-05-07T06:47:00Z</dcterms:created>
  <dcterms:modified xsi:type="dcterms:W3CDTF">2020-05-07T09:34:00Z</dcterms:modified>
</cp:coreProperties>
</file>