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D5" w:rsidRPr="00CF4449" w:rsidRDefault="007A137A" w:rsidP="00CF4449">
      <w:pPr>
        <w:tabs>
          <w:tab w:val="right" w:pos="9356"/>
        </w:tabs>
        <w:ind w:left="4956" w:right="-284" w:firstLine="708"/>
        <w:rPr>
          <w:rFonts w:ascii="Arial" w:hAnsi="Arial" w:cs="Arial"/>
          <w:sz w:val="22"/>
          <w:szCs w:val="22"/>
        </w:rPr>
      </w:pPr>
      <w:r w:rsidRPr="00CF4449">
        <w:rPr>
          <w:rFonts w:ascii="Arial" w:hAnsi="Arial" w:cs="Arial"/>
          <w:sz w:val="22"/>
          <w:szCs w:val="22"/>
        </w:rPr>
        <w:t xml:space="preserve">Katowice,   </w:t>
      </w:r>
      <w:bookmarkStart w:id="0" w:name="EZDDataPodpisu_2"/>
      <w:r w:rsidRPr="00CF4449">
        <w:rPr>
          <w:rFonts w:ascii="Arial" w:hAnsi="Arial" w:cs="Arial"/>
          <w:sz w:val="22"/>
          <w:szCs w:val="22"/>
        </w:rPr>
        <w:t>07 września 2021</w:t>
      </w:r>
      <w:bookmarkEnd w:id="0"/>
      <w:r w:rsidRPr="00CF4449">
        <w:rPr>
          <w:rFonts w:ascii="Arial" w:hAnsi="Arial" w:cs="Arial"/>
          <w:sz w:val="22"/>
          <w:szCs w:val="22"/>
        </w:rPr>
        <w:t xml:space="preserve"> </w:t>
      </w:r>
    </w:p>
    <w:p w:rsidR="00990435" w:rsidRPr="00CF4449" w:rsidRDefault="007A137A" w:rsidP="00CF4449">
      <w:pPr>
        <w:tabs>
          <w:tab w:val="left" w:pos="5812"/>
        </w:tabs>
        <w:spacing w:after="480" w:line="276" w:lineRule="auto"/>
        <w:rPr>
          <w:rFonts w:ascii="Arial" w:hAnsi="Arial" w:cs="Arial"/>
          <w:sz w:val="22"/>
          <w:szCs w:val="22"/>
        </w:rPr>
      </w:pPr>
      <w:r w:rsidRPr="00CF4449">
        <w:rPr>
          <w:rFonts w:ascii="Arial" w:hAnsi="Arial" w:cs="Arial"/>
          <w:sz w:val="22"/>
          <w:szCs w:val="22"/>
        </w:rPr>
        <w:t>WOOŚ.420.8.2021.JŻ.20</w:t>
      </w:r>
    </w:p>
    <w:p w:rsidR="00990435" w:rsidRPr="0046701A" w:rsidRDefault="007A137A" w:rsidP="00CF4449">
      <w:pPr>
        <w:spacing w:before="1000" w:line="276" w:lineRule="auto"/>
        <w:rPr>
          <w:rFonts w:ascii="Arial" w:hAnsi="Arial" w:cs="Arial"/>
          <w:color w:val="00000A"/>
          <w:kern w:val="2"/>
          <w:sz w:val="22"/>
          <w:szCs w:val="22"/>
        </w:rPr>
      </w:pPr>
      <w:r w:rsidRPr="0046701A">
        <w:rPr>
          <w:rFonts w:ascii="Arial" w:hAnsi="Arial" w:cs="Arial"/>
          <w:color w:val="00000A"/>
          <w:kern w:val="2"/>
          <w:sz w:val="22"/>
          <w:szCs w:val="22"/>
        </w:rPr>
        <w:t>DECYZJA</w:t>
      </w:r>
    </w:p>
    <w:p w:rsidR="00990435" w:rsidRPr="00CF4449" w:rsidRDefault="007A137A" w:rsidP="00CF4449">
      <w:pPr>
        <w:spacing w:after="600" w:line="276" w:lineRule="auto"/>
        <w:rPr>
          <w:rFonts w:ascii="Arial" w:hAnsi="Arial" w:cs="Arial"/>
          <w:color w:val="00000A"/>
          <w:kern w:val="2"/>
          <w:sz w:val="22"/>
          <w:szCs w:val="22"/>
        </w:rPr>
      </w:pPr>
      <w:r w:rsidRPr="00CF4449">
        <w:rPr>
          <w:rFonts w:ascii="Arial" w:hAnsi="Arial" w:cs="Arial"/>
          <w:color w:val="00000A"/>
          <w:kern w:val="2"/>
          <w:sz w:val="22"/>
          <w:szCs w:val="22"/>
        </w:rPr>
        <w:t>o środowiskowych uwarunkowaniach</w:t>
      </w:r>
    </w:p>
    <w:p w:rsidR="00990435" w:rsidRPr="00CF4449" w:rsidRDefault="007A137A" w:rsidP="00CF4449">
      <w:pPr>
        <w:spacing w:line="276" w:lineRule="auto"/>
        <w:rPr>
          <w:rFonts w:ascii="Arial" w:eastAsia="Arial" w:hAnsi="Arial" w:cs="Arial"/>
          <w:color w:val="00000A"/>
          <w:kern w:val="2"/>
          <w:sz w:val="22"/>
          <w:szCs w:val="22"/>
        </w:rPr>
      </w:pPr>
      <w:r w:rsidRPr="00CF4449">
        <w:rPr>
          <w:rFonts w:ascii="Arial" w:hAnsi="Arial" w:cs="Arial"/>
          <w:color w:val="00000A"/>
          <w:kern w:val="2"/>
          <w:sz w:val="22"/>
          <w:szCs w:val="22"/>
        </w:rPr>
        <w:t xml:space="preserve">Na podstawie art. 104, art. 108 ustawy z dnia 14 czerwca 1960 r. </w:t>
      </w:r>
      <w:r w:rsidRPr="00CF4449">
        <w:rPr>
          <w:rFonts w:ascii="Arial" w:eastAsia="Arial" w:hAnsi="Arial" w:cs="Arial"/>
          <w:color w:val="00000A"/>
          <w:kern w:val="2"/>
          <w:sz w:val="22"/>
          <w:szCs w:val="22"/>
        </w:rPr>
        <w:t xml:space="preserve">– </w:t>
      </w:r>
      <w:r w:rsidRPr="00CF4449">
        <w:rPr>
          <w:rFonts w:ascii="Arial" w:hAnsi="Arial" w:cs="Arial"/>
          <w:color w:val="00000A"/>
          <w:kern w:val="2"/>
          <w:sz w:val="22"/>
          <w:szCs w:val="22"/>
        </w:rPr>
        <w:t>Kodeks postępowania administracyjnego (t.j. Dz. U. z 2021 r. poz. 735) [dalej zwanej ustawą Kpa] oraz art. 71 ust. 1, art 71 ust. 2 pkt 2, art. 75 ust. 1 pkt 1 lit. p, art. 84, art. 85 ustawy z dnia 3 października 2008 r. o udostępnianiu informacji o środowisku i jego ochronie, udziale społeczeństwa w ochronie środowiska oraz o ocenach oddziaływania na środowisko (t.j. Dz. U. z 2021 r., poz. 247 z późn. zm.) [dalej zwanej ustawą ooś], po rozpatrzeniu wniosku z 19 marca 2021 r. pełnomocnika Inwestora: Generalnego Dyrektora Dróg Krajowych i Autostrad z siedzibą w Warszawie ul. Wronia 53, 00-874 Warszawa, reprezentowanego przez Dyrektora Oddziału Generalnej Dyrekcji Dróg Krajowych i Autostrad w Katowicach ul. Myśliwska 5, 40</w:t>
      </w:r>
      <w:r w:rsidRPr="00CF4449">
        <w:rPr>
          <w:rFonts w:ascii="Arial" w:hAnsi="Arial" w:cs="Arial"/>
          <w:color w:val="00000A"/>
          <w:kern w:val="2"/>
          <w:sz w:val="22"/>
          <w:szCs w:val="22"/>
        </w:rPr>
        <w:noBreakHyphen/>
        <w:t xml:space="preserve">017 Katowice </w:t>
      </w:r>
      <w:r w:rsidRPr="00CF4449">
        <w:rPr>
          <w:rFonts w:ascii="Arial" w:eastAsia="Arial" w:hAnsi="Arial" w:cs="Arial"/>
          <w:color w:val="00000A"/>
          <w:kern w:val="2"/>
          <w:sz w:val="22"/>
          <w:szCs w:val="22"/>
        </w:rPr>
        <w:t>w sprawie wydania decyzji o środowiskowych uwarunkowaniach</w:t>
      </w:r>
    </w:p>
    <w:p w:rsidR="00990435" w:rsidRPr="00CF4449" w:rsidRDefault="007A137A" w:rsidP="00CF4449">
      <w:pPr>
        <w:spacing w:before="360" w:after="360" w:line="276" w:lineRule="auto"/>
        <w:rPr>
          <w:rFonts w:ascii="Arial" w:eastAsia="Arial" w:hAnsi="Arial" w:cs="Arial"/>
          <w:strike/>
          <w:kern w:val="2"/>
          <w:sz w:val="22"/>
          <w:szCs w:val="22"/>
        </w:rPr>
      </w:pPr>
      <w:r w:rsidRPr="00CF4449">
        <w:rPr>
          <w:rFonts w:ascii="Arial" w:eastAsia="Arial" w:hAnsi="Arial" w:cs="Arial"/>
          <w:kern w:val="2"/>
          <w:sz w:val="22"/>
          <w:szCs w:val="22"/>
        </w:rPr>
        <w:t>orzekam</w:t>
      </w:r>
    </w:p>
    <w:p w:rsidR="000F7D6F" w:rsidRPr="00CF4449" w:rsidRDefault="007A137A" w:rsidP="00CF4449">
      <w:pPr>
        <w:numPr>
          <w:ilvl w:val="0"/>
          <w:numId w:val="1"/>
        </w:numPr>
        <w:spacing w:before="120" w:line="276" w:lineRule="auto"/>
        <w:ind w:left="714" w:hanging="357"/>
        <w:rPr>
          <w:rFonts w:ascii="Arial" w:hAnsi="Arial" w:cs="Arial"/>
          <w:color w:val="00000A"/>
          <w:kern w:val="2"/>
          <w:sz w:val="22"/>
          <w:szCs w:val="22"/>
        </w:rPr>
      </w:pPr>
      <w:r w:rsidRPr="00CF4449">
        <w:rPr>
          <w:rFonts w:ascii="Arial" w:hAnsi="Arial" w:cs="Arial"/>
          <w:color w:val="00000A"/>
          <w:kern w:val="2"/>
          <w:sz w:val="22"/>
          <w:szCs w:val="22"/>
        </w:rPr>
        <w:t xml:space="preserve">Stwierdzić brak potrzeby przeprowadzenia oceny oddziaływania na środowisko, w ramach postępowania w sprawie wydania decyzji o środowiskowych uwarunkowaniach dla przedsięwzięcia pn.: </w:t>
      </w:r>
      <w:r w:rsidRPr="00CF4449">
        <w:rPr>
          <w:rFonts w:ascii="Arial" w:hAnsi="Arial" w:cs="Arial"/>
          <w:sz w:val="22"/>
          <w:szCs w:val="22"/>
          <w:lang w:eastAsia="pl-PL"/>
        </w:rPr>
        <w:t>„Dobudowa 3 pasa autostrady A 1 na odcinku od km 416+650 do km 418+200”.</w:t>
      </w:r>
    </w:p>
    <w:p w:rsidR="00990435" w:rsidRPr="00CF4449" w:rsidRDefault="007A137A" w:rsidP="00CF4449">
      <w:pPr>
        <w:numPr>
          <w:ilvl w:val="0"/>
          <w:numId w:val="1"/>
        </w:numPr>
        <w:spacing w:before="120" w:line="276" w:lineRule="auto"/>
        <w:ind w:left="714" w:hanging="357"/>
        <w:rPr>
          <w:rFonts w:ascii="Arial" w:hAnsi="Arial" w:cs="Arial"/>
          <w:color w:val="00000A"/>
          <w:kern w:val="2"/>
          <w:sz w:val="22"/>
          <w:szCs w:val="22"/>
        </w:rPr>
      </w:pPr>
      <w:r w:rsidRPr="00CF4449">
        <w:rPr>
          <w:rFonts w:ascii="Arial" w:hAnsi="Arial" w:cs="Arial"/>
          <w:color w:val="00000A"/>
          <w:kern w:val="2"/>
          <w:sz w:val="22"/>
          <w:szCs w:val="22"/>
        </w:rPr>
        <w:t>Ustalić następujące warunki realizacji przedsięwzięcia:</w:t>
      </w:r>
    </w:p>
    <w:p w:rsidR="005D041D" w:rsidRPr="00CF4449" w:rsidRDefault="007A137A" w:rsidP="00CF4449">
      <w:pPr>
        <w:pStyle w:val="Akapitzlist"/>
        <w:numPr>
          <w:ilvl w:val="0"/>
          <w:numId w:val="2"/>
        </w:numPr>
        <w:spacing w:line="276" w:lineRule="auto"/>
        <w:rPr>
          <w:rFonts w:ascii="Arial" w:hAnsi="Arial" w:cs="Arial"/>
          <w:color w:val="00000A"/>
          <w:kern w:val="2"/>
          <w:sz w:val="22"/>
          <w:szCs w:val="22"/>
        </w:rPr>
      </w:pPr>
      <w:r w:rsidRPr="00CF4449">
        <w:rPr>
          <w:rFonts w:ascii="Arial" w:hAnsi="Arial" w:cs="Arial"/>
          <w:color w:val="00000A"/>
          <w:kern w:val="2"/>
          <w:sz w:val="22"/>
          <w:szCs w:val="22"/>
        </w:rPr>
        <w:t>Zaplecze budowy, bazy materiałowo-sprzętowe i miejsca magazynowania odpadów należy organizować poza terenami o płytkim zaleganiu wód podziemnych, poza dolinami cieków, na terenach przekształconych antropogenicznie, utwardzonych.</w:t>
      </w:r>
    </w:p>
    <w:p w:rsidR="00671073" w:rsidRPr="00CF4449" w:rsidRDefault="007A137A" w:rsidP="00CF4449">
      <w:pPr>
        <w:numPr>
          <w:ilvl w:val="0"/>
          <w:numId w:val="2"/>
        </w:numPr>
        <w:spacing w:line="276" w:lineRule="auto"/>
        <w:contextualSpacing/>
        <w:rPr>
          <w:rFonts w:ascii="Arial" w:hAnsi="Arial" w:cs="Arial"/>
          <w:color w:val="00000A"/>
          <w:kern w:val="2"/>
          <w:sz w:val="22"/>
          <w:szCs w:val="22"/>
        </w:rPr>
      </w:pPr>
      <w:r w:rsidRPr="00CF4449">
        <w:rPr>
          <w:rFonts w:ascii="Arial" w:hAnsi="Arial" w:cs="Arial"/>
          <w:sz w:val="22"/>
          <w:szCs w:val="22"/>
        </w:rPr>
        <w:t>Materiały potencjalnie niebezpieczne dla środowiska gruntowo - wodnego, należy magazynować w szczelnych i zamykanych pojemnikach na utwardzonym podłożu.</w:t>
      </w:r>
    </w:p>
    <w:p w:rsidR="00671073" w:rsidRPr="00CF4449" w:rsidRDefault="007A137A" w:rsidP="00CF4449">
      <w:pPr>
        <w:numPr>
          <w:ilvl w:val="0"/>
          <w:numId w:val="2"/>
        </w:numPr>
        <w:spacing w:line="276" w:lineRule="auto"/>
        <w:contextualSpacing/>
        <w:rPr>
          <w:rFonts w:ascii="Arial" w:hAnsi="Arial" w:cs="Arial"/>
          <w:color w:val="00000A"/>
          <w:kern w:val="2"/>
          <w:sz w:val="22"/>
          <w:szCs w:val="22"/>
        </w:rPr>
      </w:pPr>
      <w:r w:rsidRPr="00CF4449">
        <w:rPr>
          <w:rFonts w:ascii="Arial" w:hAnsi="Arial" w:cs="Arial"/>
          <w:color w:val="00000A"/>
          <w:kern w:val="2"/>
          <w:sz w:val="22"/>
          <w:szCs w:val="22"/>
        </w:rPr>
        <w:t>Powstające odpady należy magazynować w sposób selektywny w specjalnie do tego przystosowanych pojemnikach, w taki sposób, aby zminimalizować możliwość ich negatywnego oddziaływania na środowisko gruntowo-wodne, a w przypadku odpadów niebezpiecznych dodatkowo na powierzchni szczelnej i utwardzonej.</w:t>
      </w:r>
    </w:p>
    <w:p w:rsidR="00671073" w:rsidRPr="00CF4449" w:rsidRDefault="007A137A" w:rsidP="00CF4449">
      <w:pPr>
        <w:numPr>
          <w:ilvl w:val="0"/>
          <w:numId w:val="2"/>
        </w:numPr>
        <w:spacing w:line="276" w:lineRule="auto"/>
        <w:contextualSpacing/>
        <w:rPr>
          <w:rFonts w:ascii="Arial" w:hAnsi="Arial" w:cs="Arial"/>
          <w:color w:val="00000A"/>
          <w:kern w:val="2"/>
          <w:sz w:val="22"/>
          <w:szCs w:val="22"/>
        </w:rPr>
      </w:pPr>
      <w:r w:rsidRPr="00CF4449">
        <w:rPr>
          <w:rFonts w:ascii="Arial" w:hAnsi="Arial" w:cs="Arial"/>
          <w:color w:val="00000A"/>
          <w:kern w:val="2"/>
          <w:sz w:val="22"/>
          <w:szCs w:val="22"/>
        </w:rPr>
        <w:t xml:space="preserve">We wszystkich ww. miejscach tj. zaplecza budowy, bazy materiałowo-sprzętowe i magazynowania odpadów oraz w miejscach bezpośrednich prac budowlanych należy zapewnić dostępność sorbentów, właściwych w zakresie ilości i rodzaju do potencjalnego zagrożenia, mogącego wystąpić w następstwie sytuacji awaryjnych. </w:t>
      </w:r>
    </w:p>
    <w:p w:rsidR="006A1F4B" w:rsidRPr="00CF4449" w:rsidRDefault="007A137A" w:rsidP="00CF4449">
      <w:pPr>
        <w:numPr>
          <w:ilvl w:val="0"/>
          <w:numId w:val="2"/>
        </w:numPr>
        <w:spacing w:line="276" w:lineRule="auto"/>
        <w:contextualSpacing/>
        <w:rPr>
          <w:rFonts w:ascii="Arial" w:hAnsi="Arial" w:cs="Arial"/>
          <w:color w:val="00000A"/>
          <w:kern w:val="2"/>
          <w:sz w:val="22"/>
          <w:szCs w:val="22"/>
        </w:rPr>
      </w:pPr>
      <w:r w:rsidRPr="00CF4449">
        <w:rPr>
          <w:rFonts w:ascii="Arial" w:hAnsi="Arial" w:cs="Arial"/>
          <w:color w:val="00000A"/>
          <w:kern w:val="2"/>
          <w:sz w:val="22"/>
          <w:szCs w:val="22"/>
        </w:rPr>
        <w:lastRenderedPageBreak/>
        <w:t>W przypadku przedostania się zanieczyszczeń do gruntu lub wód bezzwłocznie należy podjąć działania zmierzające do usunięcia skutków i przyczyn awarii (ewentualne wycieki należy natychmiast usuwać).</w:t>
      </w:r>
    </w:p>
    <w:p w:rsidR="00877ABB" w:rsidRPr="00CF4449" w:rsidRDefault="007A137A" w:rsidP="00CF4449">
      <w:pPr>
        <w:pStyle w:val="Akapitzlist"/>
        <w:numPr>
          <w:ilvl w:val="0"/>
          <w:numId w:val="2"/>
        </w:numPr>
        <w:spacing w:line="276" w:lineRule="auto"/>
        <w:rPr>
          <w:rFonts w:ascii="Arial" w:hAnsi="Arial" w:cs="Arial"/>
          <w:color w:val="00000A"/>
          <w:kern w:val="2"/>
          <w:sz w:val="22"/>
          <w:szCs w:val="22"/>
        </w:rPr>
      </w:pPr>
      <w:r w:rsidRPr="00CF4449">
        <w:rPr>
          <w:rFonts w:ascii="Arial" w:hAnsi="Arial" w:cs="Arial"/>
          <w:color w:val="00000A"/>
          <w:kern w:val="2"/>
          <w:sz w:val="22"/>
          <w:szCs w:val="22"/>
        </w:rPr>
        <w:t>W przypadku konieczności wyznaczenia miejsc do tankowania urządzeń i maszyn, miejsca te należy wykonać na szczelnej powierzchni.</w:t>
      </w:r>
    </w:p>
    <w:p w:rsidR="00AD6465" w:rsidRPr="00CF4449" w:rsidRDefault="007A137A" w:rsidP="00CF4449">
      <w:pPr>
        <w:pStyle w:val="Akapitzlist"/>
        <w:numPr>
          <w:ilvl w:val="0"/>
          <w:numId w:val="2"/>
        </w:numPr>
        <w:spacing w:before="120" w:line="276" w:lineRule="auto"/>
        <w:rPr>
          <w:rFonts w:ascii="Arial" w:hAnsi="Arial" w:cs="Arial"/>
          <w:color w:val="00000A"/>
          <w:kern w:val="2"/>
          <w:sz w:val="22"/>
          <w:szCs w:val="22"/>
        </w:rPr>
      </w:pPr>
      <w:r w:rsidRPr="00CF4449">
        <w:rPr>
          <w:rFonts w:ascii="Arial" w:hAnsi="Arial" w:cs="Arial"/>
          <w:sz w:val="22"/>
          <w:szCs w:val="22"/>
        </w:rPr>
        <w:t>W przypadku konieczności odwodnienia wykopów, prace odwodnieniowe prowadzić bez konieczności trwałego obniżenia poziomu wód gruntowych; do minimum ograniczyć czas odwadniania wykopów, wody z odwodnienia odprowadzać w sposób nie powodujący zalewania terenów sąsiednich oraz niezmieniający stanu wody na gruncie, w szczególności kierunku odpływu wód opadowych ze szkodą dla gruntów sąsiednich.</w:t>
      </w:r>
    </w:p>
    <w:p w:rsidR="00046439" w:rsidRPr="00CF4449" w:rsidRDefault="007A137A" w:rsidP="00CF4449">
      <w:pPr>
        <w:pStyle w:val="Akapitzlist"/>
        <w:numPr>
          <w:ilvl w:val="0"/>
          <w:numId w:val="2"/>
        </w:numPr>
        <w:spacing w:line="276" w:lineRule="auto"/>
        <w:rPr>
          <w:rFonts w:ascii="Arial" w:hAnsi="Arial" w:cs="Arial"/>
          <w:color w:val="00000A"/>
          <w:kern w:val="2"/>
          <w:sz w:val="22"/>
          <w:szCs w:val="22"/>
        </w:rPr>
      </w:pPr>
      <w:r w:rsidRPr="00CF4449">
        <w:rPr>
          <w:rFonts w:ascii="Arial" w:hAnsi="Arial" w:cs="Arial"/>
          <w:color w:val="00000A"/>
          <w:kern w:val="2"/>
          <w:sz w:val="22"/>
          <w:szCs w:val="22"/>
        </w:rPr>
        <w:t xml:space="preserve">Zdjętą wierzchnią warstwę ziemi oraz odkłady gruntu z wykopów należy lokalizować poza ciekami/rowami, tak aby kierunek spływu powierzchniowego uniemożliwiał zanieczyszczenie wód. </w:t>
      </w:r>
    </w:p>
    <w:p w:rsidR="001D6EE6" w:rsidRPr="00CF4449" w:rsidRDefault="007A137A" w:rsidP="00CF4449">
      <w:pPr>
        <w:pStyle w:val="Akapitzlist"/>
        <w:numPr>
          <w:ilvl w:val="0"/>
          <w:numId w:val="2"/>
        </w:numPr>
        <w:spacing w:line="276" w:lineRule="auto"/>
        <w:rPr>
          <w:rFonts w:ascii="Arial" w:hAnsi="Arial" w:cs="Arial"/>
          <w:color w:val="00000A"/>
          <w:kern w:val="2"/>
          <w:sz w:val="22"/>
          <w:szCs w:val="22"/>
        </w:rPr>
      </w:pPr>
      <w:r w:rsidRPr="00CF4449">
        <w:rPr>
          <w:rFonts w:ascii="Arial" w:hAnsi="Arial" w:cs="Arial"/>
          <w:color w:val="00000A"/>
          <w:kern w:val="2"/>
          <w:sz w:val="22"/>
          <w:szCs w:val="22"/>
        </w:rPr>
        <w:t>Niezanieczyszczone wody opadowe i roztopowe powstające na etapie realizacji przedsięwzięcia należy odprowadzać do gruntu w sposób niepowodujący zalewania terenów sąsiednich oraz niezmieniający stanu wody na gruncie, w szczególności kierunku i natężenia odpływu ww. wód ze szkodą dIa gruntów sąsiednich; ewentualne, zanieczyszczone wody opadowe i roztopowe z terenu zaplecza budowy po podczyszczeniu zagospodarować tak samo, jak ww. wody niezanieczyszczone.</w:t>
      </w:r>
    </w:p>
    <w:p w:rsidR="00287092" w:rsidRPr="00CF4449" w:rsidRDefault="007A137A" w:rsidP="00CF4449">
      <w:pPr>
        <w:pStyle w:val="Akapitzlist"/>
        <w:numPr>
          <w:ilvl w:val="0"/>
          <w:numId w:val="2"/>
        </w:numPr>
        <w:spacing w:line="276" w:lineRule="auto"/>
        <w:rPr>
          <w:rFonts w:ascii="Arial" w:hAnsi="Arial" w:cs="Arial"/>
          <w:color w:val="00000A"/>
          <w:kern w:val="2"/>
          <w:sz w:val="22"/>
          <w:szCs w:val="22"/>
        </w:rPr>
      </w:pPr>
      <w:r w:rsidRPr="00CF4449">
        <w:rPr>
          <w:rFonts w:ascii="Arial" w:hAnsi="Arial" w:cs="Arial"/>
          <w:color w:val="00000A"/>
          <w:kern w:val="2"/>
          <w:sz w:val="22"/>
          <w:szCs w:val="22"/>
        </w:rPr>
        <w:t>Ruch pojazdów winien odbywać się tylko po wyznaczonych drogach dojazdowych.</w:t>
      </w:r>
    </w:p>
    <w:p w:rsidR="00D24D7F" w:rsidRPr="00CF4449" w:rsidRDefault="007A137A" w:rsidP="00CF4449">
      <w:pPr>
        <w:pStyle w:val="Akapitzlist"/>
        <w:numPr>
          <w:ilvl w:val="0"/>
          <w:numId w:val="2"/>
        </w:numPr>
        <w:spacing w:line="276" w:lineRule="auto"/>
        <w:rPr>
          <w:rFonts w:ascii="Arial" w:hAnsi="Arial" w:cs="Arial"/>
          <w:color w:val="00000A"/>
          <w:kern w:val="2"/>
          <w:sz w:val="22"/>
          <w:szCs w:val="22"/>
        </w:rPr>
      </w:pPr>
      <w:r w:rsidRPr="00CF4449">
        <w:rPr>
          <w:rFonts w:ascii="Arial" w:hAnsi="Arial" w:cs="Arial"/>
          <w:color w:val="00000A"/>
          <w:kern w:val="2"/>
          <w:sz w:val="22"/>
          <w:szCs w:val="22"/>
        </w:rPr>
        <w:t>Należy stosować rozwiązania organizacyjne i techniczne mające na celu minimalizację emisji wtórnej pyłu z miejsc prowadzenia prac budowlanych i montażowych oraz środków transportu przewożących materiały pyliste, w szczególności poprzez:</w:t>
      </w:r>
    </w:p>
    <w:p w:rsidR="00D24D7F" w:rsidRPr="00CF4449" w:rsidRDefault="007A137A" w:rsidP="00CF4449">
      <w:pPr>
        <w:pStyle w:val="Akapitzlist"/>
        <w:numPr>
          <w:ilvl w:val="0"/>
          <w:numId w:val="18"/>
        </w:numPr>
        <w:spacing w:line="276" w:lineRule="auto"/>
        <w:rPr>
          <w:rFonts w:ascii="Arial" w:hAnsi="Arial" w:cs="Arial"/>
          <w:color w:val="00000A"/>
          <w:kern w:val="2"/>
          <w:sz w:val="22"/>
          <w:szCs w:val="22"/>
        </w:rPr>
      </w:pPr>
      <w:r w:rsidRPr="00CF4449">
        <w:rPr>
          <w:rFonts w:ascii="Arial" w:hAnsi="Arial" w:cs="Arial"/>
          <w:color w:val="00000A"/>
          <w:kern w:val="2"/>
          <w:sz w:val="22"/>
          <w:szCs w:val="22"/>
        </w:rPr>
        <w:t xml:space="preserve">zabezpieczenie materiałów sypkich, pylistych, stanowiących surowce do budowy oraz mas ziemnych i odpadów o takim samym charakterze, powstających podczas prac budowlanych, przed ich rozwiewaniem (np. przykrywanie plandekami, zraszanie wodą – w przypadku mas ziemnych), </w:t>
      </w:r>
    </w:p>
    <w:p w:rsidR="00DD157A" w:rsidRPr="00CF4449" w:rsidRDefault="007A137A" w:rsidP="00CF4449">
      <w:pPr>
        <w:pStyle w:val="Akapitzlist"/>
        <w:numPr>
          <w:ilvl w:val="0"/>
          <w:numId w:val="18"/>
        </w:numPr>
        <w:spacing w:line="276" w:lineRule="auto"/>
        <w:rPr>
          <w:rFonts w:ascii="Arial" w:hAnsi="Arial" w:cs="Arial"/>
          <w:color w:val="00000A"/>
          <w:kern w:val="2"/>
          <w:sz w:val="22"/>
          <w:szCs w:val="22"/>
        </w:rPr>
      </w:pPr>
      <w:r w:rsidRPr="00CF4449">
        <w:rPr>
          <w:rFonts w:ascii="Arial" w:hAnsi="Arial" w:cs="Arial"/>
          <w:color w:val="00000A"/>
          <w:kern w:val="2"/>
          <w:sz w:val="22"/>
          <w:szCs w:val="22"/>
        </w:rPr>
        <w:t>czyszczenie kół pojazdów przed wyjazdem z placu budowy na drogi publiczne.</w:t>
      </w:r>
    </w:p>
    <w:p w:rsidR="00A356E3" w:rsidRPr="00CF4449" w:rsidRDefault="007A137A" w:rsidP="00CF4449">
      <w:pPr>
        <w:pStyle w:val="Akapitzlist"/>
        <w:numPr>
          <w:ilvl w:val="0"/>
          <w:numId w:val="1"/>
        </w:numPr>
        <w:spacing w:line="276" w:lineRule="auto"/>
        <w:rPr>
          <w:rFonts w:ascii="Arial" w:hAnsi="Arial" w:cs="Arial"/>
          <w:color w:val="00000A"/>
          <w:kern w:val="2"/>
          <w:sz w:val="22"/>
          <w:szCs w:val="22"/>
        </w:rPr>
      </w:pPr>
      <w:r w:rsidRPr="00CF4449">
        <w:rPr>
          <w:rFonts w:ascii="Arial" w:hAnsi="Arial" w:cs="Arial"/>
          <w:color w:val="00000A"/>
          <w:kern w:val="2"/>
          <w:sz w:val="22"/>
          <w:szCs w:val="22"/>
        </w:rPr>
        <w:t>W dokumentacji wymaganej do wydania decyzji, o których mowa w art. 72 ust. 1 ustawy ooś, należy uwzględnić następujące wymagania dotyczące ochrony środowiska:</w:t>
      </w:r>
    </w:p>
    <w:p w:rsidR="001C0791" w:rsidRPr="00CF4449" w:rsidRDefault="007A137A" w:rsidP="00CF4449">
      <w:pPr>
        <w:pStyle w:val="Akapitzlist"/>
        <w:numPr>
          <w:ilvl w:val="0"/>
          <w:numId w:val="23"/>
        </w:numPr>
        <w:spacing w:line="276" w:lineRule="auto"/>
        <w:rPr>
          <w:rFonts w:ascii="Arial" w:hAnsi="Arial" w:cs="Arial"/>
          <w:color w:val="00000A"/>
          <w:kern w:val="2"/>
          <w:sz w:val="22"/>
          <w:szCs w:val="22"/>
        </w:rPr>
      </w:pPr>
      <w:r w:rsidRPr="00CF4449">
        <w:rPr>
          <w:rFonts w:ascii="Arial" w:hAnsi="Arial" w:cs="Arial"/>
          <w:color w:val="00000A"/>
          <w:kern w:val="2"/>
          <w:sz w:val="22"/>
          <w:szCs w:val="22"/>
        </w:rPr>
        <w:t xml:space="preserve">Na odcinku od km 417+531 do km 417+545 strona lewa należy zaprojektować stałe ogrodzenie i wygrodzenie ochronno-naprowadzające zwierzęta do przepustów stanowiące całość z istniejącymi elementami, zgodnie z warunkami określonymi w postanowieniach Regionalnego Dyrektora Ochrony Środowiska w Katowicach z 7 marca 2014 r. znak: WOOŚ.4242.200.2012.EJ.10 i 18 stycznia 2017 r. znak: WOOŚ.4242.117.2016.EJ.7, tj.: </w:t>
      </w:r>
    </w:p>
    <w:p w:rsidR="00A356E3" w:rsidRPr="00CF4449" w:rsidRDefault="007A137A" w:rsidP="00CF4449">
      <w:pPr>
        <w:pStyle w:val="Akapitzlist"/>
        <w:numPr>
          <w:ilvl w:val="0"/>
          <w:numId w:val="24"/>
        </w:numPr>
        <w:spacing w:line="276" w:lineRule="auto"/>
        <w:ind w:left="2484"/>
        <w:rPr>
          <w:rFonts w:ascii="Arial" w:hAnsi="Arial" w:cs="Arial"/>
          <w:color w:val="00000A"/>
          <w:kern w:val="2"/>
          <w:sz w:val="22"/>
          <w:szCs w:val="22"/>
        </w:rPr>
      </w:pPr>
      <w:r w:rsidRPr="00CF4449">
        <w:rPr>
          <w:rFonts w:ascii="Arial" w:hAnsi="Arial" w:cs="Arial"/>
          <w:color w:val="00000A"/>
          <w:kern w:val="2"/>
          <w:sz w:val="22"/>
          <w:szCs w:val="22"/>
        </w:rPr>
        <w:t xml:space="preserve">wygrodzenia ochronno naprowadzające z elementów prefabrykowanych o wysokości 50 cm ponad powierzchnię terenu, wkopane 20 cm, szczelnie przylegające do powierzchni gruntu, stabilnie w nim osadzonych z przewieszką o wysokości 10 cm, </w:t>
      </w:r>
      <w:r w:rsidRPr="00CF4449">
        <w:rPr>
          <w:rFonts w:ascii="Arial" w:hAnsi="Arial" w:cs="Arial"/>
          <w:color w:val="00000A"/>
          <w:kern w:val="2"/>
          <w:sz w:val="22"/>
          <w:szCs w:val="22"/>
        </w:rPr>
        <w:lastRenderedPageBreak/>
        <w:t>z zagięciem skierowanym „na zewnątrz” od osi drogi,</w:t>
      </w:r>
    </w:p>
    <w:p w:rsidR="001C0791" w:rsidRPr="00CF4449" w:rsidRDefault="007A137A" w:rsidP="00CF4449">
      <w:pPr>
        <w:pStyle w:val="Akapitzlist"/>
        <w:numPr>
          <w:ilvl w:val="0"/>
          <w:numId w:val="24"/>
        </w:numPr>
        <w:spacing w:line="276" w:lineRule="auto"/>
        <w:ind w:left="2484"/>
        <w:rPr>
          <w:rFonts w:ascii="Arial" w:hAnsi="Arial" w:cs="Arial"/>
          <w:color w:val="00000A"/>
          <w:kern w:val="2"/>
          <w:sz w:val="22"/>
          <w:szCs w:val="22"/>
        </w:rPr>
      </w:pPr>
      <w:r w:rsidRPr="00CF4449">
        <w:rPr>
          <w:rFonts w:ascii="Arial" w:hAnsi="Arial" w:cs="Arial"/>
          <w:color w:val="00000A"/>
          <w:kern w:val="2"/>
          <w:sz w:val="22"/>
          <w:szCs w:val="22"/>
        </w:rPr>
        <w:t>ogrodzenie siatką stalową wysokości 2,40 m, w tym 2,20 m nad poziom terenu, ze stabilizacją dolnej krawędzi poprzez zakopanie siatki pod powierzchnię gruntu, na głębokość 0,20 m, o zmiennej wielkości oczek (zmniejszającej się ku dołowi) kształtującej się następująco:</w:t>
      </w:r>
    </w:p>
    <w:p w:rsidR="001C0791" w:rsidRPr="00CF4449" w:rsidRDefault="007A137A" w:rsidP="00CF4449">
      <w:pPr>
        <w:pStyle w:val="Akapitzlist"/>
        <w:spacing w:line="276" w:lineRule="auto"/>
        <w:ind w:left="2484"/>
        <w:rPr>
          <w:rFonts w:ascii="Arial" w:hAnsi="Arial" w:cs="Arial"/>
          <w:color w:val="00000A"/>
          <w:kern w:val="2"/>
          <w:sz w:val="22"/>
          <w:szCs w:val="22"/>
        </w:rPr>
      </w:pPr>
      <w:r w:rsidRPr="00CF4449">
        <w:rPr>
          <w:rFonts w:ascii="Arial" w:hAnsi="Arial" w:cs="Arial"/>
          <w:color w:val="00000A"/>
          <w:kern w:val="2"/>
          <w:sz w:val="22"/>
          <w:szCs w:val="22"/>
        </w:rPr>
        <w:t>-</w:t>
      </w:r>
      <w:r w:rsidRPr="00CF4449">
        <w:rPr>
          <w:rFonts w:ascii="Arial" w:hAnsi="Arial" w:cs="Arial"/>
          <w:color w:val="00000A"/>
          <w:kern w:val="2"/>
          <w:sz w:val="22"/>
          <w:szCs w:val="22"/>
        </w:rPr>
        <w:tab/>
        <w:t>20 x 15 cm – od 1,6 m do 2,2 m</w:t>
      </w:r>
    </w:p>
    <w:p w:rsidR="001C0791" w:rsidRPr="00CF4449" w:rsidRDefault="007A137A" w:rsidP="00CF4449">
      <w:pPr>
        <w:pStyle w:val="Akapitzlist"/>
        <w:spacing w:line="276" w:lineRule="auto"/>
        <w:ind w:left="2484"/>
        <w:rPr>
          <w:rFonts w:ascii="Arial" w:hAnsi="Arial" w:cs="Arial"/>
          <w:color w:val="00000A"/>
          <w:kern w:val="2"/>
          <w:sz w:val="22"/>
          <w:szCs w:val="22"/>
        </w:rPr>
      </w:pPr>
      <w:r w:rsidRPr="00CF4449">
        <w:rPr>
          <w:rFonts w:ascii="Arial" w:hAnsi="Arial" w:cs="Arial"/>
          <w:color w:val="00000A"/>
          <w:kern w:val="2"/>
          <w:sz w:val="22"/>
          <w:szCs w:val="22"/>
        </w:rPr>
        <w:t>-</w:t>
      </w:r>
      <w:r w:rsidRPr="00CF4449">
        <w:rPr>
          <w:rFonts w:ascii="Arial" w:hAnsi="Arial" w:cs="Arial"/>
          <w:color w:val="00000A"/>
          <w:kern w:val="2"/>
          <w:sz w:val="22"/>
          <w:szCs w:val="22"/>
        </w:rPr>
        <w:tab/>
        <w:t>15 x 15 cm – od 0,85 m do 1,6 m</w:t>
      </w:r>
    </w:p>
    <w:p w:rsidR="001C0791" w:rsidRPr="00CF4449" w:rsidRDefault="007A137A" w:rsidP="00CF4449">
      <w:pPr>
        <w:pStyle w:val="Akapitzlist"/>
        <w:spacing w:line="276" w:lineRule="auto"/>
        <w:ind w:left="2484"/>
        <w:rPr>
          <w:rFonts w:ascii="Arial" w:hAnsi="Arial" w:cs="Arial"/>
          <w:color w:val="00000A"/>
          <w:kern w:val="2"/>
          <w:sz w:val="22"/>
          <w:szCs w:val="22"/>
        </w:rPr>
      </w:pPr>
      <w:r w:rsidRPr="00CF4449">
        <w:rPr>
          <w:rFonts w:ascii="Arial" w:hAnsi="Arial" w:cs="Arial"/>
          <w:color w:val="00000A"/>
          <w:kern w:val="2"/>
          <w:sz w:val="22"/>
          <w:szCs w:val="22"/>
        </w:rPr>
        <w:t>-</w:t>
      </w:r>
      <w:r w:rsidRPr="00CF4449">
        <w:rPr>
          <w:rFonts w:ascii="Arial" w:hAnsi="Arial" w:cs="Arial"/>
          <w:color w:val="00000A"/>
          <w:kern w:val="2"/>
          <w:sz w:val="22"/>
          <w:szCs w:val="22"/>
        </w:rPr>
        <w:tab/>
        <w:t>10 x 15 cm – od 0,75 m do 0,85 m,</w:t>
      </w:r>
    </w:p>
    <w:p w:rsidR="001C0791" w:rsidRPr="00CF4449" w:rsidRDefault="007A137A" w:rsidP="00CF4449">
      <w:pPr>
        <w:pStyle w:val="Akapitzlist"/>
        <w:spacing w:line="276" w:lineRule="auto"/>
        <w:ind w:left="2484"/>
        <w:rPr>
          <w:rFonts w:ascii="Arial" w:hAnsi="Arial" w:cs="Arial"/>
          <w:color w:val="00000A"/>
          <w:kern w:val="2"/>
          <w:sz w:val="22"/>
          <w:szCs w:val="22"/>
        </w:rPr>
      </w:pPr>
      <w:r w:rsidRPr="00CF4449">
        <w:rPr>
          <w:rFonts w:ascii="Arial" w:hAnsi="Arial" w:cs="Arial"/>
          <w:color w:val="00000A"/>
          <w:kern w:val="2"/>
          <w:sz w:val="22"/>
          <w:szCs w:val="22"/>
        </w:rPr>
        <w:t>-</w:t>
      </w:r>
      <w:r w:rsidRPr="00CF4449">
        <w:rPr>
          <w:rFonts w:ascii="Arial" w:hAnsi="Arial" w:cs="Arial"/>
          <w:color w:val="00000A"/>
          <w:kern w:val="2"/>
          <w:sz w:val="22"/>
          <w:szCs w:val="22"/>
        </w:rPr>
        <w:tab/>
        <w:t>5 x 15 cm – od 0,0 m do 0,75 m.</w:t>
      </w:r>
    </w:p>
    <w:p w:rsidR="00990435" w:rsidRPr="00CF4449" w:rsidRDefault="007A137A" w:rsidP="00CF4449">
      <w:pPr>
        <w:pStyle w:val="Akapitzlist"/>
        <w:numPr>
          <w:ilvl w:val="0"/>
          <w:numId w:val="1"/>
        </w:numPr>
        <w:spacing w:line="276" w:lineRule="auto"/>
        <w:rPr>
          <w:rFonts w:ascii="Arial" w:hAnsi="Arial" w:cs="Arial"/>
          <w:color w:val="00000A"/>
          <w:kern w:val="2"/>
          <w:sz w:val="22"/>
          <w:szCs w:val="22"/>
        </w:rPr>
      </w:pPr>
      <w:r w:rsidRPr="00CF4449">
        <w:rPr>
          <w:rFonts w:ascii="Arial" w:hAnsi="Arial" w:cs="Arial"/>
          <w:color w:val="00000A"/>
          <w:kern w:val="2"/>
          <w:sz w:val="22"/>
          <w:szCs w:val="22"/>
        </w:rPr>
        <w:t>Nadać niniejszej decyzji rygor natychmiastowej wykonalności.</w:t>
      </w:r>
    </w:p>
    <w:p w:rsidR="00990435" w:rsidRPr="00CF4449" w:rsidRDefault="007A137A" w:rsidP="00CF4449">
      <w:pPr>
        <w:spacing w:before="600" w:after="600" w:line="276" w:lineRule="auto"/>
        <w:rPr>
          <w:rFonts w:ascii="Arial" w:hAnsi="Arial" w:cs="Arial"/>
          <w:color w:val="00000A"/>
          <w:kern w:val="2"/>
          <w:sz w:val="22"/>
          <w:szCs w:val="22"/>
        </w:rPr>
      </w:pPr>
      <w:r w:rsidRPr="00CF4449">
        <w:rPr>
          <w:rFonts w:ascii="Arial" w:hAnsi="Arial" w:cs="Arial"/>
          <w:color w:val="00000A"/>
          <w:kern w:val="2"/>
          <w:sz w:val="22"/>
          <w:szCs w:val="22"/>
        </w:rPr>
        <w:t>Uzasadnienie</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Wnioskiem z 19 marca 2021 r. pełnomocnik Inwestora:</w:t>
      </w:r>
      <w:r w:rsidRPr="00CF4449">
        <w:rPr>
          <w:rFonts w:ascii="Arial" w:hAnsi="Arial" w:cs="Arial"/>
          <w:sz w:val="22"/>
          <w:szCs w:val="22"/>
          <w:lang w:eastAsia="pl-PL"/>
        </w:rPr>
        <w:t xml:space="preserve"> Generalnego Dyrektora Dróg Krajowych i Autostrad z siedzibą w Warszawie reprezentowanego przez Dyrektora Oddziału Generalnej Dyrekcji Dróg Krajowych i Autostrad w Katowicach</w:t>
      </w:r>
      <w:r w:rsidRPr="00CF4449">
        <w:rPr>
          <w:rFonts w:ascii="Arial" w:hAnsi="Arial" w:cs="Arial"/>
          <w:color w:val="00000A"/>
          <w:kern w:val="2"/>
          <w:sz w:val="22"/>
          <w:szCs w:val="22"/>
        </w:rPr>
        <w:t xml:space="preserve">, zwrócił się do Regionalnego Dyrektora Ochrony Środowiska w Katowicach o wydanie decyzji o środowiskowych dla przedsięwzięcia pn.: </w:t>
      </w:r>
      <w:r w:rsidRPr="00CF4449">
        <w:rPr>
          <w:rFonts w:ascii="Arial" w:hAnsi="Arial" w:cs="Arial"/>
          <w:sz w:val="22"/>
          <w:szCs w:val="22"/>
          <w:lang w:eastAsia="pl-PL"/>
        </w:rPr>
        <w:t>„Dobudowa 3 pasa autostrady A1 na odcinku od km 416+650 do km 418+200”.</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Do wniosku o wydanie decyzji o środowiskowych uwarunkowaniach załączono: </w:t>
      </w:r>
    </w:p>
    <w:p w:rsidR="003F6EE7" w:rsidRPr="00CF4449" w:rsidRDefault="007A137A" w:rsidP="00CF4449">
      <w:pPr>
        <w:numPr>
          <w:ilvl w:val="0"/>
          <w:numId w:val="4"/>
        </w:numPr>
        <w:spacing w:line="276" w:lineRule="auto"/>
        <w:rPr>
          <w:rFonts w:ascii="Arial" w:hAnsi="Arial" w:cs="Arial"/>
          <w:color w:val="00000A"/>
          <w:kern w:val="2"/>
          <w:sz w:val="22"/>
          <w:szCs w:val="22"/>
        </w:rPr>
      </w:pPr>
      <w:r w:rsidRPr="00CF4449">
        <w:rPr>
          <w:rFonts w:ascii="Arial" w:hAnsi="Arial" w:cs="Arial"/>
          <w:color w:val="00000A"/>
          <w:kern w:val="2"/>
          <w:sz w:val="22"/>
          <w:szCs w:val="22"/>
        </w:rPr>
        <w:t>kartę informacyjną przedsięwzięcia (dalej KIP), sporządzoną przez TRAKT Sp. z o.o. Sp. k. w marcu 2021 r., wraz z załącznikami do niej,</w:t>
      </w:r>
    </w:p>
    <w:p w:rsidR="003F6EE7" w:rsidRPr="00CF4449" w:rsidRDefault="007A137A" w:rsidP="00CF4449">
      <w:pPr>
        <w:numPr>
          <w:ilvl w:val="0"/>
          <w:numId w:val="4"/>
        </w:numPr>
        <w:spacing w:line="276" w:lineRule="auto"/>
        <w:rPr>
          <w:rFonts w:ascii="Arial" w:hAnsi="Arial" w:cs="Arial"/>
          <w:color w:val="00000A"/>
          <w:kern w:val="2"/>
          <w:sz w:val="22"/>
          <w:szCs w:val="22"/>
        </w:rPr>
      </w:pPr>
      <w:r w:rsidRPr="00CF4449">
        <w:rPr>
          <w:rFonts w:ascii="Arial" w:hAnsi="Arial" w:cs="Arial"/>
          <w:color w:val="00000A"/>
          <w:kern w:val="2"/>
          <w:sz w:val="22"/>
          <w:szCs w:val="22"/>
        </w:rPr>
        <w:t>zapis dokumentacji w formie elektronicznej na płycie CD,</w:t>
      </w:r>
    </w:p>
    <w:p w:rsidR="003F6EE7" w:rsidRPr="00CF4449" w:rsidRDefault="007A137A" w:rsidP="00CF4449">
      <w:pPr>
        <w:numPr>
          <w:ilvl w:val="0"/>
          <w:numId w:val="4"/>
        </w:numPr>
        <w:spacing w:line="276" w:lineRule="auto"/>
        <w:rPr>
          <w:rFonts w:ascii="Arial" w:hAnsi="Arial" w:cs="Arial"/>
          <w:color w:val="00000A"/>
          <w:kern w:val="2"/>
          <w:sz w:val="22"/>
          <w:szCs w:val="22"/>
        </w:rPr>
      </w:pPr>
      <w:r w:rsidRPr="00CF4449">
        <w:rPr>
          <w:rFonts w:ascii="Arial" w:hAnsi="Arial" w:cs="Arial"/>
          <w:color w:val="00000A"/>
          <w:kern w:val="2"/>
          <w:sz w:val="22"/>
          <w:szCs w:val="22"/>
        </w:rPr>
        <w:t>pełnomocnictwo,</w:t>
      </w:r>
    </w:p>
    <w:p w:rsidR="003F6EE7" w:rsidRPr="00CF4449" w:rsidRDefault="007A137A" w:rsidP="00CF4449">
      <w:pPr>
        <w:numPr>
          <w:ilvl w:val="0"/>
          <w:numId w:val="4"/>
        </w:numPr>
        <w:spacing w:line="276" w:lineRule="auto"/>
        <w:rPr>
          <w:rFonts w:ascii="Arial" w:hAnsi="Arial" w:cs="Arial"/>
          <w:color w:val="00000A"/>
          <w:kern w:val="2"/>
          <w:sz w:val="22"/>
          <w:szCs w:val="22"/>
        </w:rPr>
      </w:pPr>
      <w:r w:rsidRPr="00CF4449">
        <w:rPr>
          <w:rFonts w:ascii="Arial" w:eastAsiaTheme="minorHAnsi" w:hAnsi="Arial" w:cs="Arial"/>
          <w:sz w:val="22"/>
          <w:szCs w:val="22"/>
          <w:lang w:eastAsia="en-US"/>
        </w:rPr>
        <w:t>poświadczoną przez właściwy organ kopię mapy ewidencyjnej, w postaci</w:t>
      </w:r>
      <w:r w:rsidRPr="00CF4449">
        <w:rPr>
          <w:rFonts w:ascii="Arial" w:hAnsi="Arial" w:cs="Arial"/>
          <w:color w:val="00000A"/>
          <w:kern w:val="2"/>
          <w:sz w:val="22"/>
          <w:szCs w:val="22"/>
        </w:rPr>
        <w:t xml:space="preserve"> </w:t>
      </w:r>
      <w:r w:rsidRPr="00CF4449">
        <w:rPr>
          <w:rFonts w:ascii="Arial" w:eastAsiaTheme="minorHAnsi" w:hAnsi="Arial" w:cs="Arial"/>
          <w:sz w:val="22"/>
          <w:szCs w:val="22"/>
          <w:lang w:eastAsia="en-US"/>
        </w:rPr>
        <w:t>papierowej i elektronicznej, obejmującej przewidywany teren, na którym będzie</w:t>
      </w:r>
      <w:r w:rsidRPr="00CF4449">
        <w:rPr>
          <w:rFonts w:ascii="Arial" w:hAnsi="Arial" w:cs="Arial"/>
          <w:color w:val="00000A"/>
          <w:kern w:val="2"/>
          <w:sz w:val="22"/>
          <w:szCs w:val="22"/>
        </w:rPr>
        <w:t xml:space="preserve"> </w:t>
      </w:r>
      <w:r w:rsidRPr="00CF4449">
        <w:rPr>
          <w:rFonts w:ascii="Arial" w:eastAsiaTheme="minorHAnsi" w:hAnsi="Arial" w:cs="Arial"/>
          <w:sz w:val="22"/>
          <w:szCs w:val="22"/>
          <w:lang w:eastAsia="en-US"/>
        </w:rPr>
        <w:t>realizowane przedsięwzięcie, oraz przewidywany obszar na który będzie ono</w:t>
      </w:r>
      <w:r w:rsidRPr="00CF4449">
        <w:rPr>
          <w:rFonts w:ascii="Arial" w:hAnsi="Arial" w:cs="Arial"/>
          <w:color w:val="00000A"/>
          <w:kern w:val="2"/>
          <w:sz w:val="22"/>
          <w:szCs w:val="22"/>
        </w:rPr>
        <w:t xml:space="preserve"> </w:t>
      </w:r>
      <w:r w:rsidRPr="00CF4449">
        <w:rPr>
          <w:rFonts w:ascii="Arial" w:eastAsiaTheme="minorHAnsi" w:hAnsi="Arial" w:cs="Arial"/>
          <w:sz w:val="22"/>
          <w:szCs w:val="22"/>
          <w:lang w:eastAsia="en-US"/>
        </w:rPr>
        <w:t>oddziaływać,</w:t>
      </w:r>
    </w:p>
    <w:p w:rsidR="003F6EE7" w:rsidRPr="00CF4449" w:rsidRDefault="007A137A" w:rsidP="00CF4449">
      <w:pPr>
        <w:numPr>
          <w:ilvl w:val="0"/>
          <w:numId w:val="4"/>
        </w:numPr>
        <w:spacing w:line="276" w:lineRule="auto"/>
        <w:rPr>
          <w:rFonts w:ascii="Arial" w:hAnsi="Arial" w:cs="Arial"/>
          <w:color w:val="00000A"/>
          <w:kern w:val="2"/>
          <w:sz w:val="22"/>
          <w:szCs w:val="22"/>
        </w:rPr>
      </w:pPr>
      <w:r w:rsidRPr="00CF4449">
        <w:rPr>
          <w:rFonts w:ascii="Arial" w:eastAsiaTheme="minorHAnsi" w:hAnsi="Arial" w:cs="Arial"/>
          <w:sz w:val="22"/>
          <w:szCs w:val="22"/>
          <w:lang w:eastAsia="en-US"/>
        </w:rPr>
        <w:t>mapę, w postaci papierowej oraz elektronicznej, w skali zapewniającej</w:t>
      </w:r>
      <w:r w:rsidRPr="00CF4449">
        <w:rPr>
          <w:rFonts w:ascii="Arial" w:hAnsi="Arial" w:cs="Arial"/>
          <w:color w:val="00000A"/>
          <w:kern w:val="2"/>
          <w:sz w:val="22"/>
          <w:szCs w:val="22"/>
        </w:rPr>
        <w:t xml:space="preserve"> </w:t>
      </w:r>
      <w:r w:rsidRPr="00CF4449">
        <w:rPr>
          <w:rFonts w:ascii="Arial" w:eastAsiaTheme="minorHAnsi" w:hAnsi="Arial" w:cs="Arial"/>
          <w:sz w:val="22"/>
          <w:szCs w:val="22"/>
          <w:lang w:eastAsia="en-US"/>
        </w:rPr>
        <w:t>czytelność przedstawionych danych z zaznaczonym przewidywanym terenem, na</w:t>
      </w:r>
      <w:r w:rsidRPr="00CF4449">
        <w:rPr>
          <w:rFonts w:ascii="Arial" w:hAnsi="Arial" w:cs="Arial"/>
          <w:color w:val="00000A"/>
          <w:kern w:val="2"/>
          <w:sz w:val="22"/>
          <w:szCs w:val="22"/>
        </w:rPr>
        <w:t xml:space="preserve"> </w:t>
      </w:r>
      <w:r w:rsidRPr="00CF4449">
        <w:rPr>
          <w:rFonts w:ascii="Arial" w:eastAsiaTheme="minorHAnsi" w:hAnsi="Arial" w:cs="Arial"/>
          <w:sz w:val="22"/>
          <w:szCs w:val="22"/>
          <w:lang w:eastAsia="en-US"/>
        </w:rPr>
        <w:t>którym będzie realizowane przedsięwzięcie, oraz z zaznaczonym przewidywanym</w:t>
      </w:r>
      <w:r w:rsidRPr="00CF4449">
        <w:rPr>
          <w:rFonts w:ascii="Arial" w:hAnsi="Arial" w:cs="Arial"/>
          <w:color w:val="00000A"/>
          <w:kern w:val="2"/>
          <w:sz w:val="22"/>
          <w:szCs w:val="22"/>
        </w:rPr>
        <w:t xml:space="preserve"> </w:t>
      </w:r>
      <w:r w:rsidRPr="00CF4449">
        <w:rPr>
          <w:rFonts w:ascii="Arial" w:eastAsiaTheme="minorHAnsi" w:hAnsi="Arial" w:cs="Arial"/>
          <w:sz w:val="22"/>
          <w:szCs w:val="22"/>
          <w:lang w:eastAsia="en-US"/>
        </w:rPr>
        <w:t>obszarem, na który będzie ono oddziaływać.</w:t>
      </w:r>
    </w:p>
    <w:p w:rsidR="003F6EE7" w:rsidRPr="00CF4449" w:rsidRDefault="007A137A" w:rsidP="00CF4449">
      <w:pPr>
        <w:spacing w:before="120" w:after="240" w:line="276" w:lineRule="auto"/>
        <w:rPr>
          <w:rFonts w:ascii="Arial" w:hAnsi="Arial" w:cs="Arial"/>
          <w:color w:val="00000A"/>
          <w:kern w:val="2"/>
          <w:sz w:val="22"/>
          <w:szCs w:val="22"/>
        </w:rPr>
      </w:pPr>
      <w:r w:rsidRPr="00CF4449">
        <w:rPr>
          <w:rFonts w:ascii="Arial" w:hAnsi="Arial" w:cs="Arial"/>
          <w:color w:val="00000A"/>
          <w:kern w:val="2"/>
          <w:sz w:val="22"/>
          <w:szCs w:val="22"/>
        </w:rPr>
        <w:t>Wszystkie wyżej przedstawione dokumenty były podstawą do analizy i oceny wpływu planowanego przedsięwzięcia na środowisko.</w:t>
      </w:r>
    </w:p>
    <w:p w:rsidR="003F6EE7" w:rsidRPr="00CF4449" w:rsidRDefault="007A137A" w:rsidP="00CF4449">
      <w:pPr>
        <w:spacing w:before="120" w:line="276" w:lineRule="auto"/>
        <w:rPr>
          <w:rFonts w:ascii="Arial" w:hAnsi="Arial" w:cs="Arial"/>
          <w:sz w:val="22"/>
          <w:szCs w:val="22"/>
        </w:rPr>
      </w:pPr>
      <w:r w:rsidRPr="00CF4449">
        <w:rPr>
          <w:rFonts w:ascii="Arial" w:hAnsi="Arial" w:cs="Arial"/>
          <w:sz w:val="22"/>
          <w:szCs w:val="22"/>
        </w:rPr>
        <w:t>Planowane zamierzenie kwalifikuje się do przedsięwzięć mogących potencjalnie znacząco oddziaływać na środowisko zgodnie z § 3 ust. 2 pkt 1 – jako polegające na rozbudowie, przebudowie lub montażu zrealizowanego przedsięwzięcia wymienionego w § 2 ust. 1 i niespełniające kryteriów, o których mowa w § 2 ust. 2 pkt 1 w związku z § 2 ust. 1 pkt 31  – autostrady i drogi ekspresowe, Rozporządzenia Rady Ministrów z dnia 10 września 2019 r. w sprawie przedsięwzięć mogących znacząco oddziaływać na środowisko (tj. Dz. U. 2019, poz. 1839).</w:t>
      </w:r>
    </w:p>
    <w:p w:rsidR="004F6E02" w:rsidRPr="00CF4449" w:rsidRDefault="007A137A" w:rsidP="00CF4449">
      <w:pPr>
        <w:spacing w:before="120" w:line="276" w:lineRule="auto"/>
        <w:rPr>
          <w:rFonts w:ascii="Arial" w:hAnsi="Arial" w:cs="Arial"/>
          <w:sz w:val="22"/>
          <w:szCs w:val="22"/>
        </w:rPr>
      </w:pPr>
      <w:r w:rsidRPr="00CF4449">
        <w:rPr>
          <w:rFonts w:ascii="Arial" w:hAnsi="Arial" w:cs="Arial"/>
          <w:sz w:val="22"/>
          <w:szCs w:val="22"/>
        </w:rPr>
        <w:t>Dla analizowanego odcinka autostrady A1 wydano decyzję o środowiskowych uwarunkowaniach zgody na realizację przedsięwzięcia (decyzja wydana przez Regionalnego Dyrektora Ochrony Środowiska w Katowicach z dnia 2 lutego 2009 r. sygn. RDOŚ-24-</w:t>
      </w:r>
      <w:r w:rsidRPr="00CF4449">
        <w:rPr>
          <w:rFonts w:ascii="Arial" w:hAnsi="Arial" w:cs="Arial"/>
          <w:sz w:val="22"/>
          <w:szCs w:val="22"/>
        </w:rPr>
        <w:lastRenderedPageBreak/>
        <w:t>WOOŚ/66130/47/08/JB, która następnie została zmieniona decyzją Generalnego Dyrektora Ochrony Środowiska z dnia 5 maja 2009 r. sygn. DOOŚidk-452/28/203/09/ew-8).</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Biorąc pod uwagę powyższe, zgodnie z art. 75 ust. 1 pkt 1 lit. p ustawy ooś organem właściwym do wydania decyzji o środowiskowych uwarunkowaniach dla przedmiotowego przedsięwzięcia jest Regionalny Dyrektor Ochrony Środowiska w Katowicach.</w:t>
      </w:r>
    </w:p>
    <w:p w:rsidR="003F6EE7" w:rsidRPr="00CF4449" w:rsidRDefault="007A137A" w:rsidP="00CF4449">
      <w:pPr>
        <w:autoSpaceDE w:val="0"/>
        <w:autoSpaceDN w:val="0"/>
        <w:adjustRightInd w:val="0"/>
        <w:spacing w:before="120" w:line="276" w:lineRule="auto"/>
        <w:rPr>
          <w:rFonts w:ascii="Arial" w:hAnsi="Arial" w:cs="Arial"/>
          <w:sz w:val="22"/>
          <w:szCs w:val="22"/>
        </w:rPr>
      </w:pPr>
      <w:r w:rsidRPr="00CF4449">
        <w:rPr>
          <w:rFonts w:ascii="Arial" w:hAnsi="Arial" w:cs="Arial"/>
          <w:sz w:val="22"/>
          <w:szCs w:val="22"/>
        </w:rPr>
        <w:t>Dane o złożonym wniosku zostały umieszczone w publicznie dostępnym wykazie danych o dokumentach zawierających informacje o środowisku i jego ochronie (EKOPORTAL) prowadzonym przez Regionalnego Dyrektora Ochrony Środowiska w Katowicach oraz w systemie „Baza danych o ocenach oddziaływania przedsięwzięcia na środowisko oraz strategicznych ocenach oddziaływania na środowisko” prowadzonym przez Generalną Dyrekcję Ochrony Środowiska.</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tut. Organ zastosował przepisy art. 49 Kpa, powiadamiając o wszczęciu postępowania zawiadomieniem z 6 kwietnia 2021 r., znak: WOOŚ.420.8.2021.JŻ.1.</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Zawiadomienie zamieszczono na okres 14 dni na tablicy ogłoszeń oraz w Biuletynie Informacji Publicznej Regionalnej Dyrekcji Ochrony Środowiska w Katowicach. </w:t>
      </w:r>
    </w:p>
    <w:p w:rsidR="00EA21AA"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Wypełniając dyspozycję art. 61 § 4 ustawy Kpa, powiadomiono strony postępowania o wszczęciu postępowania administracyjnego oraz kolejnych jego etapach, a także o prawie do czynnego udziału w każdym stadium postępowania administracyjnego, w tym prawie do przeglądania akt sprawy, sporządzania z nich notatek i odpisów oraz do zgłaszania ewentualnych uwag i wniosków.</w:t>
      </w:r>
    </w:p>
    <w:p w:rsidR="00EA21AA"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Przedmiotowe zawiadomienie pismem z 6 kwietnia 2021 r., znak: WOOŚ.420.8.2021.JŻ.2 przekazano do Gminy Mykanów, Gminy Rędziny i Miasta Częstochowy celem podania do wiadomości stronom w sposób zwyczajowo przyjęty w ww. organach. </w:t>
      </w:r>
    </w:p>
    <w:p w:rsidR="005F6625"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Pismem z 8 kwietnia 2021 r. Regionalny Dyrektor Ochrony Środowiska w Katowicach na podstawie art. 50 kpa wezwał pełnomocnika Inwestora do uzupełnienia KIP w zakresie </w:t>
      </w:r>
      <w:r w:rsidRPr="00CF4449">
        <w:rPr>
          <w:rFonts w:ascii="Arial" w:hAnsi="Arial" w:cs="Arial"/>
          <w:kern w:val="2"/>
          <w:sz w:val="22"/>
          <w:szCs w:val="22"/>
        </w:rPr>
        <w:t>m.in. emisji zanieczyszczeń do powietrza, uszc</w:t>
      </w:r>
      <w:r w:rsidRPr="00CF4449">
        <w:rPr>
          <w:rFonts w:ascii="Arial" w:hAnsi="Arial" w:cs="Arial"/>
          <w:color w:val="00000A"/>
          <w:kern w:val="2"/>
          <w:sz w:val="22"/>
          <w:szCs w:val="22"/>
        </w:rPr>
        <w:t>zegółowienia informacji dotyczących odprowadzenia wód opadowych, zweryfikowania danych dotyczących wartości ruchu pojazdów.</w:t>
      </w:r>
    </w:p>
    <w:p w:rsidR="00DC0094"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Pismem z 20 kwietnia 2021 r. pełnomocnik Inwestora przekazał uzupełnienie KIP (aneks nr 1).</w:t>
      </w:r>
    </w:p>
    <w:p w:rsidR="003501FC"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Po zapoznaniu się z uzupełnieniem Regionalny Dyrektor Ochrony Środowiska w Katowicach pismem z 4 maja 2021 r. znak: WOOS.420.8.2021.JŻ.4 ponownie wezwał wnioskodawcę do uzupełnienia informacji w zakresie m.in. gospodarki wodami opadowymi.</w:t>
      </w:r>
    </w:p>
    <w:p w:rsidR="003501FC"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Pismem z 12 maja 2021 r. pełnomocnik Inwestora przekazał uzupełnienie KIP (aneks nr 2).</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Na podstawie art. 64 ust. 1 pkt 2 i 4  ustawy ooś Regionalny Dyrektor Ochrony Środowiska w Katowicach pismami z 18 maja 2021 r., znak: WOOŚ.420.18.2021.JŻ.5 oraz odpowiednio WOOŚ.420.8.2021.JŻ.6 wystąpił do Regionalnego Zarządu Gospodarki Wodnej w Poznaniu oraz do Państwowego Powiatowego Inspektora Sanitarnego Częstochowie o wyrażenie opinii odnośnie do obowiązku przeprowadzenia oceny oddziaływania na środowisko dla </w:t>
      </w:r>
      <w:r w:rsidRPr="00CF4449">
        <w:rPr>
          <w:rFonts w:ascii="Arial" w:hAnsi="Arial" w:cs="Arial"/>
          <w:color w:val="00000A"/>
          <w:kern w:val="2"/>
          <w:sz w:val="22"/>
          <w:szCs w:val="22"/>
        </w:rPr>
        <w:lastRenderedPageBreak/>
        <w:t>przedmiotowego przedsięwzięcia, a w przypadku stwierdzenia takiej potrzeby - o określenie zakresu raportu o oddziaływaniu na środowisko.</w:t>
      </w:r>
    </w:p>
    <w:p w:rsidR="001202CB"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Zawiadomieniem z 21 maja 2021 r. tutejszy Organ poinformował strony postępowania o przekazaniu wniosku o wydanie opinii do Regionalnego Zarządu Gospodarki Wodnej w Poznaniu oraz do Państwowego Powiatowego Inspektora Sanitarnego Częstochowie, jednocześnie wskazując nowy termin wydania postanowienia </w:t>
      </w:r>
      <w:r w:rsidRPr="00CF4449">
        <w:rPr>
          <w:rFonts w:ascii="Arial" w:eastAsiaTheme="minorHAnsi" w:hAnsi="Arial" w:cs="Arial"/>
          <w:sz w:val="22"/>
          <w:szCs w:val="22"/>
          <w:lang w:eastAsia="en-US"/>
        </w:rPr>
        <w:t xml:space="preserve">o którym mowa w art. 63 ust. 1 ustawy ooś. Zawiadomienie </w:t>
      </w:r>
      <w:r w:rsidRPr="00CF4449">
        <w:rPr>
          <w:rFonts w:ascii="Arial" w:hAnsi="Arial" w:cs="Arial"/>
          <w:color w:val="00000A"/>
          <w:kern w:val="2"/>
          <w:sz w:val="22"/>
          <w:szCs w:val="22"/>
        </w:rPr>
        <w:t>przekazano również do Gminy Mykanów, Gminy Rędziny i Miasta Częstochowy celem podania do wiadomości stronom w sposób zwyczajowo przyjęty w ww. organach.</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Pismem z 1 czerwca 2021 r. znak.: NS-NZ.9022.164.2021 Państwowy Powiatowy Inspektor Sanitarny w Częstochowie wyraził opinię o braku konieczności przeprowadzenia oceny oddziaływania na środowisko dla przedmiotowego przedsięwzięcia. </w:t>
      </w:r>
    </w:p>
    <w:p w:rsidR="00AE5E7B"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Dyrektor Regionalnego Zarządu Gospodarki Wodnej Wód Polskich w Poznaniu  pismem z 28 maja 2021 r. znak.: PO.RZŚ.435.66.2021.AO wezwał do przedstawienia dodatkowych uzupełnień/wyjaśnień do KIP w zakresie odprowadzenia wód opadowych i roztopowych z powierzchni uszczelnionych, umożliwiających pełną i właściwą ocenę zakresu oddziaływania przedsięwzięcia na cele środowiskowe jednolitych części wód. </w:t>
      </w:r>
    </w:p>
    <w:p w:rsidR="00AE5E7B"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Pełnomocnik Inwestora, w wyniku wezwania Regionalnego Dyrektora Ochrony Środowiska w Katowicach pismem z 11 czerwca przekazał uzupełnienie KIP (aneks nr 3).</w:t>
      </w:r>
    </w:p>
    <w:p w:rsidR="00AE5E7B"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Ww. aneks został przekazany do Regionalnego Zarządy Gospodarki Wodnej w Poznaniu (pismo z 15 czerwca 2021 r. znak: WOOS.420.8.2021.JŻ.13).</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Pismem z 29 czerwca 2021 r. znak.: PO.RZŚ.435.66.2021.AO Dyrektor Regionalnego Zarządu Gospodarki Wodnej Wód Polskich w Poznaniu wyraził opinię, że nie ma obowiązku przeprowadzenia oceny oddziaływania na środowisko dla ww. przedsięwzięcia, jednocześnie wskazując warunki konieczne do ujęcia w decyzji o środowiskowych uwarunkowaniach. </w:t>
      </w:r>
    </w:p>
    <w:p w:rsidR="00C93C22" w:rsidRPr="00CF4449" w:rsidRDefault="007A137A" w:rsidP="00CF4449">
      <w:pPr>
        <w:spacing w:before="120" w:line="276" w:lineRule="auto"/>
        <w:rPr>
          <w:rFonts w:ascii="Arial" w:hAnsi="Arial" w:cs="Arial"/>
          <w:color w:val="00000A"/>
          <w:kern w:val="2"/>
          <w:sz w:val="22"/>
          <w:szCs w:val="22"/>
        </w:rPr>
      </w:pPr>
      <w:r w:rsidRPr="00CF4449">
        <w:rPr>
          <w:rFonts w:ascii="Arial" w:eastAsiaTheme="minorHAnsi" w:hAnsi="Arial" w:cs="Arial"/>
          <w:sz w:val="22"/>
          <w:szCs w:val="22"/>
          <w:lang w:eastAsia="en-US"/>
        </w:rPr>
        <w:t xml:space="preserve">Tut. Organ nie wystąpił ponownie z wnioskiem do </w:t>
      </w:r>
      <w:r w:rsidRPr="00CF4449">
        <w:rPr>
          <w:rFonts w:ascii="Arial" w:hAnsi="Arial" w:cs="Arial"/>
          <w:color w:val="00000A"/>
          <w:kern w:val="2"/>
          <w:sz w:val="22"/>
          <w:szCs w:val="22"/>
        </w:rPr>
        <w:t>Państwowego Powiatowego Inspektora Sanitarnego Częstochowie</w:t>
      </w:r>
      <w:r w:rsidRPr="00CF4449">
        <w:rPr>
          <w:rFonts w:ascii="Arial" w:eastAsiaTheme="minorHAnsi" w:hAnsi="Arial" w:cs="Arial"/>
          <w:sz w:val="22"/>
          <w:szCs w:val="22"/>
          <w:lang w:eastAsia="en-US"/>
        </w:rPr>
        <w:t xml:space="preserve"> w związku z uzupełnieniem KIP na wniosek </w:t>
      </w:r>
      <w:r w:rsidRPr="00CF4449">
        <w:rPr>
          <w:rFonts w:ascii="Arial" w:hAnsi="Arial" w:cs="Arial"/>
          <w:color w:val="00000A"/>
          <w:kern w:val="2"/>
          <w:sz w:val="22"/>
          <w:szCs w:val="22"/>
        </w:rPr>
        <w:t>Dyrektora Regionalnego Zarządu Gospodarki Wodnej Wód Polskich w Poznaniu</w:t>
      </w:r>
      <w:r w:rsidRPr="00CF4449">
        <w:rPr>
          <w:rFonts w:ascii="Arial" w:eastAsiaTheme="minorHAnsi" w:hAnsi="Arial" w:cs="Arial"/>
          <w:sz w:val="22"/>
          <w:szCs w:val="22"/>
          <w:lang w:eastAsia="en-US"/>
        </w:rPr>
        <w:t xml:space="preserve"> ponieważ zakres wezwań dotyczył jedynie doprecyzowania informacji zawartych w dokumentacji (w związku z uzupełnieniami nie doszło do zmian w pierwotnych założeniach inwestycyjnych).</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Z zachowaniem zasady czynnego udziału stron w postępowaniu, zgodnie z art. 10 § 1 ustawy Kpa, zawiadomiono strony postępowania o zakończeniu postępowania dowodowego w sprawie wydania decyzji o środowiskowych uwarunkowaniach dla przedmiotowego przedsięwzięcia oraz o możliwości zapoznania się z zebranym materiałem dowodowym i złożenia ewentualnych uwag. Jednocześnie Organ zgodnie z art. 36 wskazał termin wydania decyzji o środowiskowych uwarunkowaniach (Zawiadomienie Regionalnego Dyrektora Ochrony Środowiska w Katowicach z 16 lipca 2021 r., znak: WOOŚ.420.8.2021.JŻ.18). </w:t>
      </w:r>
    </w:p>
    <w:p w:rsidR="009D2209"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Zawiadomienie zamieszczono na okres 14 dni na tablicy ogłoszeń oraz w Biuletynie Informacji Publicznej Regionalnej Dyrekcji Ochrony Środowiska w Katowicach. </w:t>
      </w:r>
      <w:r w:rsidRPr="00CF4449">
        <w:rPr>
          <w:rFonts w:ascii="Arial" w:eastAsiaTheme="minorHAnsi" w:hAnsi="Arial" w:cs="Arial"/>
          <w:sz w:val="22"/>
          <w:szCs w:val="22"/>
          <w:lang w:eastAsia="en-US"/>
        </w:rPr>
        <w:t xml:space="preserve">Zawiadomienie </w:t>
      </w:r>
      <w:r w:rsidRPr="00CF4449">
        <w:rPr>
          <w:rFonts w:ascii="Arial" w:hAnsi="Arial" w:cs="Arial"/>
          <w:color w:val="00000A"/>
          <w:kern w:val="2"/>
          <w:sz w:val="22"/>
          <w:szCs w:val="22"/>
        </w:rPr>
        <w:t>przekazano również do Gminy Mykanów, Gminy Rędziny i Miasta Częstochowy celem podania do wiadomości stronom w sposób zwyczajowo przyjęty w ww. organach.</w:t>
      </w:r>
    </w:p>
    <w:p w:rsidR="00933A61" w:rsidRPr="00CF4449" w:rsidRDefault="007A137A" w:rsidP="00CF4449">
      <w:pPr>
        <w:spacing w:before="120" w:after="120" w:line="276" w:lineRule="auto"/>
        <w:rPr>
          <w:rFonts w:ascii="Arial" w:hAnsi="Arial" w:cs="Arial"/>
          <w:color w:val="00000A"/>
          <w:kern w:val="2"/>
          <w:sz w:val="22"/>
          <w:szCs w:val="22"/>
        </w:rPr>
      </w:pPr>
      <w:r w:rsidRPr="00CF4449">
        <w:rPr>
          <w:rFonts w:ascii="Arial" w:hAnsi="Arial" w:cs="Arial"/>
          <w:color w:val="00000A"/>
          <w:kern w:val="2"/>
          <w:sz w:val="22"/>
          <w:szCs w:val="22"/>
        </w:rPr>
        <w:lastRenderedPageBreak/>
        <w:t>Do dnia wydania niniejszej decyzji żadna ze stron postępowania nie zgłosiła się do tutejszego Organu, aby zapoznać się z aktami sprawy. Strony postępowania nie wniosły też uwag i wniosków.</w:t>
      </w:r>
    </w:p>
    <w:p w:rsidR="003F6EE7" w:rsidRPr="00CF4449" w:rsidRDefault="007A137A" w:rsidP="00CF4449">
      <w:pPr>
        <w:spacing w:after="120" w:line="276" w:lineRule="auto"/>
        <w:rPr>
          <w:rFonts w:ascii="Arial" w:eastAsia="ArialNarrow;MS Mincho" w:hAnsi="Arial" w:cs="Arial"/>
          <w:color w:val="00000A"/>
          <w:kern w:val="2"/>
          <w:sz w:val="22"/>
          <w:szCs w:val="22"/>
        </w:rPr>
      </w:pPr>
      <w:r w:rsidRPr="00CF4449">
        <w:rPr>
          <w:rFonts w:ascii="Arial" w:eastAsia="ArialNarrow;MS Mincho" w:hAnsi="Arial" w:cs="Arial"/>
          <w:color w:val="00000A"/>
          <w:kern w:val="2"/>
          <w:sz w:val="22"/>
          <w:szCs w:val="22"/>
        </w:rPr>
        <w:t xml:space="preserve">Zgodnie z art. 80 ust. 2 </w:t>
      </w:r>
      <w:r w:rsidRPr="00CF4449">
        <w:rPr>
          <w:rFonts w:ascii="Arial" w:hAnsi="Arial" w:cs="Arial"/>
          <w:color w:val="00000A"/>
          <w:kern w:val="2"/>
          <w:sz w:val="22"/>
          <w:szCs w:val="22"/>
        </w:rPr>
        <w:t>ustawy ooś</w:t>
      </w:r>
      <w:r w:rsidRPr="00CF4449">
        <w:rPr>
          <w:rFonts w:ascii="Arial" w:eastAsia="ArialNarrow;MS Mincho" w:hAnsi="Arial" w:cs="Arial"/>
          <w:color w:val="00000A"/>
          <w:kern w:val="2"/>
          <w:sz w:val="22"/>
          <w:szCs w:val="22"/>
        </w:rPr>
        <w:t xml:space="preserve"> właściwy organ wydaje decyzję o środowiskowych uwarunkowaniach po stwierdzeniu zgodności lokalizacji przedsięwzięcia z ustaleniami miejscowego planu zagospodarowania przestrzennego, jeżeli plan ten został uchwalony. Przedmiotem przedsięwzięcia jest przebudowa drogi publicznej, wydanie niniejszej decyzji nie jest zatem uzależnione od stwierdzenia zgodności lokalizacji planowanej przebudowy drogi z ustaleniami miejscowego planu zagospodarowania przestrzennego (na postawi wyłączenia wskazanego w ww. artykule).</w:t>
      </w:r>
    </w:p>
    <w:p w:rsidR="006C59A7" w:rsidRPr="00CF4449" w:rsidRDefault="007A137A" w:rsidP="00CF4449">
      <w:pPr>
        <w:pStyle w:val="AtekstROOS"/>
        <w:spacing w:before="0" w:beforeAutospacing="0" w:after="0" w:afterAutospacing="0" w:line="276" w:lineRule="auto"/>
        <w:ind w:firstLine="0"/>
        <w:jc w:val="left"/>
        <w:rPr>
          <w:rFonts w:cs="Arial"/>
          <w:sz w:val="22"/>
          <w:szCs w:val="22"/>
        </w:rPr>
      </w:pPr>
      <w:r w:rsidRPr="00CF4449">
        <w:rPr>
          <w:rFonts w:cs="Arial"/>
          <w:sz w:val="22"/>
          <w:szCs w:val="22"/>
        </w:rPr>
        <w:t>Przedmiotem inwestycji jest rozbudowa istniejącej autostrady A1 do układu docelowego –2 jezdnie po 3 pasy ruchu.</w:t>
      </w:r>
      <w:r w:rsidRPr="00CF4449">
        <w:rPr>
          <w:rFonts w:cs="Arial"/>
          <w:color w:val="000000"/>
          <w:sz w:val="22"/>
          <w:szCs w:val="22"/>
        </w:rPr>
        <w:t xml:space="preserve"> Dobudowa trzeciego pasa zostanie zrealizowana na odcinku od km 416+650 do km 418+200 w istniejącym pasie rozdziału autostrady A1.</w:t>
      </w:r>
    </w:p>
    <w:p w:rsidR="006C59A7" w:rsidRPr="00CF4449" w:rsidRDefault="007A137A" w:rsidP="00CF4449">
      <w:pPr>
        <w:pStyle w:val="AtekstROOS"/>
        <w:spacing w:before="0" w:beforeAutospacing="0" w:after="0" w:afterAutospacing="0" w:line="276" w:lineRule="auto"/>
        <w:ind w:firstLine="0"/>
        <w:jc w:val="left"/>
        <w:rPr>
          <w:rFonts w:cs="Arial"/>
          <w:sz w:val="22"/>
          <w:szCs w:val="22"/>
        </w:rPr>
      </w:pPr>
      <w:r w:rsidRPr="00CF4449">
        <w:rPr>
          <w:rFonts w:cs="Arial"/>
          <w:sz w:val="22"/>
          <w:szCs w:val="22"/>
        </w:rPr>
        <w:t>Podstawowe cele inwestycji to:</w:t>
      </w:r>
    </w:p>
    <w:p w:rsidR="006C59A7" w:rsidRPr="00CF4449" w:rsidRDefault="007A137A" w:rsidP="00CF4449">
      <w:pPr>
        <w:pStyle w:val="wyliczanie"/>
        <w:numPr>
          <w:ilvl w:val="0"/>
          <w:numId w:val="0"/>
        </w:numPr>
        <w:shd w:val="clear" w:color="auto" w:fill="FFFFFF" w:themeFill="background1"/>
        <w:spacing w:after="0" w:line="276" w:lineRule="auto"/>
        <w:jc w:val="left"/>
        <w:rPr>
          <w:rFonts w:cs="Arial"/>
          <w:sz w:val="22"/>
        </w:rPr>
      </w:pPr>
      <w:r w:rsidRPr="00CF4449">
        <w:rPr>
          <w:rFonts w:cs="Arial"/>
          <w:sz w:val="22"/>
        </w:rPr>
        <w:t>-</w:t>
      </w:r>
      <w:r w:rsidRPr="00CF4449">
        <w:rPr>
          <w:rFonts w:cs="Arial"/>
          <w:sz w:val="22"/>
        </w:rPr>
        <w:tab/>
        <w:t>poprawa bezpieczeństwa ruchu w korytarzu drogi krajowej nr 1,</w:t>
      </w:r>
    </w:p>
    <w:p w:rsidR="00702305" w:rsidRPr="00CF4449" w:rsidRDefault="007A137A" w:rsidP="00CF4449">
      <w:pPr>
        <w:pStyle w:val="wyliczanie"/>
        <w:numPr>
          <w:ilvl w:val="0"/>
          <w:numId w:val="0"/>
        </w:numPr>
        <w:spacing w:line="276" w:lineRule="auto"/>
        <w:jc w:val="left"/>
        <w:rPr>
          <w:rFonts w:cs="Arial"/>
          <w:sz w:val="22"/>
        </w:rPr>
      </w:pPr>
      <w:r w:rsidRPr="00CF4449">
        <w:rPr>
          <w:rFonts w:cs="Arial"/>
          <w:sz w:val="22"/>
        </w:rPr>
        <w:t>-</w:t>
      </w:r>
      <w:r w:rsidRPr="00CF4449">
        <w:rPr>
          <w:rFonts w:cs="Arial"/>
          <w:sz w:val="22"/>
        </w:rPr>
        <w:tab/>
        <w:t xml:space="preserve">zwiększenie przepustowości i prędkości ruchu tranzytowego w Korytarzu Paneuropejskim. Dobudowa trzeciego pasa autostrady A1 </w:t>
      </w:r>
      <w:r w:rsidRPr="00CF4449">
        <w:rPr>
          <w:rFonts w:cs="Arial"/>
          <w:color w:val="000000"/>
          <w:sz w:val="22"/>
        </w:rPr>
        <w:t>ma na celu poprawę bezpieczeństwa ruchu poprzez przesunięcie obecnego miejsca zwężenia z 3 do 2 pasów z okolic km 416+650 w kierunku południowym do km 418+200, czyli za łącznicę zjazdową na węzeł Rząsawa. W miejscu zjazdu na węzeł Rząsawa zmienia się znacząco struktura i natężenie ruchu, a dobudowa 3 pasa wydłuża tym samym odcinek gdzie może dochodzić do największego mieszania się ruchu pomiędzy poszczególnymi pasami. Ograniczy to w sposób znaczący ryzyko powstawania kolizji na tym odcinku drogi oraz poprawi przepustowość na odcinku objętym opracowaniem. Rozbudowa autostrady upłynni ruch w miejscu połączenia autostrady A1 z drogą krajową nr 1.</w:t>
      </w:r>
    </w:p>
    <w:p w:rsidR="00702305" w:rsidRPr="00CF4449" w:rsidRDefault="007A137A" w:rsidP="00CF4449">
      <w:pPr>
        <w:pStyle w:val="wyliczanie"/>
        <w:numPr>
          <w:ilvl w:val="0"/>
          <w:numId w:val="0"/>
        </w:numPr>
        <w:spacing w:line="276" w:lineRule="auto"/>
        <w:jc w:val="left"/>
        <w:rPr>
          <w:rFonts w:cs="Arial"/>
          <w:sz w:val="22"/>
        </w:rPr>
      </w:pPr>
      <w:r w:rsidRPr="00CF4449">
        <w:rPr>
          <w:rFonts w:cs="Arial"/>
          <w:color w:val="000000"/>
          <w:sz w:val="22"/>
        </w:rPr>
        <w:t xml:space="preserve">Ogólny zakres inwestycji przewiduje </w:t>
      </w:r>
      <w:r w:rsidRPr="00CF4449">
        <w:rPr>
          <w:rFonts w:cs="Arial"/>
          <w:sz w:val="22"/>
        </w:rPr>
        <w:t>budowę trzeciego pasa jezdni autostrady A1 w nawierzchni betonowej o długości ok. 1,55 km wraz z urządzeniami bezpieczeństwa ruchu takimi jak: bariery ochronne, oznakowanie pionowe i poziome.</w:t>
      </w:r>
    </w:p>
    <w:p w:rsidR="00B51E51" w:rsidRPr="00CF4449" w:rsidRDefault="007A137A" w:rsidP="00CF4449">
      <w:pPr>
        <w:suppressAutoHyphens w:val="0"/>
        <w:autoSpaceDE w:val="0"/>
        <w:autoSpaceDN w:val="0"/>
        <w:adjustRightInd w:val="0"/>
        <w:spacing w:line="276" w:lineRule="auto"/>
        <w:rPr>
          <w:rFonts w:ascii="Arial" w:eastAsiaTheme="minorHAnsi" w:hAnsi="Arial" w:cs="Arial"/>
          <w:sz w:val="22"/>
          <w:szCs w:val="22"/>
          <w:lang w:eastAsia="en-US"/>
        </w:rPr>
      </w:pPr>
      <w:r w:rsidRPr="00CF4449">
        <w:rPr>
          <w:rFonts w:ascii="Arial" w:hAnsi="Arial" w:cs="Arial"/>
          <w:sz w:val="22"/>
          <w:szCs w:val="22"/>
        </w:rPr>
        <w:t>W karcie z</w:t>
      </w:r>
      <w:r w:rsidRPr="00CF4449">
        <w:rPr>
          <w:rFonts w:ascii="Arial" w:eastAsiaTheme="minorHAnsi" w:hAnsi="Arial" w:cs="Arial"/>
          <w:sz w:val="22"/>
          <w:szCs w:val="22"/>
          <w:lang w:eastAsia="en-US"/>
        </w:rPr>
        <w:t xml:space="preserve">aproponowane </w:t>
      </w:r>
      <w:r w:rsidRPr="00CF4449">
        <w:rPr>
          <w:rFonts w:ascii="Arial" w:hAnsi="Arial" w:cs="Arial"/>
          <w:sz w:val="22"/>
          <w:szCs w:val="22"/>
        </w:rPr>
        <w:t xml:space="preserve">zostały </w:t>
      </w:r>
      <w:r w:rsidRPr="00CF4449">
        <w:rPr>
          <w:rFonts w:ascii="Arial" w:eastAsiaTheme="minorHAnsi" w:hAnsi="Arial" w:cs="Arial"/>
          <w:sz w:val="22"/>
          <w:szCs w:val="22"/>
          <w:lang w:eastAsia="en-US"/>
        </w:rPr>
        <w:t xml:space="preserve">2 </w:t>
      </w:r>
      <w:r w:rsidRPr="00CF4449">
        <w:rPr>
          <w:rFonts w:ascii="Arial" w:hAnsi="Arial" w:cs="Arial"/>
          <w:sz w:val="22"/>
          <w:szCs w:val="22"/>
        </w:rPr>
        <w:t>w</w:t>
      </w:r>
      <w:r w:rsidRPr="00CF4449">
        <w:rPr>
          <w:rFonts w:ascii="Arial" w:eastAsiaTheme="minorHAnsi" w:hAnsi="Arial" w:cs="Arial"/>
          <w:sz w:val="22"/>
          <w:szCs w:val="22"/>
          <w:lang w:eastAsia="en-US"/>
        </w:rPr>
        <w:t xml:space="preserve">arianty planowanego przedsięwzięcia tj. wariant realizacyjny i wariant zerowy, który polega na niepodejmowaniu realizacji przedmiotowej inwestycji. </w:t>
      </w:r>
    </w:p>
    <w:p w:rsidR="00B51E51" w:rsidRPr="00CF4449" w:rsidRDefault="007A137A" w:rsidP="00CF4449">
      <w:pPr>
        <w:suppressAutoHyphens w:val="0"/>
        <w:autoSpaceDE w:val="0"/>
        <w:autoSpaceDN w:val="0"/>
        <w:adjustRightInd w:val="0"/>
        <w:spacing w:line="276" w:lineRule="auto"/>
        <w:rPr>
          <w:rFonts w:ascii="Arial" w:eastAsiaTheme="minorHAnsi" w:hAnsi="Arial" w:cs="Arial"/>
          <w:sz w:val="22"/>
          <w:szCs w:val="22"/>
          <w:lang w:eastAsia="en-US"/>
        </w:rPr>
      </w:pPr>
      <w:r w:rsidRPr="00CF4449">
        <w:rPr>
          <w:rFonts w:ascii="Arial" w:eastAsiaTheme="minorHAnsi" w:hAnsi="Arial" w:cs="Arial"/>
          <w:sz w:val="22"/>
          <w:szCs w:val="22"/>
          <w:lang w:eastAsia="en-US"/>
        </w:rPr>
        <w:t>W wariancie zerowym podstawowe elementy środowiska przyrodniczego pozostaną bez zmian w stosunku do stanu istniejącego. Jednak skutkiem odstąpienia od budowy trzeciego pasa autostrady A1 będzie stopniowe pogarszanie warunków funkcjonowania obecnego układu drogowego. Towarzyszyć temu będą zwiększone emisje spalin, hałasu oraz wibracji, a także narastanie kolizji pomiędzy funkcją drogi i rosnącym natężeniem pojazdów. Podjęcie wariantu inwestycyjnego pozwoli w znacznym stopniu na zmniejszenie oddziaływania pochodzącego od eksploatacji istniejącej drogi.</w:t>
      </w:r>
    </w:p>
    <w:p w:rsidR="003F6EE7"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kern w:val="2"/>
          <w:sz w:val="22"/>
          <w:szCs w:val="22"/>
        </w:rPr>
        <w:t>Po analizie wniosku o wydanie decyzji o środowiskowych</w:t>
      </w:r>
      <w:r w:rsidRPr="00CF4449">
        <w:rPr>
          <w:rFonts w:ascii="Arial" w:hAnsi="Arial" w:cs="Arial"/>
          <w:color w:val="00000A"/>
          <w:kern w:val="2"/>
          <w:sz w:val="22"/>
          <w:szCs w:val="22"/>
        </w:rPr>
        <w:t xml:space="preserve"> uwarunkowaniach wraz z kartą informacyjną przedsięwzięcia pod kątem uwarunkowań związanych z kwalifikowaniem przedsięwzięcia do przeprowadzania oceny stwierdzono, że w przedmiotowym przypadku nie zachodzą szczegółowe uwarunkowania zawarte w art. 63 ust. 1 ustawy ooś.</w:t>
      </w:r>
    </w:p>
    <w:p w:rsidR="003F6EE7" w:rsidRPr="00CF4449" w:rsidRDefault="007A137A" w:rsidP="00CF4449">
      <w:pPr>
        <w:widowControl w:val="0"/>
        <w:spacing w:before="120" w:line="276" w:lineRule="auto"/>
        <w:rPr>
          <w:rFonts w:ascii="Arial" w:eastAsia="Arial Unicode MS" w:hAnsi="Arial" w:cs="Arial"/>
          <w:color w:val="00000A"/>
          <w:kern w:val="2"/>
          <w:sz w:val="22"/>
          <w:szCs w:val="22"/>
        </w:rPr>
      </w:pPr>
      <w:r w:rsidRPr="00CF4449">
        <w:rPr>
          <w:rFonts w:ascii="Arial" w:hAnsi="Arial" w:cs="Arial"/>
          <w:color w:val="00000A"/>
          <w:kern w:val="2"/>
          <w:sz w:val="22"/>
          <w:szCs w:val="22"/>
        </w:rPr>
        <w:t>E</w:t>
      </w:r>
      <w:r w:rsidRPr="00CF4449">
        <w:rPr>
          <w:rFonts w:ascii="Arial" w:eastAsia="Arial Unicode MS" w:hAnsi="Arial" w:cs="Arial"/>
          <w:color w:val="00000A"/>
          <w:kern w:val="2"/>
          <w:sz w:val="22"/>
          <w:szCs w:val="22"/>
        </w:rPr>
        <w:t>tap</w:t>
      </w:r>
      <w:r w:rsidRPr="00CF4449">
        <w:rPr>
          <w:rFonts w:ascii="Arial" w:eastAsia="Arial Unicode MS" w:hAnsi="Arial" w:cs="Arial"/>
          <w:bCs/>
          <w:color w:val="00000A"/>
          <w:kern w:val="2"/>
          <w:sz w:val="22"/>
          <w:szCs w:val="22"/>
        </w:rPr>
        <w:t xml:space="preserve"> realizacji przedsięwzięcia</w:t>
      </w:r>
      <w:r w:rsidRPr="00CF4449">
        <w:rPr>
          <w:rFonts w:ascii="Arial" w:eastAsia="Arial Unicode MS" w:hAnsi="Arial" w:cs="Arial"/>
          <w:color w:val="00000A"/>
          <w:kern w:val="2"/>
          <w:sz w:val="22"/>
          <w:szCs w:val="22"/>
        </w:rPr>
        <w:t xml:space="preserve"> charakteryzować się będzie możliwością wystąpienia oddziaływania na środowisko podczas prowadzonych robót budowlanych. W trakcie przebudowy drogi wystąpi czasowe naruszenie powierzchni gruntu, wystąpi również emisja zanieczyszczeń do powietrza, emisja hałasu, emisja odpadów typowych dla procesów </w:t>
      </w:r>
      <w:r w:rsidRPr="00CF4449">
        <w:rPr>
          <w:rFonts w:ascii="Arial" w:eastAsia="Arial Unicode MS" w:hAnsi="Arial" w:cs="Arial"/>
          <w:color w:val="00000A"/>
          <w:kern w:val="2"/>
          <w:sz w:val="22"/>
          <w:szCs w:val="22"/>
        </w:rPr>
        <w:lastRenderedPageBreak/>
        <w:t xml:space="preserve">budowlanych. </w:t>
      </w:r>
    </w:p>
    <w:p w:rsidR="003F6EE7" w:rsidRPr="00CF4449" w:rsidRDefault="007A137A" w:rsidP="00CF4449">
      <w:pPr>
        <w:widowControl w:val="0"/>
        <w:spacing w:before="120" w:after="120" w:line="276" w:lineRule="auto"/>
        <w:rPr>
          <w:rFonts w:ascii="Arial" w:hAnsi="Arial" w:cs="Arial"/>
          <w:color w:val="00000A"/>
          <w:kern w:val="2"/>
          <w:sz w:val="22"/>
          <w:szCs w:val="22"/>
        </w:rPr>
      </w:pPr>
      <w:r w:rsidRPr="00CF4449">
        <w:rPr>
          <w:rFonts w:ascii="Arial" w:hAnsi="Arial" w:cs="Arial"/>
          <w:color w:val="00000A"/>
          <w:kern w:val="2"/>
          <w:sz w:val="22"/>
          <w:szCs w:val="22"/>
        </w:rPr>
        <w:t>Na etapie realizacji przedmiotowych zadań będą miały miejsce emisje i uciążliwości typowe dla procesu budowy, tj. nieznaczne emisje spalin i pyłów do powietrza oraz hałasu powstałe w związku z pracą pojazdów, maszyn, i urządzeń oraz powstawanie odpadów, których wpływ na środowisko, z uwagi na rozmiar przedsięwzięcia nie będzie znaczący. Uciążliwości związane z fazą realizacji będą miały charakter tymczasowy i ustąpią z jej zakończeniem.</w:t>
      </w:r>
    </w:p>
    <w:p w:rsidR="00E1299B" w:rsidRPr="00CF4449" w:rsidRDefault="007A137A" w:rsidP="00CF4449">
      <w:pPr>
        <w:suppressAutoHyphens w:val="0"/>
        <w:autoSpaceDE w:val="0"/>
        <w:autoSpaceDN w:val="0"/>
        <w:adjustRightInd w:val="0"/>
        <w:spacing w:after="120" w:line="276" w:lineRule="auto"/>
        <w:rPr>
          <w:rFonts w:ascii="Arial" w:hAnsi="Arial" w:cs="Arial"/>
          <w:color w:val="00000A"/>
          <w:kern w:val="2"/>
          <w:sz w:val="22"/>
          <w:szCs w:val="22"/>
        </w:rPr>
      </w:pPr>
      <w:r w:rsidRPr="00CF4449">
        <w:rPr>
          <w:rFonts w:ascii="Arial" w:hAnsi="Arial" w:cs="Arial"/>
          <w:color w:val="00000A"/>
          <w:kern w:val="2"/>
          <w:sz w:val="22"/>
          <w:szCs w:val="22"/>
        </w:rPr>
        <w:t xml:space="preserve">Źródłem zanieczyszczenia powietrza atmosferycznego w czasie realizacji inwestycji będzie spalanie paliw w silnikach maszyn, urządzeń i sprzętu budowlanego </w:t>
      </w:r>
      <w:r w:rsidRPr="00CF4449">
        <w:rPr>
          <w:rFonts w:ascii="Arial" w:hAnsi="Arial" w:cs="Arial"/>
          <w:sz w:val="22"/>
          <w:szCs w:val="22"/>
        </w:rPr>
        <w:t>(koparki, ładowarki, spychacze, walce drogowe, urządzenia do rozścielania asfaltu, mobilne agregaty prądotwórcze, mobilne sprężarki i inne)</w:t>
      </w:r>
      <w:r w:rsidRPr="00CF4449">
        <w:rPr>
          <w:rFonts w:ascii="Arial" w:hAnsi="Arial" w:cs="Arial"/>
          <w:color w:val="00000A"/>
          <w:kern w:val="2"/>
          <w:sz w:val="22"/>
          <w:szCs w:val="22"/>
        </w:rPr>
        <w:t xml:space="preserve"> oraz samochodów transportowych. Emisja zanieczyszczeń powietrza atmosferycznego z terenu inwestycji będzie miała charakter niezorganizowany. Ponadto w miejscu prowadzenia robót wystąpi także emisja pyłu, związana z wykonywaniem prac ziemnych, poruszaniem się pojazdów po nieutwardzonych drogach gruntowych, jak również transportem materiałów sypkich. </w:t>
      </w:r>
      <w:r w:rsidRPr="00CF4449">
        <w:rPr>
          <w:rFonts w:ascii="Arial" w:hAnsi="Arial" w:cs="Arial"/>
          <w:color w:val="000000"/>
          <w:sz w:val="22"/>
          <w:szCs w:val="22"/>
        </w:rPr>
        <w:t>Źródłem zanieczyszczeń na etapie budowy będzie również emisja substancji odorotwórczych pochodzących od mas bitumicznych.</w:t>
      </w:r>
    </w:p>
    <w:p w:rsidR="003F6EE7" w:rsidRPr="00CF4449" w:rsidRDefault="007A137A" w:rsidP="00CF4449">
      <w:pPr>
        <w:suppressAutoHyphens w:val="0"/>
        <w:autoSpaceDE w:val="0"/>
        <w:autoSpaceDN w:val="0"/>
        <w:adjustRightInd w:val="0"/>
        <w:spacing w:after="120" w:line="276" w:lineRule="auto"/>
        <w:rPr>
          <w:rFonts w:ascii="Arial" w:eastAsiaTheme="minorHAnsi" w:hAnsi="Arial" w:cs="Arial"/>
          <w:sz w:val="22"/>
          <w:szCs w:val="22"/>
          <w:lang w:eastAsia="en-US"/>
        </w:rPr>
      </w:pPr>
      <w:r w:rsidRPr="00CF4449">
        <w:rPr>
          <w:rFonts w:ascii="Arial" w:eastAsia="TimesNewRomanPSMT" w:hAnsi="Arial" w:cs="Arial"/>
          <w:color w:val="00000A"/>
          <w:kern w:val="2"/>
          <w:sz w:val="22"/>
          <w:szCs w:val="22"/>
          <w:lang w:eastAsia="pl-PL"/>
        </w:rPr>
        <w:t xml:space="preserve">Aby maksymalnie ograniczyć oddziaływanie planowanego przedsięwzięcia na powietrze atmosferyczne tut. Organ w niniejszej decyzji nałożył warunek mający na celu </w:t>
      </w:r>
      <w:r w:rsidRPr="00CF4449">
        <w:rPr>
          <w:rFonts w:ascii="Arial" w:hAnsi="Arial" w:cs="Arial"/>
          <w:color w:val="00000A"/>
          <w:kern w:val="2"/>
          <w:sz w:val="22"/>
          <w:szCs w:val="22"/>
        </w:rPr>
        <w:t xml:space="preserve">minimalizację emisji wtórnej pyłu z miejsc prowadzenia prac budowlanych oraz środków transportu przewożących materiały pyliste (warunek nr II.11). Biorąc pod uwagę charakter robót i czas trwania, ich wpływ na stan powietrza będzie ograniczony do bezpośredniego sąsiedztwa przebudowywanej drogi. </w:t>
      </w:r>
    </w:p>
    <w:p w:rsidR="003F6EE7" w:rsidRPr="00CF4449" w:rsidRDefault="007A137A" w:rsidP="00CF4449">
      <w:pPr>
        <w:suppressAutoHyphens w:val="0"/>
        <w:autoSpaceDE w:val="0"/>
        <w:autoSpaceDN w:val="0"/>
        <w:adjustRightInd w:val="0"/>
        <w:spacing w:line="276" w:lineRule="auto"/>
        <w:rPr>
          <w:rFonts w:ascii="Arial" w:hAnsi="Arial" w:cs="Arial"/>
          <w:color w:val="00000A"/>
          <w:kern w:val="2"/>
          <w:sz w:val="22"/>
          <w:szCs w:val="22"/>
        </w:rPr>
      </w:pPr>
      <w:r w:rsidRPr="00CF4449">
        <w:rPr>
          <w:rFonts w:ascii="Arial" w:hAnsi="Arial" w:cs="Arial"/>
          <w:color w:val="00000A"/>
          <w:kern w:val="2"/>
          <w:sz w:val="22"/>
          <w:szCs w:val="22"/>
        </w:rPr>
        <w:t>Eksploatacja drogi będzie związana z emisją substancji do powietrza pochodzącą ze spalania paliw poruszających się projektowanej inwestycji. Dobudowa 3 pasa spowoduje upłynnienie ruchu i nie będzie skutkować zwiększeniem skali emisji zanieczyszczeń gazowo-pyłowych w otoczeniu autostrady A1.</w:t>
      </w:r>
    </w:p>
    <w:p w:rsidR="003F6EE7" w:rsidRPr="00CF4449" w:rsidRDefault="007A137A" w:rsidP="00CF4449">
      <w:pPr>
        <w:spacing w:before="120" w:line="276" w:lineRule="auto"/>
        <w:rPr>
          <w:rFonts w:ascii="Arial" w:eastAsia="TimesNewRomanPSMT" w:hAnsi="Arial" w:cs="Arial"/>
          <w:color w:val="00000A"/>
          <w:kern w:val="2"/>
          <w:sz w:val="22"/>
          <w:szCs w:val="22"/>
          <w:lang w:eastAsia="pl-PL"/>
        </w:rPr>
      </w:pPr>
      <w:r w:rsidRPr="00CF4449">
        <w:rPr>
          <w:rFonts w:ascii="Arial" w:hAnsi="Arial" w:cs="Arial"/>
          <w:color w:val="00000A"/>
          <w:kern w:val="2"/>
          <w:sz w:val="22"/>
          <w:szCs w:val="22"/>
        </w:rPr>
        <w:t xml:space="preserve">Inwestycja będzie związana z czasową uciążliwością akustyczną w okresie jej budowy. Emisja hałasu z terenu realizacji przedsięwzięcia w momencie przystąpienia do prac polegających na realizacji planowanej inwestycji będzie związana z pracą maszyn budowlanych oraz z transportem materiałów budowlanych. </w:t>
      </w:r>
      <w:r w:rsidRPr="00CF4449">
        <w:rPr>
          <w:rFonts w:ascii="Arial" w:eastAsia="TimesNewRomanPSMT" w:hAnsi="Arial" w:cs="Arial"/>
          <w:color w:val="00000A"/>
          <w:kern w:val="2"/>
          <w:sz w:val="22"/>
          <w:szCs w:val="22"/>
          <w:lang w:eastAsia="pl-PL"/>
        </w:rPr>
        <w:t>Biorąc pod uwagę przejściowy charakter tej fazy inwestycji, uciążliwości związane z emisją hałasu będą miały charakter czasowy, nieciągły i ustaną z chwilą zakończenia budowy.</w:t>
      </w:r>
    </w:p>
    <w:p w:rsidR="00E5176E" w:rsidRPr="00CF4449" w:rsidRDefault="007A137A" w:rsidP="00CF4449">
      <w:pPr>
        <w:suppressAutoHyphens w:val="0"/>
        <w:autoSpaceDE w:val="0"/>
        <w:autoSpaceDN w:val="0"/>
        <w:adjustRightInd w:val="0"/>
        <w:spacing w:line="276" w:lineRule="auto"/>
        <w:rPr>
          <w:rFonts w:ascii="Arial" w:hAnsi="Arial" w:cs="Arial"/>
          <w:kern w:val="2"/>
          <w:sz w:val="22"/>
          <w:szCs w:val="22"/>
        </w:rPr>
      </w:pPr>
      <w:r w:rsidRPr="00CF4449">
        <w:rPr>
          <w:rFonts w:ascii="Arial" w:eastAsia="TimesNewRomanPSMT" w:hAnsi="Arial" w:cs="Arial"/>
          <w:color w:val="00000A"/>
          <w:kern w:val="2"/>
          <w:sz w:val="22"/>
          <w:szCs w:val="22"/>
          <w:lang w:eastAsia="pl-PL"/>
        </w:rPr>
        <w:t xml:space="preserve">Projektowana droga przebiega w sąsiedztwie terenów rolnych. Na analizowanym odcinku nie znajduje się zabudowa podlegająca ochronie akustycznej. Najbliższa zabudowa mieszkaniowa znajduje się w odległości ok. 700 m od rozbudowywanego pasa autostrady. </w:t>
      </w:r>
      <w:r w:rsidRPr="00CF4449">
        <w:rPr>
          <w:rFonts w:ascii="Arial" w:hAnsi="Arial" w:cs="Arial"/>
          <w:kern w:val="2"/>
          <w:sz w:val="22"/>
          <w:szCs w:val="22"/>
        </w:rPr>
        <w:t>Dobudowa 3 pasa autostrady spowoduje upłynnienie ruchu. Nie przewiduje się zwiększenia skali emisji hałasu w otoczeniu inwestycji.</w:t>
      </w:r>
    </w:p>
    <w:p w:rsidR="00003836" w:rsidRPr="00CF4449" w:rsidRDefault="007A137A" w:rsidP="00CF4449">
      <w:pPr>
        <w:spacing w:before="120" w:line="276" w:lineRule="auto"/>
        <w:rPr>
          <w:rFonts w:ascii="Arial" w:hAnsi="Arial" w:cs="Arial"/>
          <w:color w:val="00000A"/>
          <w:kern w:val="2"/>
          <w:sz w:val="22"/>
          <w:szCs w:val="22"/>
        </w:rPr>
      </w:pPr>
      <w:r w:rsidRPr="00CF4449">
        <w:rPr>
          <w:rFonts w:ascii="Arial" w:hAnsi="Arial" w:cs="Arial"/>
          <w:kern w:val="2"/>
          <w:sz w:val="22"/>
          <w:szCs w:val="22"/>
        </w:rPr>
        <w:t>Podczas prac budowlanych ścieki socjalno-bytowe ujmowane</w:t>
      </w:r>
      <w:r w:rsidRPr="00CF4449">
        <w:rPr>
          <w:rFonts w:ascii="Arial" w:hAnsi="Arial" w:cs="Arial"/>
          <w:color w:val="00000A"/>
          <w:kern w:val="2"/>
          <w:sz w:val="22"/>
          <w:szCs w:val="22"/>
        </w:rPr>
        <w:t xml:space="preserve"> i gromadzone będą poprzez system przenośnych i szczelnych sanitariatów przystosowanych do transportu kołowego. Odbiór sanitariatów prowadzony będzie przez uprawnione podmioty. </w:t>
      </w:r>
    </w:p>
    <w:p w:rsidR="00124296" w:rsidRPr="00CF4449" w:rsidRDefault="007A137A" w:rsidP="00CF4449">
      <w:pPr>
        <w:spacing w:before="120" w:line="276" w:lineRule="auto"/>
        <w:rPr>
          <w:rFonts w:ascii="Arial" w:eastAsia="Arial" w:hAnsi="Arial" w:cs="Arial"/>
          <w:color w:val="00000A"/>
          <w:sz w:val="22"/>
          <w:szCs w:val="22"/>
        </w:rPr>
      </w:pPr>
      <w:r w:rsidRPr="00CF4449">
        <w:rPr>
          <w:rFonts w:ascii="Arial" w:eastAsia="Arial" w:hAnsi="Arial" w:cs="Arial"/>
          <w:color w:val="00000A"/>
          <w:sz w:val="22"/>
          <w:szCs w:val="22"/>
        </w:rPr>
        <w:t>Zapotrzebowanie na wodę do celów socjalnych i pielęgnacyjnych nawierzchni betonowej realizowane będzie poprzez wykorzystanie istniejącej sieci wodociągowej (wg uzgodnienia z jej gestorem) lub poprzez dowóz wody beczkowozami. Powyższe jako warunek Dyrektora Regionalnego Zarządu Gospodarki Wodnej w Poznaniu nie zostało uwzględnione ponieważ wynika z warunków technicznych, które określi właściciel sieci.</w:t>
      </w:r>
    </w:p>
    <w:p w:rsidR="00383551" w:rsidRPr="00CF4449" w:rsidRDefault="007A137A" w:rsidP="00CF4449">
      <w:pPr>
        <w:spacing w:before="120" w:line="276" w:lineRule="auto"/>
        <w:rPr>
          <w:rFonts w:ascii="Arial" w:eastAsia="Arial" w:hAnsi="Arial" w:cs="Arial"/>
          <w:color w:val="00000A"/>
          <w:sz w:val="22"/>
          <w:szCs w:val="22"/>
        </w:rPr>
      </w:pPr>
      <w:r w:rsidRPr="00CF4449">
        <w:rPr>
          <w:rFonts w:ascii="Arial" w:eastAsia="Arial" w:hAnsi="Arial" w:cs="Arial"/>
          <w:color w:val="00000A"/>
          <w:sz w:val="22"/>
          <w:szCs w:val="22"/>
        </w:rPr>
        <w:lastRenderedPageBreak/>
        <w:t xml:space="preserve">W decyzji nakazano, aby na etapie </w:t>
      </w:r>
      <w:r w:rsidRPr="00CF4449">
        <w:rPr>
          <w:rFonts w:ascii="Arial" w:eastAsia="Arial" w:hAnsi="Arial" w:cs="Arial"/>
          <w:sz w:val="22"/>
          <w:szCs w:val="22"/>
        </w:rPr>
        <w:t>realizacji w</w:t>
      </w:r>
      <w:r w:rsidRPr="00CF4449">
        <w:rPr>
          <w:rFonts w:ascii="Arial" w:eastAsia="Arial" w:hAnsi="Arial" w:cs="Arial"/>
          <w:color w:val="00000A"/>
          <w:sz w:val="22"/>
          <w:szCs w:val="22"/>
        </w:rPr>
        <w:t>ody opadowe odprowadzać do gruntu w sposób niepowodujący zakłócenia stosunków wodnych i podczyszczać zanieczyszczone wody opadowe w celu uniknięcia zanieczyszczenia gruntu i wód (warunek II.9). Dyrektor Regionalnego Zarządu Gospodarki Wodnej w Poznaniu określił, aby podczyszczenie nastąpiło do parametrów zgodnych z przepisami prawa, co tutejszy organ pominął redagując warunek, ponieważ jest to obowiązek inwestora wynikający z prawa powszechnie obowiązującego.</w:t>
      </w:r>
    </w:p>
    <w:p w:rsidR="00DA66D7" w:rsidRPr="00CF4449" w:rsidRDefault="007A137A" w:rsidP="00CF4449">
      <w:pPr>
        <w:spacing w:before="120" w:line="276" w:lineRule="auto"/>
        <w:rPr>
          <w:rFonts w:ascii="Arial" w:eastAsia="Arial" w:hAnsi="Arial" w:cs="Arial"/>
          <w:color w:val="00000A"/>
          <w:sz w:val="22"/>
          <w:szCs w:val="22"/>
        </w:rPr>
      </w:pPr>
      <w:r w:rsidRPr="00CF4449">
        <w:rPr>
          <w:rFonts w:ascii="Arial" w:eastAsia="Arial" w:hAnsi="Arial" w:cs="Arial"/>
          <w:color w:val="00000A"/>
          <w:sz w:val="22"/>
          <w:szCs w:val="22"/>
        </w:rPr>
        <w:t>System odwodnienia obecnie funkcjonującej autostrady został wykonany dla docelowego przekroju poprzecznego autostrady tzn. dIa przekroju 2x3, a także możliwości odprowadzenia wód opadowych do istniejących odbiorników: cieków oraz zbiorników retencyjnych i retencyjno-infiltracyjnych.</w:t>
      </w:r>
    </w:p>
    <w:p w:rsidR="000E7560" w:rsidRPr="00CF4449" w:rsidRDefault="007A137A" w:rsidP="00CF4449">
      <w:pPr>
        <w:spacing w:before="120" w:line="276" w:lineRule="auto"/>
        <w:rPr>
          <w:rFonts w:ascii="Arial" w:hAnsi="Arial" w:cs="Arial"/>
          <w:sz w:val="22"/>
          <w:szCs w:val="22"/>
        </w:rPr>
      </w:pPr>
      <w:r w:rsidRPr="00CF4449">
        <w:rPr>
          <w:rFonts w:ascii="Arial" w:eastAsia="Arial" w:hAnsi="Arial" w:cs="Arial"/>
          <w:color w:val="00000A"/>
          <w:sz w:val="22"/>
          <w:szCs w:val="22"/>
        </w:rPr>
        <w:t xml:space="preserve">Odprowadzenie wód opadowych z jezdni odbywa się poprzez nadanie jej nawierzchni odpowiednich spadków podłużnych i poprzecznych </w:t>
      </w:r>
      <w:r w:rsidRPr="00CF4449">
        <w:rPr>
          <w:rFonts w:ascii="Arial" w:hAnsi="Arial" w:cs="Arial"/>
          <w:sz w:val="22"/>
          <w:szCs w:val="22"/>
        </w:rPr>
        <w:t>do wpustów deszczowych z osadnikami, a następnie do kolektorów grawitacyjnych i rowów drogowych trawiastych, następnie po ich podczyszczeniu w urządzeniach oczyszczających (osadnik i separator substancji ropopochodnych) trafią do odbiorników. Część wód poprzez układ rowów lub urządzeń kanalizacyjnych trafi do zbiorników retencyjno-infiltracyjnych (ZB19, ZB20). Część wód z poszczególnych zlewni cząstkowych przed wprowadzeniem do odbiorników retencjonowana będzie w istniejących  zbiornikach retencyjnych (ZB1, ZB2) celem dostosowania wielkości odpływu do parametrów hydraulicznych cieków. Odprowadzenie wód opadowych odbywa się poprzez system rowów przydrożnych o przekroju szczelnym oraz za pomocą sieci kanalizacji deszczowej. Przed zrzutem wód do odbiorników poza zespołem podczyszczającym zaprojektowano studnie z zastawkami, umożliwiające odcięcie dopływu do odbiorników w przypadkach awaryjnych.</w:t>
      </w:r>
    </w:p>
    <w:p w:rsidR="00DA66D7" w:rsidRPr="00CF4449" w:rsidRDefault="007A137A" w:rsidP="00CF4449">
      <w:pPr>
        <w:spacing w:before="120" w:after="120" w:line="276" w:lineRule="auto"/>
        <w:rPr>
          <w:rFonts w:ascii="Arial" w:eastAsia="Arial" w:hAnsi="Arial" w:cs="Arial"/>
          <w:color w:val="00000A"/>
          <w:sz w:val="22"/>
          <w:szCs w:val="22"/>
        </w:rPr>
      </w:pPr>
      <w:r w:rsidRPr="00CF4449">
        <w:rPr>
          <w:rFonts w:ascii="Arial" w:hAnsi="Arial" w:cs="Arial"/>
          <w:sz w:val="22"/>
          <w:szCs w:val="22"/>
        </w:rPr>
        <w:t xml:space="preserve">W ramach dobudowy 3 pasa nie zachodzi konieczność przebudowy opisanego powyżej istniejącego systemu odwodnienia drogi na potrzeby przejęcia dodatkowych wód z trzeciego pasa autostrady. </w:t>
      </w:r>
      <w:r w:rsidRPr="00CF4449">
        <w:rPr>
          <w:rFonts w:ascii="Arial" w:eastAsia="Arial" w:hAnsi="Arial" w:cs="Arial"/>
          <w:color w:val="00000A"/>
          <w:sz w:val="22"/>
          <w:szCs w:val="22"/>
        </w:rPr>
        <w:t>Rozwiązania te zostały usankcjonowane w decyzjach wodnoprawnych.</w:t>
      </w:r>
    </w:p>
    <w:p w:rsidR="00DA66D7" w:rsidRPr="00CF4449" w:rsidRDefault="007A137A" w:rsidP="00CF4449">
      <w:pPr>
        <w:spacing w:after="120" w:line="276" w:lineRule="auto"/>
        <w:rPr>
          <w:rFonts w:ascii="Arial" w:eastAsia="Arial" w:hAnsi="Arial" w:cs="Arial"/>
          <w:sz w:val="22"/>
          <w:szCs w:val="22"/>
        </w:rPr>
      </w:pPr>
      <w:r w:rsidRPr="00CF4449">
        <w:rPr>
          <w:rFonts w:ascii="Arial" w:eastAsia="Arial" w:hAnsi="Arial" w:cs="Arial"/>
          <w:sz w:val="22"/>
          <w:szCs w:val="22"/>
        </w:rPr>
        <w:t xml:space="preserve">W ramach doprojektowania 3 pasa drogi, dodano zabezpieczenie przyczółka wiaduktu autostradowego </w:t>
      </w:r>
      <w:r w:rsidRPr="00CF4449">
        <w:rPr>
          <w:rFonts w:ascii="Arial" w:hAnsi="Arial" w:cs="Arial"/>
          <w:sz w:val="22"/>
          <w:szCs w:val="22"/>
        </w:rPr>
        <w:t xml:space="preserve">nad linią kolejową nr 146 (obiekt WA352) </w:t>
      </w:r>
      <w:r w:rsidRPr="00CF4449">
        <w:rPr>
          <w:rFonts w:ascii="Arial" w:eastAsia="Arial" w:hAnsi="Arial" w:cs="Arial"/>
          <w:sz w:val="22"/>
          <w:szCs w:val="22"/>
        </w:rPr>
        <w:t>przed napływem wód - doprojektowano rów drogowy wraz z przepustem (km rowu drogowego 417+527,02 -417+545,00). Ww. elementy infrastrukturalne połączone zostaną z istniejącym układem rowem drogowym odprowadzającym wody do odbiornika (rów bez nazwy – R-3-F).</w:t>
      </w:r>
    </w:p>
    <w:p w:rsidR="00E96E7E" w:rsidRPr="00CF4449" w:rsidRDefault="007A137A" w:rsidP="00CF4449">
      <w:pPr>
        <w:spacing w:line="276" w:lineRule="auto"/>
        <w:rPr>
          <w:rFonts w:ascii="Arial" w:hAnsi="Arial" w:cs="Arial"/>
          <w:sz w:val="22"/>
          <w:szCs w:val="22"/>
        </w:rPr>
      </w:pPr>
      <w:r w:rsidRPr="00CF4449">
        <w:rPr>
          <w:rFonts w:ascii="Arial" w:hAnsi="Arial" w:cs="Arial"/>
          <w:sz w:val="22"/>
          <w:szCs w:val="22"/>
        </w:rPr>
        <w:t>Na etapie wydania zezwolenia na realizację inwestycji drogowej (autostrady A1 na przedmiotowym odcinku) zostały zaprojektowane zgodnie z postanowieniami Regionalnego Dyrektora Ochrony Środowiska w Katowicach w ramach ponownej oceny oddziaływania na środowisko ogrodzenia i wygrodzenia ochronno-naprowadzające.</w:t>
      </w:r>
    </w:p>
    <w:p w:rsidR="00071B28" w:rsidRPr="00CF4449" w:rsidRDefault="007A137A" w:rsidP="00CF4449">
      <w:pPr>
        <w:spacing w:line="276" w:lineRule="auto"/>
        <w:rPr>
          <w:rFonts w:ascii="Arial" w:hAnsi="Arial" w:cs="Arial"/>
          <w:sz w:val="22"/>
          <w:szCs w:val="22"/>
        </w:rPr>
      </w:pPr>
      <w:r w:rsidRPr="00CF4449">
        <w:rPr>
          <w:rFonts w:ascii="Arial" w:hAnsi="Arial" w:cs="Arial"/>
          <w:sz w:val="22"/>
          <w:szCs w:val="22"/>
        </w:rPr>
        <w:t xml:space="preserve">W związku z doprojektowaniem fragmentu rowu drogowego wraz z przepustem, w celu zachowania ciągłości ww. elementów i poprawnego funkcjonowania, konieczna jest korekta ogrodzenia i wygrodzenia ochronno-naprowadzającego do istniejącego i nie ulegającego zmianie przejścia dla zwierząt Ppz 13 obejmującego dobudowany fragment rowu. Z wiedzy organu wynika, że prefabrykaty mogą nie stanowić wystarczającej bariery dla fauny, która może się pod nimi podkopać (gryzonie, łasicowate). Biorąc jednak pod uwagę, że parametry całego ogrodzenia i wygrodzenia ochronno-naprowadzającego zostały określone w postanowieniach </w:t>
      </w:r>
      <w:r w:rsidRPr="00CF4449">
        <w:rPr>
          <w:rFonts w:ascii="Arial" w:hAnsi="Arial" w:cs="Arial"/>
          <w:kern w:val="2"/>
          <w:sz w:val="22"/>
          <w:szCs w:val="22"/>
        </w:rPr>
        <w:t>Regionalnego Dyrektora Ochrony Środowiska w Katowicach z 7 marca 2014 r. znak: WOOŚ.4242.200.2012.EJ.10 i</w:t>
      </w:r>
      <w:r w:rsidRPr="00CF4449">
        <w:rPr>
          <w:rFonts w:ascii="Arial" w:hAnsi="Arial" w:cs="Arial"/>
          <w:sz w:val="22"/>
          <w:szCs w:val="22"/>
        </w:rPr>
        <w:t xml:space="preserve"> z 18 stycznia 2017 r. znak: WOOŚ.4242.117.2016.EJ.7, a na etapie rozbudowy istniejącej autostrady korekty wymaga </w:t>
      </w:r>
      <w:r w:rsidRPr="00CF4449">
        <w:rPr>
          <w:rFonts w:ascii="Arial" w:hAnsi="Arial" w:cs="Arial"/>
          <w:sz w:val="22"/>
          <w:szCs w:val="22"/>
        </w:rPr>
        <w:lastRenderedPageBreak/>
        <w:t>odcinek o długości ok. 14 m, w pkt. III niniejszej decyzji nałożono obowiązek zaprojektowania ww. elementów zgodnie z warunkami określonymi w ww. postanowieniach aby stanowiły całość z istniejącymi zaprojektowanymi na etapie pozwolenia na realizację inwestycji drogowej (autostrady A1) zabezpieczeniami.</w:t>
      </w:r>
    </w:p>
    <w:p w:rsidR="00DA66D7" w:rsidRPr="00CF4449" w:rsidRDefault="007A137A" w:rsidP="00CF4449">
      <w:pPr>
        <w:spacing w:before="120" w:line="276" w:lineRule="auto"/>
        <w:rPr>
          <w:rFonts w:ascii="Arial" w:eastAsia="Arial" w:hAnsi="Arial" w:cs="Arial"/>
          <w:color w:val="00000A"/>
          <w:sz w:val="22"/>
          <w:szCs w:val="22"/>
        </w:rPr>
      </w:pPr>
      <w:r w:rsidRPr="00CF4449">
        <w:rPr>
          <w:rFonts w:ascii="Arial" w:eastAsia="Arial" w:hAnsi="Arial" w:cs="Arial"/>
          <w:sz w:val="22"/>
          <w:szCs w:val="22"/>
        </w:rPr>
        <w:t>Doprojektowany odcinek rowu ma odbierać wody ze skarpy drogowej (zlewnia zielona).</w:t>
      </w:r>
      <w:r w:rsidRPr="00CF4449">
        <w:rPr>
          <w:rFonts w:ascii="Arial" w:eastAsia="Arial" w:hAnsi="Arial" w:cs="Arial"/>
          <w:color w:val="00000A"/>
          <w:sz w:val="22"/>
          <w:szCs w:val="22"/>
        </w:rPr>
        <w:t xml:space="preserve"> Ładunek substancji ropopochodnych i zawiesin ogólnych zawartych w wodach opadowych i roztopowych odprowadzanych do doprojektowanego rowu drogowego z 3 pasa drogi, muszą spełniać wymogi określone w § 17 rozporządzenia Ministra Gospodarki Morskiej i Żeglugi Śródlądowej z dnia 12 lipca 2019 r. w sprawie substancji szczególnie szkodliwych dla środowiska wodnego oraz warunków, jakie należy spełnić przy wprowadzaniu do wód lub do ziemi ścieków, a także przy odprowadzaniu wód opadowych lub roztopowych do wód lub urządzeń wodnych (Dz. U. 2019, poz. 1311). Odprowadzanie wód opadowych i roztopowych ma się odbywać na warunkach określonych w stosownych pozwoleniach wodnoprawnych. </w:t>
      </w:r>
    </w:p>
    <w:p w:rsidR="00DA66D7" w:rsidRPr="00CF4449" w:rsidRDefault="007A137A" w:rsidP="00CF4449">
      <w:pPr>
        <w:spacing w:before="120" w:line="276" w:lineRule="auto"/>
        <w:rPr>
          <w:rFonts w:ascii="Arial" w:eastAsia="Arial" w:hAnsi="Arial" w:cs="Arial"/>
          <w:color w:val="00000A"/>
          <w:sz w:val="22"/>
          <w:szCs w:val="22"/>
        </w:rPr>
      </w:pPr>
      <w:r w:rsidRPr="00CF4449">
        <w:rPr>
          <w:rFonts w:ascii="Arial" w:eastAsia="Arial" w:hAnsi="Arial" w:cs="Arial"/>
          <w:color w:val="00000A"/>
          <w:sz w:val="22"/>
          <w:szCs w:val="22"/>
        </w:rPr>
        <w:t>Pozostałe elementy odprowadzenia wód: ich ilości, miejsca oraz sposób odprowadzenia pozostają bez zmian.</w:t>
      </w:r>
    </w:p>
    <w:p w:rsidR="001F3DBD" w:rsidRPr="00CF4449" w:rsidRDefault="007A137A" w:rsidP="00CF4449">
      <w:pPr>
        <w:spacing w:before="120" w:after="120" w:line="276" w:lineRule="auto"/>
        <w:rPr>
          <w:rFonts w:ascii="Arial" w:hAnsi="Arial" w:cs="Arial"/>
          <w:color w:val="00000A"/>
          <w:kern w:val="2"/>
          <w:sz w:val="22"/>
          <w:szCs w:val="22"/>
          <w:lang w:eastAsia="pl-PL"/>
        </w:rPr>
      </w:pPr>
      <w:r w:rsidRPr="00CF4449">
        <w:rPr>
          <w:rFonts w:ascii="Arial" w:hAnsi="Arial" w:cs="Arial"/>
          <w:color w:val="00000A"/>
          <w:kern w:val="2"/>
          <w:sz w:val="22"/>
          <w:szCs w:val="22"/>
          <w:lang w:eastAsia="pl-PL"/>
        </w:rPr>
        <w:t>Uwzględniając ochronę środowiska gruntowo - wodnego tut. Organ określił warunki dotyczące organizacji miejsc powstania zaplecza budowy, baz magazynowo sprzętowych, magazynowania odpadów i sposobu magazynowania materiałów i odpadów, aby ryzyko przedostania się zanieczyszczeń do środowiska wodnego było minimalne. Organ uznał za konieczne wyposażenie placu budowy w środki neutralizujące ewentualne awaryjne wycieki substancji ropopochodnych oraz podejmowanie działań zmierzających do usunięcia skutków i przyczyn awarii</w:t>
      </w:r>
      <w:r w:rsidRPr="00CF4449">
        <w:rPr>
          <w:rFonts w:ascii="Arial" w:hAnsi="Arial" w:cs="Arial"/>
          <w:sz w:val="22"/>
          <w:szCs w:val="22"/>
        </w:rPr>
        <w:t xml:space="preserve">. </w:t>
      </w:r>
      <w:r w:rsidRPr="00CF4449">
        <w:rPr>
          <w:rFonts w:ascii="Arial" w:hAnsi="Arial" w:cs="Arial"/>
          <w:color w:val="00000A"/>
          <w:kern w:val="2"/>
          <w:sz w:val="22"/>
          <w:szCs w:val="22"/>
          <w:lang w:eastAsia="pl-PL"/>
        </w:rPr>
        <w:t>Ponadto w warunkach niniejszej decyzji wskazano, aby miejsca tankowania urządzeń i maszyn wyposażono w szczelną nawierzchnię. Działanie to ma na celu uniemożliwienie przedostania się do gruntu oraz wód podziemnych i powierzchniowych ewentualnych substancji mogących powodować ich zanieczyszczenie (warunki nr II.1-6).</w:t>
      </w:r>
    </w:p>
    <w:p w:rsidR="00B366CF" w:rsidRPr="00CF4449" w:rsidRDefault="007A137A" w:rsidP="00CF4449">
      <w:pPr>
        <w:spacing w:line="276" w:lineRule="auto"/>
        <w:rPr>
          <w:rFonts w:ascii="Arial" w:hAnsi="Arial" w:cs="Arial"/>
          <w:kern w:val="2"/>
          <w:sz w:val="22"/>
          <w:szCs w:val="22"/>
        </w:rPr>
      </w:pPr>
      <w:r w:rsidRPr="00CF4449">
        <w:rPr>
          <w:rFonts w:ascii="Arial" w:hAnsi="Arial" w:cs="Arial"/>
          <w:sz w:val="22"/>
          <w:szCs w:val="22"/>
        </w:rPr>
        <w:t>Z informacji zawartych w karcie informacyjnej przedsięwzięcia wynika, że planowane zamierzenie znajduje się poza obszarami szczególnego zagrożenia powodzią. W związku z powyższym tut. Organ zmienił warunek Dyrektora Regionalnego Zarządu Gospodarki Wodnej w Poznaniu, w którym zakazano lokalizowania zaplecza budowy na obszarach zagrożonych powodzią, gdyż takie obszary w rejonie inwestycji nie występują.</w:t>
      </w:r>
    </w:p>
    <w:p w:rsidR="001F3DBD" w:rsidRPr="00CF4449" w:rsidRDefault="007A137A" w:rsidP="00CF4449">
      <w:pPr>
        <w:suppressAutoHyphens w:val="0"/>
        <w:autoSpaceDE w:val="0"/>
        <w:autoSpaceDN w:val="0"/>
        <w:adjustRightInd w:val="0"/>
        <w:spacing w:line="276" w:lineRule="auto"/>
        <w:rPr>
          <w:rFonts w:ascii="Arial" w:eastAsiaTheme="minorHAnsi" w:hAnsi="Arial" w:cs="Arial"/>
          <w:sz w:val="22"/>
          <w:szCs w:val="22"/>
          <w:lang w:eastAsia="en-US"/>
        </w:rPr>
      </w:pPr>
      <w:r w:rsidRPr="00CF4449">
        <w:rPr>
          <w:rFonts w:ascii="Arial" w:hAnsi="Arial" w:cs="Arial"/>
          <w:color w:val="00000A"/>
          <w:kern w:val="2"/>
          <w:sz w:val="22"/>
          <w:szCs w:val="22"/>
          <w:lang w:eastAsia="pl-PL"/>
        </w:rPr>
        <w:t xml:space="preserve">Dyrektor wskazał również w swojej opinii, aby na odcinku gdzie inwestycja przecina ciek Sękownica (Wierzchowina) prace prowadzić </w:t>
      </w:r>
      <w:r w:rsidRPr="00CF4449">
        <w:rPr>
          <w:rFonts w:ascii="Arial" w:eastAsiaTheme="minorHAnsi" w:hAnsi="Arial" w:cs="Arial"/>
          <w:sz w:val="22"/>
          <w:szCs w:val="22"/>
          <w:lang w:eastAsia="en-US"/>
        </w:rPr>
        <w:t>z zastosowaniem rozwiązań technicznych i organizacyjnych zabezpieczających przed niszczeniem ich brzegów i zasypaniem oraz przedostaniem się substancji chemicznych do wód powierzchniowych. Należy również zapewnić stały przepływ wód oraz nie dopuścić do zanieczyszczenia wody zawiesinami i jej zamulenia. Warunek ten nie został zawarty w decyzji ponieważ zgodnie z przedstawioną kartą informacyjna przedsięwzięcia w</w:t>
      </w:r>
      <w:r w:rsidRPr="00CF4449">
        <w:rPr>
          <w:rFonts w:ascii="Arial" w:hAnsi="Arial" w:cs="Arial"/>
          <w:sz w:val="22"/>
          <w:szCs w:val="22"/>
        </w:rPr>
        <w:t xml:space="preserve">ykonywanie robót budowlanych w zakresie przedmiotowej inwestycji nie wymaga fizycznej ingerencji w środowisko wodno-gruntowe czy też ingerencji w istniejące koryta cieków. Nie mniej jednak, na odcinku, gdzie inwestycja przecina ciek Sękownica (Wierzchowina, rów R-3-F) </w:t>
      </w:r>
      <w:r w:rsidRPr="00CF4449">
        <w:rPr>
          <w:rFonts w:ascii="Arial" w:eastAsiaTheme="minorHAnsi" w:hAnsi="Arial" w:cs="Arial"/>
          <w:sz w:val="22"/>
          <w:szCs w:val="22"/>
          <w:lang w:eastAsia="en-US"/>
        </w:rPr>
        <w:t>p</w:t>
      </w:r>
      <w:r w:rsidRPr="00CF4449">
        <w:rPr>
          <w:rFonts w:ascii="Arial" w:hAnsi="Arial" w:cs="Arial"/>
          <w:sz w:val="22"/>
          <w:szCs w:val="22"/>
        </w:rPr>
        <w:t>race prowadzone będą z zastosowaniem rozwiązań technicznych i organizacyjnych zabezpieczających przed niszczeniem ich brzegów i zasypaniem oraz przedostaniem się substancji chemicznych do wód powierzchniowych np. poprzez  szczelnie wygrodzenie terenu budowy, stosowanie siatek i plandek zabezpieczających pod obiektami mostowymi.</w:t>
      </w:r>
    </w:p>
    <w:p w:rsidR="003F6EE7" w:rsidRPr="00CF4449" w:rsidRDefault="007A137A" w:rsidP="00CF4449">
      <w:pPr>
        <w:spacing w:before="120" w:line="276" w:lineRule="auto"/>
        <w:rPr>
          <w:rFonts w:ascii="Arial" w:hAnsi="Arial" w:cs="Arial"/>
          <w:sz w:val="22"/>
          <w:szCs w:val="22"/>
        </w:rPr>
      </w:pPr>
      <w:r w:rsidRPr="00CF4449">
        <w:rPr>
          <w:rFonts w:ascii="Arial" w:hAnsi="Arial" w:cs="Arial"/>
          <w:sz w:val="22"/>
          <w:szCs w:val="22"/>
        </w:rPr>
        <w:t>Regionalny Dyrektor Ochrony Środowiska w Katowicach nie ujął również w niniejszej decyzji warunków Dyrektora Regionalnego Zarządu Gospodarki Wodnej w Poznaniu dotyczących:</w:t>
      </w:r>
    </w:p>
    <w:p w:rsidR="00933A61" w:rsidRPr="00CF4449" w:rsidRDefault="007A137A" w:rsidP="00CF4449">
      <w:pPr>
        <w:pStyle w:val="Akapitzlist"/>
        <w:numPr>
          <w:ilvl w:val="0"/>
          <w:numId w:val="16"/>
        </w:numPr>
        <w:spacing w:line="276" w:lineRule="auto"/>
        <w:rPr>
          <w:rFonts w:ascii="Arial" w:eastAsia="Times New Roman" w:hAnsi="Arial" w:cs="Arial"/>
          <w:sz w:val="22"/>
          <w:szCs w:val="22"/>
          <w:lang w:eastAsia="zh-CN"/>
        </w:rPr>
      </w:pPr>
      <w:r w:rsidRPr="00CF4449">
        <w:rPr>
          <w:rFonts w:ascii="Arial" w:hAnsi="Arial" w:cs="Arial"/>
          <w:sz w:val="22"/>
          <w:szCs w:val="22"/>
        </w:rPr>
        <w:lastRenderedPageBreak/>
        <w:t>konieczności dopuszczenia do prac wyłącznie sprzętu sprawnego oraz spełniającego wymogi dopuszczające go do użytkowania,</w:t>
      </w:r>
    </w:p>
    <w:p w:rsidR="00933A61" w:rsidRPr="00CF4449" w:rsidRDefault="007A137A" w:rsidP="00CF4449">
      <w:pPr>
        <w:numPr>
          <w:ilvl w:val="0"/>
          <w:numId w:val="16"/>
        </w:numPr>
        <w:spacing w:line="276" w:lineRule="auto"/>
        <w:rPr>
          <w:rFonts w:ascii="Arial" w:hAnsi="Arial" w:cs="Arial"/>
          <w:sz w:val="22"/>
          <w:szCs w:val="22"/>
        </w:rPr>
      </w:pPr>
      <w:r w:rsidRPr="00CF4449">
        <w:rPr>
          <w:rFonts w:ascii="Arial" w:hAnsi="Arial" w:cs="Arial"/>
          <w:sz w:val="22"/>
          <w:szCs w:val="22"/>
        </w:rPr>
        <w:t>konieczności prowadzenia stałego monitoringu stanu technicznego sprzętu budowlanego i transportowego oraz przypadków wystąpienia zanieczyszczenia gruntu i neutralizację miejsc mogących powodować zagrożenie dla środowiska gruntowo-wodnego,</w:t>
      </w:r>
    </w:p>
    <w:p w:rsidR="00933A61" w:rsidRPr="00CF4449" w:rsidRDefault="007A137A" w:rsidP="00CF4449">
      <w:pPr>
        <w:numPr>
          <w:ilvl w:val="0"/>
          <w:numId w:val="16"/>
        </w:numPr>
        <w:spacing w:line="276" w:lineRule="auto"/>
        <w:rPr>
          <w:rFonts w:ascii="Arial" w:hAnsi="Arial" w:cs="Arial"/>
          <w:sz w:val="22"/>
          <w:szCs w:val="22"/>
        </w:rPr>
      </w:pPr>
      <w:r w:rsidRPr="00CF4449">
        <w:rPr>
          <w:rFonts w:ascii="Arial" w:eastAsiaTheme="minorHAnsi" w:hAnsi="Arial" w:cs="Arial"/>
          <w:sz w:val="22"/>
          <w:szCs w:val="22"/>
          <w:lang w:eastAsia="en-US"/>
        </w:rPr>
        <w:t>odprowadzenia wód opadowo-roztopowych i spełnienia przez nie wymogów przed odprowadzeniem ich do gruntu i urządzeń wodnych</w:t>
      </w:r>
    </w:p>
    <w:p w:rsidR="00FF5049" w:rsidRPr="00CF4449" w:rsidRDefault="007A137A" w:rsidP="00CF4449">
      <w:pPr>
        <w:numPr>
          <w:ilvl w:val="0"/>
          <w:numId w:val="16"/>
        </w:numPr>
        <w:spacing w:line="276" w:lineRule="auto"/>
        <w:rPr>
          <w:rFonts w:ascii="Arial" w:hAnsi="Arial" w:cs="Arial"/>
          <w:sz w:val="22"/>
          <w:szCs w:val="22"/>
        </w:rPr>
      </w:pPr>
      <w:r w:rsidRPr="00CF4449">
        <w:rPr>
          <w:rFonts w:ascii="Arial" w:eastAsiaTheme="minorHAnsi" w:hAnsi="Arial" w:cs="Arial"/>
          <w:sz w:val="22"/>
          <w:szCs w:val="22"/>
          <w:lang w:eastAsia="en-US"/>
        </w:rPr>
        <w:t>uporządkowania terenu w granicach inwestycji po zakończeniu prac budowlanych</w:t>
      </w:r>
    </w:p>
    <w:p w:rsidR="00BC67E1" w:rsidRPr="00CF4449" w:rsidRDefault="007A137A" w:rsidP="00CF4449">
      <w:pPr>
        <w:pStyle w:val="Akapitzlist"/>
        <w:spacing w:before="25" w:line="276" w:lineRule="auto"/>
        <w:ind w:left="0"/>
        <w:rPr>
          <w:rFonts w:ascii="Arial" w:hAnsi="Arial" w:cs="Arial"/>
          <w:sz w:val="22"/>
          <w:szCs w:val="22"/>
        </w:rPr>
      </w:pPr>
      <w:r w:rsidRPr="00CF4449">
        <w:rPr>
          <w:rFonts w:ascii="Arial" w:hAnsi="Arial" w:cs="Arial"/>
          <w:color w:val="00000A"/>
          <w:kern w:val="2"/>
          <w:sz w:val="22"/>
          <w:szCs w:val="22"/>
        </w:rPr>
        <w:t>gdyż wynikają one bezpośrednio z odrębnych przepisów prawa (</w:t>
      </w:r>
      <w:r w:rsidRPr="00CF4449">
        <w:rPr>
          <w:rFonts w:ascii="Arial" w:hAnsi="Arial" w:cs="Arial"/>
          <w:color w:val="auto"/>
          <w:kern w:val="2"/>
          <w:sz w:val="22"/>
          <w:szCs w:val="22"/>
        </w:rPr>
        <w:t>warunek 1, 3 i 4) oraz w przypadku warunku 2 jest on</w:t>
      </w:r>
      <w:r w:rsidRPr="00CF4449">
        <w:rPr>
          <w:rFonts w:ascii="Arial" w:hAnsi="Arial" w:cs="Arial"/>
          <w:color w:val="auto"/>
          <w:sz w:val="22"/>
          <w:szCs w:val="22"/>
        </w:rPr>
        <w:t xml:space="preserve"> zbyt ogólny i nie wskazuje konkretnych założeń </w:t>
      </w:r>
      <w:r w:rsidRPr="00CF4449">
        <w:rPr>
          <w:rFonts w:ascii="Arial" w:hAnsi="Arial" w:cs="Arial"/>
          <w:sz w:val="22"/>
          <w:szCs w:val="22"/>
        </w:rPr>
        <w:t>przeprowadzenia monitoringu tj. zakresu, częstotliwości, sposobu przetrzymywania lub przekazywania danych i jednocześnie nie dotyczy bezpośrednio warunków z zakresu ochrony środowiska.</w:t>
      </w:r>
    </w:p>
    <w:p w:rsidR="00072FB6" w:rsidRPr="00CF4449" w:rsidRDefault="007A137A" w:rsidP="00CF4449">
      <w:pPr>
        <w:spacing w:before="120" w:line="276" w:lineRule="auto"/>
        <w:rPr>
          <w:rFonts w:ascii="Arial" w:hAnsi="Arial" w:cs="Arial"/>
          <w:color w:val="00000A"/>
          <w:kern w:val="2"/>
          <w:sz w:val="22"/>
          <w:szCs w:val="22"/>
          <w:lang w:eastAsia="pl-PL"/>
        </w:rPr>
      </w:pPr>
      <w:r w:rsidRPr="00CF4449">
        <w:rPr>
          <w:rFonts w:ascii="Arial" w:hAnsi="Arial" w:cs="Arial"/>
          <w:kern w:val="2"/>
          <w:sz w:val="22"/>
          <w:szCs w:val="22"/>
          <w:lang w:eastAsia="pl-PL"/>
        </w:rPr>
        <w:t>Pozostałe w</w:t>
      </w:r>
      <w:r w:rsidRPr="00CF4449">
        <w:rPr>
          <w:rFonts w:ascii="Arial" w:hAnsi="Arial" w:cs="Arial"/>
          <w:color w:val="00000A"/>
          <w:kern w:val="2"/>
          <w:sz w:val="22"/>
          <w:szCs w:val="22"/>
          <w:lang w:eastAsia="pl-PL"/>
        </w:rPr>
        <w:t>arunki są zgodne z warunkami zawartymi w opinii Dyrektora Regionalnego Zarządu Gospodarki Wodnej w Poznaniu.</w:t>
      </w:r>
    </w:p>
    <w:p w:rsidR="003F6EE7" w:rsidRPr="00CF4449" w:rsidRDefault="007A137A" w:rsidP="00CF4449">
      <w:pPr>
        <w:spacing w:before="120" w:after="120" w:line="276" w:lineRule="auto"/>
        <w:rPr>
          <w:rFonts w:ascii="Arial" w:hAnsi="Arial" w:cs="Arial"/>
          <w:color w:val="00000A"/>
          <w:kern w:val="2"/>
          <w:sz w:val="22"/>
          <w:szCs w:val="22"/>
        </w:rPr>
      </w:pPr>
      <w:r w:rsidRPr="00CF4449">
        <w:rPr>
          <w:rFonts w:ascii="Arial" w:hAnsi="Arial" w:cs="Arial"/>
          <w:color w:val="00000A"/>
          <w:kern w:val="2"/>
          <w:sz w:val="22"/>
          <w:szCs w:val="22"/>
        </w:rPr>
        <w:t>Przy zachowaniu zasad prawidłowej organizacji robót tj. stosowania się do wskazanych wyżej warunków pozwalających na ochronę środowiska gruntowo-wodnego nie przewiduje się trwałego wpływu przebudowy drogi na ten komponent środowiska.</w:t>
      </w:r>
    </w:p>
    <w:p w:rsidR="000A634D" w:rsidRPr="00CF4449" w:rsidRDefault="007A137A" w:rsidP="00CF4449">
      <w:pPr>
        <w:spacing w:line="276" w:lineRule="auto"/>
        <w:rPr>
          <w:rFonts w:ascii="Arial" w:eastAsia="Arial" w:hAnsi="Arial" w:cs="Arial"/>
          <w:color w:val="00000A"/>
          <w:sz w:val="22"/>
          <w:szCs w:val="22"/>
        </w:rPr>
      </w:pPr>
      <w:r w:rsidRPr="00CF4449">
        <w:rPr>
          <w:rFonts w:ascii="Arial" w:eastAsia="Arial" w:hAnsi="Arial" w:cs="Arial"/>
          <w:color w:val="00000A"/>
          <w:sz w:val="22"/>
          <w:szCs w:val="22"/>
        </w:rPr>
        <w:t>W fazie realizacji przedsięwzięcia źródłem wytwarzania odpadów będą:</w:t>
      </w:r>
    </w:p>
    <w:p w:rsidR="000A634D" w:rsidRPr="00CF4449" w:rsidRDefault="007A137A" w:rsidP="00CF4449">
      <w:pPr>
        <w:spacing w:line="276" w:lineRule="auto"/>
        <w:rPr>
          <w:rFonts w:ascii="Arial" w:eastAsia="Arial" w:hAnsi="Arial" w:cs="Arial"/>
          <w:color w:val="00000A"/>
          <w:sz w:val="22"/>
          <w:szCs w:val="22"/>
        </w:rPr>
      </w:pPr>
      <w:r w:rsidRPr="00CF4449">
        <w:rPr>
          <w:rFonts w:ascii="Arial" w:eastAsia="Arial" w:hAnsi="Arial" w:cs="Arial"/>
          <w:color w:val="00000A"/>
          <w:sz w:val="22"/>
          <w:szCs w:val="22"/>
        </w:rPr>
        <w:t>-</w:t>
      </w:r>
      <w:r w:rsidRPr="00CF4449">
        <w:rPr>
          <w:rFonts w:ascii="Arial" w:eastAsia="Arial" w:hAnsi="Arial" w:cs="Arial"/>
          <w:color w:val="00000A"/>
          <w:sz w:val="22"/>
          <w:szCs w:val="22"/>
        </w:rPr>
        <w:tab/>
        <w:t>roboty ziemne,</w:t>
      </w:r>
    </w:p>
    <w:p w:rsidR="000A634D" w:rsidRPr="00CF4449" w:rsidRDefault="007A137A" w:rsidP="00CF4449">
      <w:pPr>
        <w:spacing w:line="276" w:lineRule="auto"/>
        <w:rPr>
          <w:rFonts w:ascii="Arial" w:eastAsia="Arial" w:hAnsi="Arial" w:cs="Arial"/>
          <w:color w:val="00000A"/>
          <w:sz w:val="22"/>
          <w:szCs w:val="22"/>
        </w:rPr>
      </w:pPr>
      <w:r w:rsidRPr="00CF4449">
        <w:rPr>
          <w:rFonts w:ascii="Arial" w:eastAsia="Arial" w:hAnsi="Arial" w:cs="Arial"/>
          <w:color w:val="00000A"/>
          <w:sz w:val="22"/>
          <w:szCs w:val="22"/>
        </w:rPr>
        <w:t>-</w:t>
      </w:r>
      <w:r w:rsidRPr="00CF4449">
        <w:rPr>
          <w:rFonts w:ascii="Arial" w:eastAsia="Arial" w:hAnsi="Arial" w:cs="Arial"/>
          <w:color w:val="00000A"/>
          <w:sz w:val="22"/>
          <w:szCs w:val="22"/>
        </w:rPr>
        <w:tab/>
        <w:t>roboty budowlane,</w:t>
      </w:r>
    </w:p>
    <w:p w:rsidR="000A634D" w:rsidRPr="00CF4449" w:rsidRDefault="007A137A" w:rsidP="00CF4449">
      <w:pPr>
        <w:spacing w:line="276" w:lineRule="auto"/>
        <w:rPr>
          <w:rFonts w:ascii="Arial" w:eastAsia="Arial" w:hAnsi="Arial" w:cs="Arial"/>
          <w:color w:val="00000A"/>
          <w:sz w:val="22"/>
          <w:szCs w:val="22"/>
        </w:rPr>
      </w:pPr>
      <w:r w:rsidRPr="00CF4449">
        <w:rPr>
          <w:rFonts w:ascii="Arial" w:eastAsia="Arial" w:hAnsi="Arial" w:cs="Arial"/>
          <w:color w:val="00000A"/>
          <w:sz w:val="22"/>
          <w:szCs w:val="22"/>
        </w:rPr>
        <w:t>-</w:t>
      </w:r>
      <w:r w:rsidRPr="00CF4449">
        <w:rPr>
          <w:rFonts w:ascii="Arial" w:eastAsia="Arial" w:hAnsi="Arial" w:cs="Arial"/>
          <w:color w:val="00000A"/>
          <w:sz w:val="22"/>
          <w:szCs w:val="22"/>
        </w:rPr>
        <w:tab/>
        <w:t>roboty wykończeniowe i porządkowe.</w:t>
      </w:r>
    </w:p>
    <w:p w:rsidR="000A634D" w:rsidRPr="00CF4449" w:rsidRDefault="007A137A" w:rsidP="00CF4449">
      <w:pPr>
        <w:spacing w:line="276" w:lineRule="auto"/>
        <w:rPr>
          <w:rFonts w:ascii="Arial" w:eastAsia="Arial" w:hAnsi="Arial" w:cs="Arial"/>
          <w:color w:val="00000A"/>
          <w:sz w:val="22"/>
          <w:szCs w:val="22"/>
        </w:rPr>
      </w:pPr>
      <w:r w:rsidRPr="00CF4449">
        <w:rPr>
          <w:rFonts w:ascii="Arial" w:eastAsia="Arial" w:hAnsi="Arial" w:cs="Arial"/>
          <w:color w:val="00000A"/>
          <w:sz w:val="22"/>
          <w:szCs w:val="22"/>
        </w:rPr>
        <w:t>Będą to głównie odpady z grupy 15 - m. in. odpady opakowaniowe, sorbenty, tkaniny, materiały filtracyjne, z grupy 17 - odpady z budowy i 20 - odpady komunalne. Do odpadów niebezpiecznych wytwarzanych w ramach bieżącej konserwacji maszyn i urządzeń budowlanych należy przewidzieć opakowania po substancjach niebezpiecznych m.in. oleje, smary, inne płyny eksploatacyjne.</w:t>
      </w:r>
    </w:p>
    <w:p w:rsidR="004863BF" w:rsidRPr="00CF4449" w:rsidRDefault="007A137A" w:rsidP="00CF4449">
      <w:pPr>
        <w:spacing w:before="120" w:line="276" w:lineRule="auto"/>
        <w:rPr>
          <w:rFonts w:ascii="Arial" w:eastAsia="Arial" w:hAnsi="Arial" w:cs="Arial"/>
          <w:color w:val="00000A"/>
          <w:sz w:val="22"/>
          <w:szCs w:val="22"/>
        </w:rPr>
      </w:pPr>
      <w:r w:rsidRPr="00CF4449">
        <w:rPr>
          <w:rFonts w:ascii="Arial" w:eastAsia="Arial" w:hAnsi="Arial" w:cs="Arial"/>
          <w:color w:val="00000A"/>
          <w:sz w:val="22"/>
          <w:szCs w:val="22"/>
        </w:rPr>
        <w:t>Odpady będą gromadzone selektywnie, w wyznaczonych miejscach, w oznakowanych pojemnikach i przekazywane uprawnionym odbiorcom. Odpady niebezpieczne będą magazynowane w zadaszonej wiacie na szczelnym podłożu.</w:t>
      </w:r>
    </w:p>
    <w:p w:rsidR="004863BF" w:rsidRPr="00CF4449" w:rsidRDefault="007A137A" w:rsidP="00CF4449">
      <w:pPr>
        <w:pStyle w:val="Bezodstpw"/>
        <w:spacing w:before="120" w:line="276" w:lineRule="auto"/>
        <w:rPr>
          <w:rFonts w:ascii="Arial" w:hAnsi="Arial" w:cs="Arial"/>
          <w:kern w:val="2"/>
          <w:sz w:val="22"/>
          <w:szCs w:val="22"/>
        </w:rPr>
      </w:pPr>
      <w:r w:rsidRPr="00CF4449">
        <w:rPr>
          <w:rFonts w:ascii="Arial" w:hAnsi="Arial" w:cs="Arial"/>
          <w:kern w:val="2"/>
          <w:sz w:val="22"/>
          <w:szCs w:val="22"/>
        </w:rPr>
        <w:t>Biorąc powyższe pod uwagę Organ wskazał warunek określony w pkt. II.3, aby odpady powstałe na etapie budowy były czasowo magazynowane w sposób selektywny w specjalnie do tego przystosowanych pojemnikach, w taki sposób, aby zminimalizować możliwość ich negatywnego oddziaływania na środowisko gruntowo-wodne, a w przypadku odpadów niebezpiecznych dodatkowo na powierzchni szczelnej i utwardzonej.</w:t>
      </w:r>
    </w:p>
    <w:p w:rsidR="000A634D" w:rsidRPr="00CF4449" w:rsidRDefault="007A137A" w:rsidP="00CF4449">
      <w:pPr>
        <w:spacing w:before="120" w:line="276" w:lineRule="auto"/>
        <w:rPr>
          <w:rFonts w:ascii="Arial" w:eastAsia="Arial" w:hAnsi="Arial" w:cs="Arial"/>
          <w:color w:val="00000A"/>
          <w:sz w:val="22"/>
          <w:szCs w:val="22"/>
        </w:rPr>
      </w:pPr>
      <w:r w:rsidRPr="00CF4449">
        <w:rPr>
          <w:rFonts w:ascii="Arial" w:eastAsia="Arial" w:hAnsi="Arial" w:cs="Arial"/>
          <w:color w:val="00000A"/>
          <w:sz w:val="22"/>
          <w:szCs w:val="22"/>
        </w:rPr>
        <w:t>Na etapie eksploatacji źródłem powstania odpadów będą utrzymanie czystości drogi i prace konserwacyjne takie jak remonty nawierzchni, utrzymanie zieleni. Będą również powstawały odpady powstałe w wyniku wypadków i zdarzeń losowych oraz odpady związane z eksploatacją urządzeń kanalizacji deszczowej. Wszystkie odpady będą na bieżąco przekazywane uprawnionym podmiotom.</w:t>
      </w:r>
    </w:p>
    <w:p w:rsidR="000A634D" w:rsidRPr="00CF4449" w:rsidRDefault="007A137A" w:rsidP="00CF4449">
      <w:pPr>
        <w:spacing w:before="120" w:after="120" w:line="276" w:lineRule="auto"/>
        <w:rPr>
          <w:rFonts w:ascii="Arial" w:eastAsia="Arial" w:hAnsi="Arial" w:cs="Arial"/>
          <w:color w:val="00000A"/>
          <w:sz w:val="22"/>
          <w:szCs w:val="22"/>
        </w:rPr>
      </w:pPr>
      <w:r w:rsidRPr="00CF4449">
        <w:rPr>
          <w:rFonts w:ascii="Arial" w:eastAsia="Arial" w:hAnsi="Arial" w:cs="Arial"/>
          <w:color w:val="000000"/>
          <w:sz w:val="22"/>
          <w:szCs w:val="22"/>
        </w:rPr>
        <w:t>P</w:t>
      </w:r>
      <w:r w:rsidRPr="00CF4449">
        <w:rPr>
          <w:rFonts w:ascii="Arial" w:eastAsia="Arial" w:hAnsi="Arial" w:cs="Arial"/>
          <w:color w:val="00000A"/>
          <w:sz w:val="22"/>
          <w:szCs w:val="22"/>
        </w:rPr>
        <w:t xml:space="preserve">rzedmiotowe przedsięwzięcie nie będzie stanowić zagrożenia dla środowiska ze względu na ilość i rodzaj wytwarzanych odpadów, pod warunkiem prowadzenia prawidłowej gospodarki odpadami, zgodnej z obowiązującymi przepisami w zakresie gospodarki odpadami oraz przepisami szczegółowymi ze szczególnym uwzględnieniem zasad </w:t>
      </w:r>
      <w:r w:rsidRPr="00CF4449">
        <w:rPr>
          <w:rFonts w:ascii="Arial" w:eastAsia="Arial" w:hAnsi="Arial" w:cs="Arial"/>
          <w:color w:val="00000A"/>
          <w:sz w:val="22"/>
          <w:szCs w:val="22"/>
        </w:rPr>
        <w:lastRenderedPageBreak/>
        <w:t>selektywnego ich gromadzenia oraz ograniczenia kontaktu z otoczeniem w celu wyeliminowania zagrożenia uwolnienia niebezpiecznych substancji do środowiska.</w:t>
      </w:r>
    </w:p>
    <w:p w:rsidR="00FE3BEC" w:rsidRPr="00CF4449" w:rsidRDefault="007A137A" w:rsidP="00CF4449">
      <w:pPr>
        <w:spacing w:before="120" w:line="276" w:lineRule="auto"/>
        <w:rPr>
          <w:rFonts w:ascii="Arial" w:eastAsia="Arial" w:hAnsi="Arial" w:cs="Arial"/>
          <w:sz w:val="22"/>
          <w:szCs w:val="22"/>
        </w:rPr>
      </w:pPr>
      <w:r w:rsidRPr="00CF4449">
        <w:rPr>
          <w:rFonts w:ascii="Arial" w:eastAsia="Arial" w:hAnsi="Arial" w:cs="Arial"/>
          <w:sz w:val="22"/>
          <w:szCs w:val="22"/>
        </w:rPr>
        <w:t xml:space="preserve">Przedsięwzięcie nie będzie stanowiło zagrożenia dla środowiska przyrodniczego. Inwestycja realizowana jest na terenie już przekształconym, w istniejącym pasie rozdziału autostrady A1. Inwestycja nie wymaga wycinki zieleni oraz nie wymaga przebudowy i umocnienia cieków naturalnych. </w:t>
      </w:r>
    </w:p>
    <w:p w:rsidR="000A634D" w:rsidRPr="00CF4449" w:rsidRDefault="007A137A" w:rsidP="00CF4449">
      <w:pPr>
        <w:spacing w:line="276" w:lineRule="auto"/>
        <w:rPr>
          <w:rFonts w:ascii="Arial" w:eastAsia="Arial" w:hAnsi="Arial" w:cs="Arial"/>
          <w:sz w:val="22"/>
          <w:szCs w:val="22"/>
        </w:rPr>
      </w:pPr>
      <w:r w:rsidRPr="00CF4449">
        <w:rPr>
          <w:rFonts w:ascii="Arial" w:eastAsia="Arial" w:hAnsi="Arial" w:cs="Arial"/>
          <w:sz w:val="22"/>
          <w:szCs w:val="22"/>
        </w:rPr>
        <w:t>Na terenie, na którym będzie realizowane przedsięwzięcie znajdują się następujące obiekty:</w:t>
      </w:r>
    </w:p>
    <w:p w:rsidR="000A634D" w:rsidRPr="00CF4449" w:rsidRDefault="007A137A" w:rsidP="00CF4449">
      <w:pPr>
        <w:spacing w:line="276" w:lineRule="auto"/>
        <w:rPr>
          <w:rFonts w:ascii="Arial" w:eastAsia="Arial" w:hAnsi="Arial" w:cs="Arial"/>
          <w:sz w:val="22"/>
          <w:szCs w:val="22"/>
        </w:rPr>
      </w:pPr>
      <w:r w:rsidRPr="00CF4449">
        <w:rPr>
          <w:rFonts w:ascii="Arial" w:eastAsia="Arial" w:hAnsi="Arial" w:cs="Arial"/>
          <w:sz w:val="22"/>
          <w:szCs w:val="22"/>
        </w:rPr>
        <w:t>- przejście dla małych ssaków - Ppz 12 km 416+819,88,</w:t>
      </w:r>
    </w:p>
    <w:p w:rsidR="000A634D" w:rsidRPr="00CF4449" w:rsidRDefault="007A137A" w:rsidP="00CF4449">
      <w:pPr>
        <w:spacing w:line="276" w:lineRule="auto"/>
        <w:rPr>
          <w:rFonts w:ascii="Arial" w:eastAsia="Arial" w:hAnsi="Arial" w:cs="Arial"/>
          <w:sz w:val="22"/>
          <w:szCs w:val="22"/>
        </w:rPr>
      </w:pPr>
      <w:r w:rsidRPr="00CF4449">
        <w:rPr>
          <w:rFonts w:ascii="Arial" w:eastAsia="Arial" w:hAnsi="Arial" w:cs="Arial"/>
          <w:sz w:val="22"/>
          <w:szCs w:val="22"/>
        </w:rPr>
        <w:t>- przejście dla małych ssaków, rzeka Sękownica (Wierzchowina) - Ppz 13 km 417+595,94</w:t>
      </w:r>
    </w:p>
    <w:p w:rsidR="00B77070" w:rsidRPr="00CF4449" w:rsidRDefault="007A137A" w:rsidP="00CF4449">
      <w:pPr>
        <w:spacing w:line="276" w:lineRule="auto"/>
        <w:rPr>
          <w:rFonts w:ascii="Arial" w:eastAsia="Arial" w:hAnsi="Arial" w:cs="Arial"/>
          <w:sz w:val="22"/>
          <w:szCs w:val="22"/>
        </w:rPr>
      </w:pPr>
      <w:r w:rsidRPr="00CF4449">
        <w:rPr>
          <w:rFonts w:ascii="Arial" w:eastAsia="Arial" w:hAnsi="Arial" w:cs="Arial"/>
          <w:sz w:val="22"/>
          <w:szCs w:val="22"/>
        </w:rPr>
        <w:t>- wiadukt autostradowy - WA 352 km 417+449,00.</w:t>
      </w:r>
    </w:p>
    <w:p w:rsidR="000A634D" w:rsidRPr="00CF4449" w:rsidRDefault="007A137A" w:rsidP="00CF4449">
      <w:pPr>
        <w:spacing w:line="276" w:lineRule="auto"/>
        <w:rPr>
          <w:rFonts w:ascii="Arial" w:eastAsia="Arial" w:hAnsi="Arial" w:cs="Arial"/>
          <w:sz w:val="22"/>
          <w:szCs w:val="22"/>
        </w:rPr>
      </w:pPr>
      <w:r w:rsidRPr="00CF4449">
        <w:rPr>
          <w:rFonts w:ascii="Arial" w:eastAsia="Arial" w:hAnsi="Arial" w:cs="Arial"/>
          <w:sz w:val="22"/>
          <w:szCs w:val="22"/>
        </w:rPr>
        <w:t xml:space="preserve">Obiekty te funkcjonują w chwili obecnej i nie wymagają przebudowy w związku z budową 3 pasa. Nowa nawierzchnia, która będzie położona w pasie rozdziału wraz z podbudową zostanie wykonana na istniejącej konstrukcji przepustów. </w:t>
      </w:r>
    </w:p>
    <w:p w:rsidR="00C53134" w:rsidRPr="00CF4449" w:rsidRDefault="007A137A" w:rsidP="00CF4449">
      <w:pPr>
        <w:spacing w:after="120" w:line="276" w:lineRule="auto"/>
        <w:rPr>
          <w:rFonts w:ascii="Arial" w:eastAsia="Arial" w:hAnsi="Arial" w:cs="Arial"/>
          <w:sz w:val="22"/>
          <w:szCs w:val="22"/>
        </w:rPr>
      </w:pPr>
      <w:r w:rsidRPr="00CF4449">
        <w:rPr>
          <w:rFonts w:ascii="Arial" w:eastAsia="Arial" w:hAnsi="Arial" w:cs="Arial"/>
          <w:sz w:val="22"/>
          <w:szCs w:val="22"/>
        </w:rPr>
        <w:t>Dobudowa 3 pasa na odcinku ok. 1,55 km nie wpłynie na zachowanie dotychczasowych szlaków migracji oraz funkcjonalność ww. przejść dla zwierząt.</w:t>
      </w:r>
    </w:p>
    <w:p w:rsidR="007E5DBE" w:rsidRPr="00CF4449" w:rsidRDefault="007A137A" w:rsidP="00CF4449">
      <w:pPr>
        <w:spacing w:after="120" w:line="276" w:lineRule="auto"/>
        <w:rPr>
          <w:rFonts w:ascii="Arial" w:eastAsia="Arial" w:hAnsi="Arial" w:cs="Arial"/>
          <w:sz w:val="22"/>
          <w:szCs w:val="22"/>
        </w:rPr>
      </w:pPr>
      <w:r w:rsidRPr="00CF4449">
        <w:rPr>
          <w:rFonts w:ascii="Arial" w:eastAsia="Arial" w:hAnsi="Arial" w:cs="Arial"/>
          <w:sz w:val="22"/>
          <w:szCs w:val="22"/>
        </w:rPr>
        <w:t xml:space="preserve">Biorąc pod uwagę lokalizację przedsięwzięcia i jego skalę tj. dobudowa 3 pasa autostrady na odcinku ok. 1,55 km, w istniejącym pasie rozdziału autostrady, na terenie przekształconym, w nasypie oraz dobudowa fragmentu rowu o dł. ok. 18 m realizacja przedsięwzięcia stanowi minimalne </w:t>
      </w:r>
      <w:r w:rsidRPr="00CF4449">
        <w:rPr>
          <w:rFonts w:ascii="Arial" w:hAnsi="Arial" w:cs="Arial"/>
          <w:sz w:val="22"/>
          <w:szCs w:val="22"/>
        </w:rPr>
        <w:t>zagrożenie wystąpienia przypadków nieumyślnego zabijania zwierząt.</w:t>
      </w:r>
    </w:p>
    <w:p w:rsidR="00172EDB" w:rsidRPr="00CF4449" w:rsidRDefault="007A137A" w:rsidP="00CF4449">
      <w:pPr>
        <w:suppressAutoHyphens w:val="0"/>
        <w:autoSpaceDE w:val="0"/>
        <w:autoSpaceDN w:val="0"/>
        <w:adjustRightInd w:val="0"/>
        <w:spacing w:line="276" w:lineRule="auto"/>
        <w:rPr>
          <w:rFonts w:ascii="Arial" w:eastAsiaTheme="minorHAnsi" w:hAnsi="Arial" w:cs="Arial"/>
          <w:sz w:val="22"/>
          <w:szCs w:val="22"/>
          <w:lang w:eastAsia="en-US"/>
        </w:rPr>
      </w:pPr>
      <w:r w:rsidRPr="00CF4449">
        <w:rPr>
          <w:rFonts w:ascii="Arial" w:hAnsi="Arial" w:cs="Arial"/>
          <w:sz w:val="22"/>
          <w:szCs w:val="22"/>
        </w:rPr>
        <w:t xml:space="preserve">Inwestycja realizowana będzie na terenie, na którym nie występują obszary: wodno-błotne oraz inne obszary o płytkim zaleganiu wód podziemnych,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jeziora, uzdrowiska i obszary ochrony uzdrowiskowej, obszary o krajobrazie mającym znaczenie historyczne lub  kulturowe. Najbliżej położony obszar Natura 2000 – Torfowisko przy Dolinie Kocinki </w:t>
      </w:r>
      <w:r w:rsidRPr="00CF4449">
        <w:rPr>
          <w:rFonts w:ascii="Arial" w:eastAsiaTheme="minorHAnsi" w:hAnsi="Arial" w:cs="Arial"/>
          <w:sz w:val="22"/>
          <w:szCs w:val="22"/>
          <w:lang w:eastAsia="en-US"/>
        </w:rPr>
        <w:t>PLH240025 zlokalizowany jest ok. 7 km od planowanej inwestycji).</w:t>
      </w:r>
    </w:p>
    <w:p w:rsidR="00DC4D68" w:rsidRPr="00CF4449" w:rsidRDefault="007A137A" w:rsidP="00CF4449">
      <w:pPr>
        <w:suppressAutoHyphens w:val="0"/>
        <w:autoSpaceDE w:val="0"/>
        <w:autoSpaceDN w:val="0"/>
        <w:adjustRightInd w:val="0"/>
        <w:spacing w:line="276" w:lineRule="auto"/>
        <w:rPr>
          <w:rStyle w:val="markedcontent"/>
          <w:rFonts w:ascii="Arial" w:hAnsi="Arial" w:cs="Arial"/>
          <w:sz w:val="22"/>
          <w:szCs w:val="22"/>
        </w:rPr>
      </w:pPr>
      <w:r w:rsidRPr="00CF4449">
        <w:rPr>
          <w:rStyle w:val="markedcontent"/>
          <w:rFonts w:ascii="Arial" w:hAnsi="Arial" w:cs="Arial"/>
          <w:sz w:val="22"/>
          <w:szCs w:val="22"/>
        </w:rPr>
        <w:t xml:space="preserve">Powyższy obszar został zatwierdzony i uznany Decyzją Komisji Europejskiej 2011/64/UE z 10 stycznia 2011 r. jako obszar mające znaczenie dla Wspólnoty. Zgodnie ze Standardowym Formularzem Danych opracowanym w lipcu 2008 r. (zaktualizowanym w maju 2020 r.) przedmiotami ochrony obszaru Natura 2000 Torfowisko przy Dolinie Kocinki PLH240025 są siedliska przyrodnicze: </w:t>
      </w:r>
    </w:p>
    <w:p w:rsidR="00DC4D68" w:rsidRPr="00CF4449" w:rsidRDefault="007A137A" w:rsidP="00CF4449">
      <w:pPr>
        <w:suppressAutoHyphens w:val="0"/>
        <w:autoSpaceDE w:val="0"/>
        <w:autoSpaceDN w:val="0"/>
        <w:adjustRightInd w:val="0"/>
        <w:spacing w:line="276" w:lineRule="auto"/>
        <w:rPr>
          <w:rStyle w:val="markedcontent"/>
          <w:rFonts w:ascii="Arial" w:hAnsi="Arial" w:cs="Arial"/>
          <w:sz w:val="22"/>
          <w:szCs w:val="22"/>
        </w:rPr>
      </w:pPr>
      <w:r w:rsidRPr="00CF4449">
        <w:rPr>
          <w:rStyle w:val="markedcontent"/>
          <w:rFonts w:ascii="Arial" w:hAnsi="Arial" w:cs="Arial"/>
          <w:sz w:val="22"/>
          <w:szCs w:val="22"/>
        </w:rPr>
        <w:t>-</w:t>
      </w:r>
      <w:r w:rsidRPr="00CF4449">
        <w:rPr>
          <w:rStyle w:val="markedcontent"/>
          <w:rFonts w:ascii="Arial" w:hAnsi="Arial" w:cs="Arial"/>
          <w:sz w:val="22"/>
          <w:szCs w:val="22"/>
        </w:rPr>
        <w:tab/>
        <w:t>7110 – Torfowiska wysokie z roślinnością torfotwórczą (żywe),</w:t>
      </w:r>
    </w:p>
    <w:p w:rsidR="00E31784" w:rsidRPr="00CF4449" w:rsidRDefault="007A137A" w:rsidP="00CF4449">
      <w:pPr>
        <w:suppressAutoHyphens w:val="0"/>
        <w:autoSpaceDE w:val="0"/>
        <w:autoSpaceDN w:val="0"/>
        <w:adjustRightInd w:val="0"/>
        <w:spacing w:line="276" w:lineRule="auto"/>
        <w:rPr>
          <w:rStyle w:val="markedcontent"/>
          <w:rFonts w:ascii="Arial" w:hAnsi="Arial" w:cs="Arial"/>
          <w:sz w:val="22"/>
          <w:szCs w:val="22"/>
        </w:rPr>
      </w:pPr>
      <w:r w:rsidRPr="00CF4449">
        <w:rPr>
          <w:rStyle w:val="markedcontent"/>
          <w:rFonts w:ascii="Arial" w:hAnsi="Arial" w:cs="Arial"/>
          <w:sz w:val="22"/>
          <w:szCs w:val="22"/>
        </w:rPr>
        <w:t>-</w:t>
      </w:r>
      <w:r w:rsidRPr="00CF4449">
        <w:rPr>
          <w:rStyle w:val="markedcontent"/>
          <w:rFonts w:ascii="Arial" w:hAnsi="Arial" w:cs="Arial"/>
          <w:sz w:val="22"/>
          <w:szCs w:val="22"/>
        </w:rPr>
        <w:tab/>
        <w:t>7140 – Torfowiska przejściowe i trzęsawiska (przeważnie z roślinnością z </w:t>
      </w:r>
      <w:r w:rsidRPr="00CF4449">
        <w:rPr>
          <w:rStyle w:val="markedcontent"/>
          <w:rFonts w:ascii="Arial" w:hAnsi="Arial" w:cs="Arial"/>
          <w:i/>
          <w:sz w:val="22"/>
          <w:szCs w:val="22"/>
        </w:rPr>
        <w:t>Scheuchzerio-Caricetea</w:t>
      </w:r>
      <w:r w:rsidRPr="00CF4449">
        <w:rPr>
          <w:rStyle w:val="markedcontent"/>
          <w:rFonts w:ascii="Arial" w:hAnsi="Arial" w:cs="Arial"/>
          <w:sz w:val="22"/>
          <w:szCs w:val="22"/>
        </w:rPr>
        <w:t xml:space="preserve">), </w:t>
      </w:r>
    </w:p>
    <w:p w:rsidR="00172EDB" w:rsidRPr="00CF4449" w:rsidRDefault="007A137A" w:rsidP="00CF4449">
      <w:pPr>
        <w:suppressAutoHyphens w:val="0"/>
        <w:autoSpaceDE w:val="0"/>
        <w:autoSpaceDN w:val="0"/>
        <w:adjustRightInd w:val="0"/>
        <w:spacing w:line="276" w:lineRule="auto"/>
        <w:rPr>
          <w:rStyle w:val="markedcontent"/>
          <w:rFonts w:ascii="Arial" w:hAnsi="Arial" w:cs="Arial"/>
          <w:sz w:val="22"/>
          <w:szCs w:val="22"/>
        </w:rPr>
      </w:pPr>
      <w:r w:rsidRPr="00CF4449">
        <w:rPr>
          <w:rStyle w:val="markedcontent"/>
          <w:rFonts w:ascii="Arial" w:hAnsi="Arial" w:cs="Arial"/>
          <w:sz w:val="22"/>
          <w:szCs w:val="22"/>
        </w:rPr>
        <w:t>-</w:t>
      </w:r>
      <w:r w:rsidRPr="00CF4449">
        <w:rPr>
          <w:rStyle w:val="markedcontent"/>
          <w:rFonts w:ascii="Arial" w:hAnsi="Arial" w:cs="Arial"/>
          <w:sz w:val="22"/>
          <w:szCs w:val="22"/>
        </w:rPr>
        <w:tab/>
        <w:t>91D0 – Bory i lasy bagienne.</w:t>
      </w:r>
    </w:p>
    <w:p w:rsidR="009C3959" w:rsidRPr="00CF4449" w:rsidRDefault="007A137A" w:rsidP="00CF4449">
      <w:pPr>
        <w:suppressAutoHyphens w:val="0"/>
        <w:autoSpaceDE w:val="0"/>
        <w:autoSpaceDN w:val="0"/>
        <w:adjustRightInd w:val="0"/>
        <w:spacing w:line="276" w:lineRule="auto"/>
        <w:rPr>
          <w:rFonts w:ascii="Arial" w:eastAsiaTheme="minorHAnsi" w:hAnsi="Arial" w:cs="Arial"/>
          <w:sz w:val="22"/>
          <w:szCs w:val="22"/>
          <w:lang w:eastAsia="en-US"/>
        </w:rPr>
      </w:pPr>
      <w:r w:rsidRPr="00CF4449">
        <w:rPr>
          <w:rStyle w:val="markedcontent"/>
          <w:rFonts w:ascii="Arial" w:hAnsi="Arial" w:cs="Arial"/>
          <w:sz w:val="22"/>
          <w:szCs w:val="22"/>
        </w:rPr>
        <w:t xml:space="preserve">Stwierdzono występowanie w stanie kwalifikującym do uznania za przedmioty ochrony w obszarze Natura 2000: </w:t>
      </w:r>
      <w:r w:rsidRPr="00CF4449">
        <w:rPr>
          <w:rFonts w:ascii="Arial" w:hAnsi="Arial" w:cs="Arial"/>
          <w:sz w:val="22"/>
          <w:szCs w:val="22"/>
        </w:rPr>
        <w:br/>
      </w:r>
      <w:r w:rsidRPr="00CF4449">
        <w:rPr>
          <w:rStyle w:val="markedcontent"/>
          <w:rFonts w:ascii="Arial" w:hAnsi="Arial" w:cs="Arial"/>
          <w:sz w:val="22"/>
          <w:szCs w:val="22"/>
        </w:rPr>
        <w:t>-</w:t>
      </w:r>
      <w:r w:rsidRPr="00CF4449">
        <w:rPr>
          <w:rStyle w:val="markedcontent"/>
          <w:rFonts w:ascii="Arial" w:hAnsi="Arial" w:cs="Arial"/>
          <w:sz w:val="22"/>
          <w:szCs w:val="22"/>
        </w:rPr>
        <w:tab/>
        <w:t>7140 – Torfowiska przejściowe i trzęsawiska (przeważnie z roślinnością z </w:t>
      </w:r>
      <w:r w:rsidRPr="00CF4449">
        <w:rPr>
          <w:rStyle w:val="markedcontent"/>
          <w:rFonts w:ascii="Arial" w:hAnsi="Arial" w:cs="Arial"/>
          <w:i/>
          <w:sz w:val="22"/>
          <w:szCs w:val="22"/>
        </w:rPr>
        <w:t>Scheuchzerio-Caricetea</w:t>
      </w:r>
      <w:r w:rsidRPr="00CF4449">
        <w:rPr>
          <w:rStyle w:val="markedcontent"/>
          <w:rFonts w:ascii="Arial" w:hAnsi="Arial" w:cs="Arial"/>
          <w:sz w:val="22"/>
          <w:szCs w:val="22"/>
        </w:rPr>
        <w:t>).</w:t>
      </w:r>
    </w:p>
    <w:p w:rsidR="00B5788F" w:rsidRPr="00CF4449" w:rsidRDefault="007A137A" w:rsidP="00CF4449">
      <w:pPr>
        <w:suppressAutoHyphens w:val="0"/>
        <w:autoSpaceDE w:val="0"/>
        <w:autoSpaceDN w:val="0"/>
        <w:adjustRightInd w:val="0"/>
        <w:spacing w:line="276" w:lineRule="auto"/>
        <w:rPr>
          <w:rFonts w:ascii="Arial" w:eastAsiaTheme="minorHAnsi" w:hAnsi="Arial" w:cs="Arial"/>
          <w:sz w:val="22"/>
          <w:szCs w:val="22"/>
          <w:lang w:eastAsia="en-US"/>
        </w:rPr>
      </w:pPr>
      <w:r w:rsidRPr="00CF4449">
        <w:rPr>
          <w:rFonts w:ascii="Arial" w:eastAsiaTheme="minorHAnsi" w:hAnsi="Arial" w:cs="Arial"/>
          <w:sz w:val="22"/>
          <w:szCs w:val="22"/>
          <w:lang w:eastAsia="en-US"/>
        </w:rPr>
        <w:t>Dla ww. obszaru ustanowiono plan zadań ochronnych (Zarządzenie Regionalnego Dyrektora Ochrony Środowiska w Katowicach z dnia 27 listopada 2020 r. w sprawie ustanowienia planu zadań ochronnych dla obszaru Natura 2000 Torfowisko przy Dolinie Kocinki PLH 240025 (Dz. Urz. Woj. Śl. z 2020r. poz. 8371).</w:t>
      </w:r>
    </w:p>
    <w:p w:rsidR="00B93D7C" w:rsidRPr="00CF4449" w:rsidRDefault="007A137A" w:rsidP="00CF4449">
      <w:pPr>
        <w:suppressAutoHyphens w:val="0"/>
        <w:autoSpaceDE w:val="0"/>
        <w:autoSpaceDN w:val="0"/>
        <w:adjustRightInd w:val="0"/>
        <w:spacing w:line="276" w:lineRule="auto"/>
        <w:rPr>
          <w:rFonts w:ascii="Arial" w:hAnsi="Arial" w:cs="Arial"/>
          <w:sz w:val="22"/>
          <w:szCs w:val="22"/>
        </w:rPr>
      </w:pPr>
      <w:r w:rsidRPr="00CF4449">
        <w:rPr>
          <w:rFonts w:ascii="Arial" w:hAnsi="Arial" w:cs="Arial"/>
          <w:sz w:val="22"/>
          <w:szCs w:val="22"/>
        </w:rPr>
        <w:t xml:space="preserve">Dla przedmiotu ochrony 7110 </w:t>
      </w:r>
      <w:r w:rsidRPr="00CF4449">
        <w:rPr>
          <w:rStyle w:val="markedcontent"/>
          <w:rFonts w:ascii="Arial" w:hAnsi="Arial" w:cs="Arial"/>
          <w:sz w:val="22"/>
          <w:szCs w:val="22"/>
        </w:rPr>
        <w:t>nie określono celów działań ochronnych, w związku z brakiem występowania siedliska w obszarze. Jego wykazanie jako przedmiotu ochrony stanowi pierwotny błąd (błędna klasyfikacja).</w:t>
      </w:r>
    </w:p>
    <w:p w:rsidR="00B93D7C" w:rsidRPr="00CF4449" w:rsidRDefault="007A137A" w:rsidP="00CF4449">
      <w:pPr>
        <w:suppressAutoHyphens w:val="0"/>
        <w:autoSpaceDE w:val="0"/>
        <w:autoSpaceDN w:val="0"/>
        <w:adjustRightInd w:val="0"/>
        <w:spacing w:line="276" w:lineRule="auto"/>
        <w:rPr>
          <w:rFonts w:ascii="Arial" w:hAnsi="Arial" w:cs="Arial"/>
          <w:sz w:val="22"/>
          <w:szCs w:val="22"/>
          <w:highlight w:val="yellow"/>
        </w:rPr>
      </w:pPr>
      <w:r w:rsidRPr="00CF4449">
        <w:rPr>
          <w:rStyle w:val="markedcontent"/>
          <w:rFonts w:ascii="Arial" w:hAnsi="Arial" w:cs="Arial"/>
          <w:sz w:val="22"/>
          <w:szCs w:val="22"/>
        </w:rPr>
        <w:lastRenderedPageBreak/>
        <w:t>Dla przedmiotu ochrony 7140 celem działań ochronnych jest poprawa stanu ochrony siedliska przyrodniczego na stanowisku (7140-1) z poziomu niezadowalającego (U1) do poziomu właściwego (FV) poprzez poprawę oceny parametru „specyficzna struktura i funkcje” do poziomu właściwego (FV).</w:t>
      </w:r>
    </w:p>
    <w:p w:rsidR="00B00278" w:rsidRPr="00CF4449" w:rsidRDefault="007A137A" w:rsidP="00CF4449">
      <w:pPr>
        <w:suppressAutoHyphens w:val="0"/>
        <w:autoSpaceDE w:val="0"/>
        <w:autoSpaceDN w:val="0"/>
        <w:adjustRightInd w:val="0"/>
        <w:spacing w:line="276" w:lineRule="auto"/>
        <w:rPr>
          <w:rStyle w:val="markedcontent"/>
          <w:rFonts w:ascii="Arial" w:hAnsi="Arial" w:cs="Arial"/>
          <w:sz w:val="22"/>
          <w:szCs w:val="22"/>
        </w:rPr>
      </w:pPr>
      <w:r w:rsidRPr="00CF4449">
        <w:rPr>
          <w:rFonts w:ascii="Arial" w:hAnsi="Arial" w:cs="Arial"/>
          <w:sz w:val="22"/>
          <w:szCs w:val="22"/>
        </w:rPr>
        <w:t>Dla siedliska tego zagrożeniami istniejącym są:</w:t>
      </w:r>
      <w:r w:rsidRPr="00CF4449">
        <w:rPr>
          <w:rStyle w:val="Nagwek1Znak"/>
          <w:rFonts w:ascii="Arial" w:hAnsi="Arial" w:cs="Arial"/>
          <w:b w:val="0"/>
          <w:sz w:val="22"/>
          <w:szCs w:val="22"/>
        </w:rPr>
        <w:t xml:space="preserve"> </w:t>
      </w:r>
      <w:r w:rsidRPr="00CF4449">
        <w:rPr>
          <w:rStyle w:val="markedcontent"/>
          <w:rFonts w:ascii="Arial" w:hAnsi="Arial" w:cs="Arial"/>
          <w:sz w:val="22"/>
          <w:szCs w:val="22"/>
        </w:rPr>
        <w:t>niewłaściwie realizowane zadania ochronne lub ich brak</w:t>
      </w:r>
      <w:r w:rsidRPr="00CF4449">
        <w:rPr>
          <w:rFonts w:ascii="Arial" w:hAnsi="Arial" w:cs="Arial"/>
          <w:sz w:val="22"/>
          <w:szCs w:val="22"/>
        </w:rPr>
        <w:t xml:space="preserve">, </w:t>
      </w:r>
      <w:r w:rsidRPr="00CF4449">
        <w:rPr>
          <w:rStyle w:val="markedcontent"/>
          <w:rFonts w:ascii="Arial" w:hAnsi="Arial" w:cs="Arial"/>
          <w:sz w:val="22"/>
          <w:szCs w:val="22"/>
        </w:rPr>
        <w:t xml:space="preserve">osuszanie terenów morskich, ujściowych, bagiennych, problematyczne gatunki </w:t>
      </w:r>
    </w:p>
    <w:p w:rsidR="00B00278" w:rsidRPr="00CF4449" w:rsidRDefault="007A137A" w:rsidP="00CF4449">
      <w:pPr>
        <w:suppressAutoHyphens w:val="0"/>
        <w:autoSpaceDE w:val="0"/>
        <w:autoSpaceDN w:val="0"/>
        <w:adjustRightInd w:val="0"/>
        <w:spacing w:line="276" w:lineRule="auto"/>
        <w:rPr>
          <w:rStyle w:val="markedcontent"/>
          <w:rFonts w:ascii="Arial" w:hAnsi="Arial" w:cs="Arial"/>
          <w:sz w:val="22"/>
          <w:szCs w:val="22"/>
        </w:rPr>
      </w:pPr>
      <w:r w:rsidRPr="00CF4449">
        <w:rPr>
          <w:rStyle w:val="markedcontent"/>
          <w:rFonts w:ascii="Arial" w:hAnsi="Arial" w:cs="Arial"/>
          <w:sz w:val="22"/>
          <w:szCs w:val="22"/>
        </w:rPr>
        <w:t xml:space="preserve">rodzime, zmniejszenie lub utrata określonych cech siedliska, zmiana składu </w:t>
      </w:r>
    </w:p>
    <w:p w:rsidR="009D45F2" w:rsidRPr="00CF4449" w:rsidRDefault="007A137A" w:rsidP="00CF4449">
      <w:pPr>
        <w:suppressAutoHyphens w:val="0"/>
        <w:autoSpaceDE w:val="0"/>
        <w:autoSpaceDN w:val="0"/>
        <w:adjustRightInd w:val="0"/>
        <w:spacing w:line="276" w:lineRule="auto"/>
        <w:rPr>
          <w:rFonts w:ascii="Arial" w:hAnsi="Arial" w:cs="Arial"/>
          <w:sz w:val="22"/>
          <w:szCs w:val="22"/>
        </w:rPr>
      </w:pPr>
      <w:r w:rsidRPr="00CF4449">
        <w:rPr>
          <w:rStyle w:val="markedcontent"/>
          <w:rFonts w:ascii="Arial" w:hAnsi="Arial" w:cs="Arial"/>
          <w:sz w:val="22"/>
          <w:szCs w:val="22"/>
        </w:rPr>
        <w:t>gatunkowego (sukcesja), susze i zmniejszenie opadów, wędkarstwo. Zagrożenia potencjalne to wydobywanie torfu, pożary i gaszenie pożarów, gospodarka leśna i plantacyjna i użytkowanie lasów i plantacji.</w:t>
      </w:r>
      <w:r w:rsidRPr="00CF4449">
        <w:rPr>
          <w:rFonts w:ascii="Arial" w:hAnsi="Arial" w:cs="Arial"/>
          <w:sz w:val="22"/>
          <w:szCs w:val="22"/>
        </w:rPr>
        <w:br/>
        <w:t>Dla przedmiotu ochrony 91D0 n</w:t>
      </w:r>
      <w:r w:rsidRPr="00CF4449">
        <w:rPr>
          <w:rStyle w:val="markedcontent"/>
          <w:rFonts w:ascii="Arial" w:hAnsi="Arial" w:cs="Arial"/>
          <w:sz w:val="22"/>
          <w:szCs w:val="22"/>
        </w:rPr>
        <w:t xml:space="preserve">ie określono celów działań ochronnych. </w:t>
      </w:r>
      <w:r w:rsidRPr="00CF4449">
        <w:rPr>
          <w:rFonts w:ascii="Arial" w:hAnsi="Arial" w:cs="Arial"/>
          <w:sz w:val="22"/>
          <w:szCs w:val="22"/>
        </w:rPr>
        <w:br/>
      </w:r>
      <w:r w:rsidRPr="00CF4449">
        <w:rPr>
          <w:rStyle w:val="markedcontent"/>
          <w:rFonts w:ascii="Arial" w:hAnsi="Arial" w:cs="Arial"/>
          <w:sz w:val="22"/>
          <w:szCs w:val="22"/>
        </w:rPr>
        <w:t>W wyniku badań przeprowadzonych w 2019 r., reprezentatywność siedliska określono na poziomie „D” (nieznacząca).</w:t>
      </w:r>
    </w:p>
    <w:p w:rsidR="00DE4768" w:rsidRPr="00CF4449" w:rsidRDefault="007A137A" w:rsidP="00CF4449">
      <w:pPr>
        <w:suppressAutoHyphens w:val="0"/>
        <w:autoSpaceDE w:val="0"/>
        <w:autoSpaceDN w:val="0"/>
        <w:adjustRightInd w:val="0"/>
        <w:spacing w:line="276" w:lineRule="auto"/>
        <w:rPr>
          <w:rFonts w:ascii="Arial" w:eastAsiaTheme="minorHAnsi" w:hAnsi="Arial" w:cs="Arial"/>
          <w:sz w:val="22"/>
          <w:szCs w:val="22"/>
          <w:lang w:eastAsia="en-US"/>
        </w:rPr>
      </w:pPr>
      <w:r w:rsidRPr="00CF4449">
        <w:rPr>
          <w:rFonts w:ascii="Arial" w:hAnsi="Arial" w:cs="Arial"/>
          <w:sz w:val="22"/>
          <w:szCs w:val="22"/>
        </w:rPr>
        <w:t>Ze względu na odległość planowanej inwestycji od ww. obszaru Natura 2000 i skalę jej oddziaływania, ani realizacja, ani eksploatacja nie będzie źródłem zagrożeń dla przedmiotów ochrony, nie wpłynie na możliwość osiągnięcia celów działań ochronnych, ani nie wpłynie na realizację zaplanowanych działań ochronnych. W związku z powyższym można wykluczyć możliwość negatywnego wpływu na te siedliska i gatunki objęte ochroną w ramach sieci obszarów Natura 2000.</w:t>
      </w:r>
    </w:p>
    <w:p w:rsidR="00B8607E" w:rsidRPr="00CF4449" w:rsidRDefault="007A137A" w:rsidP="00CF4449">
      <w:pPr>
        <w:spacing w:before="120" w:line="276" w:lineRule="auto"/>
        <w:rPr>
          <w:rFonts w:ascii="Arial" w:hAnsi="Arial" w:cs="Arial"/>
          <w:color w:val="000000" w:themeColor="text1"/>
          <w:sz w:val="22"/>
          <w:szCs w:val="22"/>
        </w:rPr>
      </w:pPr>
      <w:r w:rsidRPr="00CF4449">
        <w:rPr>
          <w:rFonts w:ascii="Arial" w:hAnsi="Arial" w:cs="Arial"/>
          <w:color w:val="000000" w:themeColor="text1"/>
          <w:sz w:val="22"/>
          <w:szCs w:val="22"/>
        </w:rPr>
        <w:t>Ustalono, że przedsięwzięcie położone jest:</w:t>
      </w:r>
    </w:p>
    <w:p w:rsidR="00CC3F5F" w:rsidRPr="00CF4449" w:rsidRDefault="007A137A" w:rsidP="00CF4449">
      <w:pPr>
        <w:spacing w:before="120" w:line="276" w:lineRule="auto"/>
        <w:rPr>
          <w:rFonts w:ascii="Arial" w:hAnsi="Arial" w:cs="Arial"/>
          <w:color w:val="000000" w:themeColor="text1"/>
          <w:sz w:val="22"/>
          <w:szCs w:val="22"/>
        </w:rPr>
      </w:pPr>
      <w:r w:rsidRPr="00CF4449">
        <w:rPr>
          <w:rFonts w:ascii="Arial" w:hAnsi="Arial" w:cs="Arial"/>
          <w:color w:val="000000" w:themeColor="text1"/>
          <w:sz w:val="22"/>
          <w:szCs w:val="22"/>
        </w:rPr>
        <w:t>- w granicach Głównego Zbiornika Wód Podziemnych nr 326 Zbiornik Częstochowa. W buforze 500 m od osi drogi nie występują ujęcia wód podziemnych,</w:t>
      </w:r>
    </w:p>
    <w:p w:rsidR="00A63094" w:rsidRPr="00CF4449" w:rsidRDefault="007A137A" w:rsidP="00CF4449">
      <w:pPr>
        <w:spacing w:before="120" w:after="120" w:line="276" w:lineRule="auto"/>
        <w:rPr>
          <w:rFonts w:ascii="Arial" w:hAnsi="Arial" w:cs="Arial"/>
          <w:color w:val="000000" w:themeColor="text1"/>
          <w:sz w:val="22"/>
          <w:szCs w:val="22"/>
        </w:rPr>
      </w:pPr>
      <w:r w:rsidRPr="00CF4449">
        <w:rPr>
          <w:rFonts w:ascii="Arial" w:hAnsi="Arial" w:cs="Arial"/>
          <w:color w:val="000000" w:themeColor="text1"/>
          <w:sz w:val="22"/>
          <w:szCs w:val="22"/>
        </w:rPr>
        <w:t>- w granicach regionu wodnego Warty - administrowanym przez Regionalny Zarząd Gospodarki Wodnej Wód Polskich w Poznaniu.</w:t>
      </w:r>
    </w:p>
    <w:p w:rsidR="00CC3F5F" w:rsidRPr="00CF4449" w:rsidRDefault="007A137A" w:rsidP="00CF4449">
      <w:pPr>
        <w:spacing w:before="120" w:after="120" w:line="276" w:lineRule="auto"/>
        <w:rPr>
          <w:rFonts w:ascii="Arial" w:hAnsi="Arial" w:cs="Arial"/>
          <w:color w:val="000000" w:themeColor="text1"/>
          <w:sz w:val="22"/>
          <w:szCs w:val="22"/>
        </w:rPr>
      </w:pPr>
      <w:r w:rsidRPr="00CF4449">
        <w:rPr>
          <w:rFonts w:ascii="Arial" w:hAnsi="Arial" w:cs="Arial"/>
          <w:color w:val="000000" w:themeColor="text1"/>
          <w:sz w:val="22"/>
          <w:szCs w:val="22"/>
        </w:rPr>
        <w:t>Planowane przedsięwzięcie zlokalizowane jest w granicach jednolitych części wód: jednolitej części wód podziemnych (jcwpd) PLGW600099 oraz w granicach zlewni jednolitej części wód powierzchniowych (jcwp): PLRW6000161816899 Kocinka.</w:t>
      </w:r>
    </w:p>
    <w:p w:rsidR="00356EB4" w:rsidRPr="00CF4449" w:rsidRDefault="007A137A" w:rsidP="00CF4449">
      <w:pPr>
        <w:spacing w:before="120" w:after="120" w:line="276" w:lineRule="auto"/>
        <w:rPr>
          <w:rFonts w:ascii="Arial" w:hAnsi="Arial" w:cs="Arial"/>
          <w:color w:val="000000" w:themeColor="text1"/>
          <w:sz w:val="22"/>
          <w:szCs w:val="22"/>
        </w:rPr>
      </w:pPr>
      <w:r w:rsidRPr="00CF4449">
        <w:rPr>
          <w:rFonts w:ascii="Arial" w:hAnsi="Arial" w:cs="Arial"/>
          <w:color w:val="000000" w:themeColor="text1"/>
          <w:sz w:val="22"/>
          <w:szCs w:val="22"/>
        </w:rPr>
        <w:t xml:space="preserve">Zgodnie z obowiązującym „Planem gospodarowania wodami na obszarze dorzecza Odry" (Dz. U. z 2016 r. poz. 1967) JCWPd PLGW600099 charakteryzuje się dobrym stanem ilościowym oraz dobrym stanem chemicznym i jest niezagrożona osiągnięciem celów środowiskowych. DIa JCWPd PLGW600099 w „Planie gospodarowania wodami na obszarze dorzecza Odry" określono następujące cele środowiskowe: dobry stan chemiczny oraz dobry stan ilościowy. </w:t>
      </w:r>
    </w:p>
    <w:p w:rsidR="00CC3F5F" w:rsidRPr="00CF4449" w:rsidRDefault="007A137A" w:rsidP="00CF4449">
      <w:pPr>
        <w:spacing w:before="120" w:after="120" w:line="276" w:lineRule="auto"/>
        <w:rPr>
          <w:rFonts w:ascii="Arial" w:hAnsi="Arial" w:cs="Arial"/>
          <w:color w:val="000000" w:themeColor="text1"/>
          <w:sz w:val="22"/>
          <w:szCs w:val="22"/>
        </w:rPr>
      </w:pPr>
      <w:r w:rsidRPr="00CF4449">
        <w:rPr>
          <w:rFonts w:ascii="Arial" w:hAnsi="Arial" w:cs="Arial"/>
          <w:color w:val="000000" w:themeColor="text1"/>
          <w:sz w:val="22"/>
          <w:szCs w:val="22"/>
        </w:rPr>
        <w:t>Zgodnie z obowiązującym „Planem gospodarowania wodami na obszarze dorzecza Odry" (Dz. U. z 2016 r. poz. 1967) JCWP PLRW6000161816899 Kocinka stanowi naturalną cześć wód o złym aktualnie stanie wód. Jest ona zagrożona ze względu na możliwość nieosiągnięcia celów środowiskowych. DIa tej JCWP wprowadzono odstępstwo - przedłużono termin osiągnięcia celu środowiskowego, ze względu na brak możliwości technicznych do roku 2021. Nie zidentyfikowano presji mających wpływ na obniżoną ocenę stanu chemicznego. Konieczne jest dokonanie szczegółowego rozpoznania przyczyn w celu prawidłowego zaplanowania działań naprawczych. Wdrożenie działań będzie mogło nastąpić dopiero po ich rozpoznaniu, dlatego też przewiduje się możliwość wdrożenia zaplanowanych działań po roku 2021.</w:t>
      </w:r>
    </w:p>
    <w:p w:rsidR="00CC3F5F" w:rsidRPr="00CF4449" w:rsidRDefault="007A137A" w:rsidP="00CF4449">
      <w:pPr>
        <w:spacing w:before="120" w:after="120" w:line="276" w:lineRule="auto"/>
        <w:rPr>
          <w:rFonts w:ascii="Arial" w:hAnsi="Arial" w:cs="Arial"/>
          <w:color w:val="000000" w:themeColor="text1"/>
          <w:sz w:val="22"/>
          <w:szCs w:val="22"/>
        </w:rPr>
      </w:pPr>
      <w:r w:rsidRPr="00CF4449">
        <w:rPr>
          <w:rFonts w:ascii="Arial" w:hAnsi="Arial" w:cs="Arial"/>
          <w:color w:val="000000" w:themeColor="text1"/>
          <w:sz w:val="22"/>
          <w:szCs w:val="22"/>
        </w:rPr>
        <w:t xml:space="preserve">Z charakterystyki i przyjętych rozwiązań technologicznych wynika, że eksploatacja przedsięwzięcia nie będzie generować znaczących presji oddziałujących na elementy stanu </w:t>
      </w:r>
      <w:r w:rsidRPr="00CF4449">
        <w:rPr>
          <w:rFonts w:ascii="Arial" w:hAnsi="Arial" w:cs="Arial"/>
          <w:color w:val="000000" w:themeColor="text1"/>
          <w:sz w:val="22"/>
          <w:szCs w:val="22"/>
        </w:rPr>
        <w:lastRenderedPageBreak/>
        <w:t>zasobów wodnych, ani na obszary chronione i ochronne, w zakresie mogącym zagrażać osiągnięciu ustalonych dla nich celów środowiskowych.</w:t>
      </w:r>
    </w:p>
    <w:p w:rsidR="00CC3F5F" w:rsidRPr="00CF4449" w:rsidRDefault="007A137A" w:rsidP="00CF4449">
      <w:pPr>
        <w:spacing w:before="120" w:after="120" w:line="276" w:lineRule="auto"/>
        <w:rPr>
          <w:rFonts w:ascii="Arial" w:hAnsi="Arial" w:cs="Arial"/>
          <w:color w:val="000000" w:themeColor="text1"/>
          <w:sz w:val="22"/>
          <w:szCs w:val="22"/>
        </w:rPr>
      </w:pPr>
      <w:r w:rsidRPr="00CF4449">
        <w:rPr>
          <w:rFonts w:ascii="Arial" w:hAnsi="Arial" w:cs="Arial"/>
          <w:color w:val="000000" w:themeColor="text1"/>
          <w:sz w:val="22"/>
          <w:szCs w:val="22"/>
        </w:rPr>
        <w:t>Mając na względzie charakter i skalę oddziaływania, zastosowane rozwiązania i technologie przy założeniu realizacji określonych w sentencji warunków, stwierdza się brak możliwości oddziaływania na pozostające w zasięgu oddziaływania jednolite części wód i nie stwierdza się negatywnego oddziaływania przedmiotowego przedsięwzięcia, stwarzającego zagrożenie dla realizacji celów środowiskowych, o których mowa w art. 56, art. 57, art. 59 i art. 61 ustawy z dnia 20 lipca 2017 r. Prawo wodne, a określonych dla tych części wód w „Planie gospodarowania wodami na obszarze dorzecza Odry" (Dz.U. z 2016 poz. 1967).</w:t>
      </w:r>
    </w:p>
    <w:p w:rsidR="003F6EE7" w:rsidRPr="00CF4449" w:rsidRDefault="007A137A" w:rsidP="00CF4449">
      <w:pPr>
        <w:spacing w:before="120" w:line="276" w:lineRule="auto"/>
        <w:rPr>
          <w:rFonts w:ascii="Arial" w:hAnsi="Arial" w:cs="Arial"/>
          <w:sz w:val="22"/>
          <w:szCs w:val="22"/>
          <w:lang w:eastAsia="pl-PL"/>
        </w:rPr>
      </w:pPr>
      <w:r w:rsidRPr="00CF4449">
        <w:rPr>
          <w:rFonts w:ascii="Arial" w:hAnsi="Arial" w:cs="Arial"/>
          <w:color w:val="00000A"/>
          <w:sz w:val="22"/>
          <w:szCs w:val="22"/>
          <w:lang w:eastAsia="pl-PL"/>
        </w:rPr>
        <w:t xml:space="preserve">Oddziaływanie przedsięwzięcia ze względu na jego rodzaj będzie miało zasięg lokalny. </w:t>
      </w:r>
      <w:r w:rsidRPr="00CF4449">
        <w:rPr>
          <w:rFonts w:ascii="Arial" w:hAnsi="Arial" w:cs="Arial"/>
          <w:sz w:val="22"/>
          <w:szCs w:val="22"/>
          <w:lang w:eastAsia="pl-PL"/>
        </w:rPr>
        <w:t>Na analizowanym odcinku inwestycję przecina linia kolejowa nr 146 relacji Wyczerpy – Chorzew Siemkowice. Planowane zmiany nie wpłyną na obecnie występujące oddziaływanie w zakresie hałasu. Najbliższa zabudowa mieszkaniowa zlokalizowana jest w odległości ok. 700 m od inwestycji.</w:t>
      </w:r>
    </w:p>
    <w:p w:rsidR="007B34F9" w:rsidRPr="00CF4449" w:rsidRDefault="007A137A" w:rsidP="00CF4449">
      <w:pPr>
        <w:spacing w:before="120" w:line="276" w:lineRule="auto"/>
        <w:rPr>
          <w:rFonts w:ascii="Arial" w:hAnsi="Arial" w:cs="Arial"/>
          <w:sz w:val="22"/>
          <w:szCs w:val="22"/>
          <w:lang w:eastAsia="pl-PL"/>
        </w:rPr>
      </w:pPr>
      <w:r w:rsidRPr="00CF4449">
        <w:rPr>
          <w:rFonts w:ascii="Arial" w:hAnsi="Arial" w:cs="Arial"/>
          <w:sz w:val="22"/>
          <w:szCs w:val="22"/>
          <w:lang w:eastAsia="pl-PL"/>
        </w:rPr>
        <w:t xml:space="preserve">Stwierdzono brak oddziaływania skumulowanego w zakresie emisji zanieczyszczeń do powietrza z uwagi na brak skrzyżowań na analizowanym odcinku z trasami komunikacyjnymi. </w:t>
      </w:r>
    </w:p>
    <w:p w:rsidR="003F6EE7" w:rsidRPr="00CF4449" w:rsidRDefault="007A137A" w:rsidP="00CF4449">
      <w:pPr>
        <w:spacing w:before="120" w:line="276" w:lineRule="auto"/>
        <w:rPr>
          <w:rFonts w:ascii="Arial" w:hAnsi="Arial" w:cs="Arial"/>
          <w:sz w:val="22"/>
          <w:szCs w:val="22"/>
        </w:rPr>
      </w:pPr>
      <w:r w:rsidRPr="00CF4449">
        <w:rPr>
          <w:rStyle w:val="FontStyle22"/>
          <w:rFonts w:ascii="Arial" w:hAnsi="Arial" w:cs="Arial"/>
        </w:rPr>
        <w:t>Ze względu na znaczną odległość inwestycji od granicy Państwa (ok. 115 km od planowanego zamierzenia), nie będą występowały oddziaływania transgraniczne.</w:t>
      </w:r>
    </w:p>
    <w:p w:rsidR="003F6EE7" w:rsidRPr="00CF4449" w:rsidRDefault="007A137A" w:rsidP="00CF4449">
      <w:pPr>
        <w:spacing w:before="120" w:line="276" w:lineRule="auto"/>
        <w:rPr>
          <w:rFonts w:ascii="Arial" w:hAnsi="Arial" w:cs="Arial"/>
          <w:color w:val="00000A"/>
          <w:sz w:val="22"/>
          <w:szCs w:val="22"/>
          <w:lang w:eastAsia="pl-PL"/>
        </w:rPr>
      </w:pPr>
      <w:r w:rsidRPr="00CF4449">
        <w:rPr>
          <w:rFonts w:ascii="Arial" w:hAnsi="Arial" w:cs="Arial"/>
          <w:color w:val="00000A"/>
          <w:sz w:val="22"/>
          <w:szCs w:val="22"/>
          <w:lang w:eastAsia="pl-PL"/>
        </w:rPr>
        <w:t xml:space="preserve">Ryzyko wystąpienia katastrofy budowlanej jest niewielkie. Obszar inwestycji nie jest położony na obszarach, na których istnieje znaczące ryzyko powodzi lub na których wystąpienie dużego ryzyka jest prawdopodobne. </w:t>
      </w:r>
    </w:p>
    <w:p w:rsidR="003F6EE7" w:rsidRPr="00CF4449" w:rsidRDefault="007A137A" w:rsidP="00CF4449">
      <w:pPr>
        <w:spacing w:before="120" w:line="276" w:lineRule="auto"/>
        <w:rPr>
          <w:rFonts w:ascii="Arial" w:hAnsi="Arial" w:cs="Arial"/>
          <w:color w:val="00000A"/>
          <w:sz w:val="22"/>
          <w:szCs w:val="22"/>
          <w:lang w:eastAsia="pl-PL"/>
        </w:rPr>
      </w:pPr>
      <w:r w:rsidRPr="00CF4449">
        <w:rPr>
          <w:rFonts w:ascii="Arial" w:hAnsi="Arial" w:cs="Arial"/>
          <w:color w:val="00000A"/>
          <w:sz w:val="22"/>
          <w:szCs w:val="22"/>
          <w:lang w:eastAsia="pl-PL"/>
        </w:rPr>
        <w:t>Planowane zamierzenie nie jest związane z ryzykiem wystąpienia poważnej awarii przemysłowej i katastrofy naturalnej.</w:t>
      </w:r>
    </w:p>
    <w:p w:rsidR="003F6EE7" w:rsidRPr="00CF4449" w:rsidRDefault="007A137A" w:rsidP="00CF4449">
      <w:pPr>
        <w:spacing w:before="120" w:after="120" w:line="276" w:lineRule="auto"/>
        <w:rPr>
          <w:rFonts w:ascii="Arial" w:hAnsi="Arial" w:cs="Arial"/>
          <w:color w:val="00000A"/>
          <w:kern w:val="2"/>
          <w:sz w:val="22"/>
          <w:szCs w:val="22"/>
        </w:rPr>
      </w:pPr>
      <w:r w:rsidRPr="00CF4449">
        <w:rPr>
          <w:rFonts w:ascii="Arial" w:hAnsi="Arial" w:cs="Arial"/>
          <w:color w:val="00000A"/>
          <w:kern w:val="2"/>
          <w:sz w:val="22"/>
          <w:szCs w:val="22"/>
        </w:rPr>
        <w:t>Teren, na którym będzie realizowana inwestycja nie jest objęty ochroną konserwatorską. Brak jest stanowisk archeologicznych. Teren przedsięwzięcia nie jest wpisany do rejestru zabytków.</w:t>
      </w:r>
    </w:p>
    <w:p w:rsidR="00DC4D68" w:rsidRPr="00CF4449" w:rsidRDefault="007A137A" w:rsidP="00CF4449">
      <w:pPr>
        <w:suppressAutoHyphens w:val="0"/>
        <w:spacing w:after="120" w:line="276" w:lineRule="auto"/>
        <w:rPr>
          <w:rFonts w:ascii="Arial" w:hAnsi="Arial" w:cs="Arial"/>
          <w:sz w:val="22"/>
          <w:szCs w:val="22"/>
          <w:lang w:eastAsia="pl-PL"/>
        </w:rPr>
      </w:pPr>
      <w:r w:rsidRPr="00CF4449">
        <w:rPr>
          <w:rFonts w:ascii="Arial" w:hAnsi="Arial" w:cs="Arial"/>
          <w:sz w:val="22"/>
          <w:szCs w:val="22"/>
          <w:lang w:eastAsia="pl-PL"/>
        </w:rPr>
        <w:t>Wnioskiem z 19 marca 2021 r. pełnomocnik Inwestora wystąpił o nadanie rygoru natychmiastowej wykonalności przedmiotowej decyzji.</w:t>
      </w:r>
    </w:p>
    <w:p w:rsidR="00C64FCC" w:rsidRPr="00CF4449" w:rsidRDefault="007A137A" w:rsidP="00CF4449">
      <w:pPr>
        <w:suppressAutoHyphens w:val="0"/>
        <w:spacing w:after="120" w:line="276" w:lineRule="auto"/>
        <w:rPr>
          <w:rFonts w:ascii="Arial" w:hAnsi="Arial" w:cs="Arial"/>
          <w:sz w:val="22"/>
          <w:szCs w:val="22"/>
          <w:lang w:eastAsia="pl-PL"/>
        </w:rPr>
      </w:pPr>
      <w:r w:rsidRPr="00CF4449">
        <w:rPr>
          <w:rFonts w:ascii="Arial" w:hAnsi="Arial" w:cs="Arial"/>
          <w:sz w:val="22"/>
          <w:szCs w:val="22"/>
          <w:lang w:eastAsia="pl-PL"/>
        </w:rPr>
        <w:t xml:space="preserve">Niniejszej decyzji nadano rygor natychmiastowej wykonalności na ww. wniosek. Zgodnie z art. 108 § 1 ustawy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Katalog przesłanek uzasadniających nadanie decyzji rygoru natychmiastowej wykonalności jest zamknięty, a zatem jedynie wzgląd na dobra i wartości określone w wyżej przywołanym art. 108 § 1 Kpa zobowiązuje organ administracji publicznej do nadania decyzji takiego rygoru. </w:t>
      </w:r>
    </w:p>
    <w:p w:rsidR="00E932FA" w:rsidRPr="00CF4449" w:rsidRDefault="007A137A" w:rsidP="00CF4449">
      <w:pPr>
        <w:suppressAutoHyphens w:val="0"/>
        <w:spacing w:after="120" w:line="276" w:lineRule="auto"/>
        <w:rPr>
          <w:rFonts w:ascii="Arial" w:hAnsi="Arial" w:cs="Arial"/>
          <w:sz w:val="22"/>
          <w:szCs w:val="22"/>
          <w:lang w:eastAsia="pl-PL"/>
        </w:rPr>
      </w:pPr>
      <w:r w:rsidRPr="00CF4449">
        <w:rPr>
          <w:rFonts w:ascii="Arial" w:hAnsi="Arial" w:cs="Arial"/>
          <w:sz w:val="22"/>
          <w:szCs w:val="22"/>
          <w:lang w:eastAsia="pl-PL"/>
        </w:rPr>
        <w:t xml:space="preserve">We wniosku z 19 marca 2021 r., uzasadniono, iż nadanie rygoru natychmiastowej wykonalności decyzji Regionalnego Dyrektora Ochrony Środowiska w Katowicach o środowiskowych uwarunkowaniach, jest niezbędne ze względu na interes społeczny. W uzasadnieniu ww. wniosku strona przedstawiła, że planowana dobudowa 3 pasa autostrady na odcinku od km 416+650 do km 418+200 jest integralnym elementem autostrady A-1 na odcinku od granicy województwa łódzkiego/śląskiego do węzła Pyrzowice, w związku z czym stanowi fragment Transeuropejskiej Autostrady Północ-Południe (TAPP), </w:t>
      </w:r>
      <w:r w:rsidRPr="00CF4449">
        <w:rPr>
          <w:rFonts w:ascii="Arial" w:hAnsi="Arial" w:cs="Arial"/>
          <w:sz w:val="22"/>
          <w:szCs w:val="22"/>
          <w:lang w:eastAsia="pl-PL"/>
        </w:rPr>
        <w:lastRenderedPageBreak/>
        <w:t>której budowa stanowi priorytet Rządu Rzeczpospolitej Polskiej i została wpisana w realizację „Programu Budowy Dróg Krajowych na lata 2008-2012". Autostrada A-1 jest więc składową VI Korytarza Transeuropejskiej Sieci Transportowej, łączącej kraje basenu Morza Bałtyckiego z krajami Europy Południowej i przebiegającej w osi priorytetowej TEN-T nr 25, czyli „osi drogowej Gdańsk- Brno/Bratysława-Wiedeń”. Obecnie ruch tranzytowy oraz ruch pojazdów osobowych na odcinku Częstochowa - Radomsko odbywa się głównie istniejącą DK1 oraz objazdami po innych drogach lokalnych, które są często sugerowane przez systemy GPS. Odcinek autostrady A1 objęty dobudową 3 pasa wpłynie na poprawę przepustowości, co w istotnym stopniu usprawni ruch tranzytowy pomiędzy północą i południem Polski. Bardzo ważną funkcję spełni również autostrada A-1 w układzie dróg regionalnych i lokalnej sieci komunikacyjnej. Zapewni sprawne połączenie, które poprawi komfort i czas podróżowania pomiędzy Częstochową a Łodzią oraz pomiędzy wszystkimi miejscowościami położonymi wzdłuż autostrady.</w:t>
      </w:r>
    </w:p>
    <w:p w:rsidR="00E932FA" w:rsidRPr="00CF4449" w:rsidRDefault="007A137A" w:rsidP="00CF4449">
      <w:pPr>
        <w:suppressAutoHyphens w:val="0"/>
        <w:spacing w:line="276" w:lineRule="auto"/>
        <w:rPr>
          <w:rFonts w:ascii="Arial" w:hAnsi="Arial" w:cs="Arial"/>
          <w:sz w:val="22"/>
          <w:szCs w:val="22"/>
          <w:lang w:eastAsia="pl-PL"/>
        </w:rPr>
      </w:pPr>
      <w:r w:rsidRPr="00CF4449">
        <w:rPr>
          <w:rFonts w:ascii="Arial" w:hAnsi="Arial" w:cs="Arial"/>
          <w:sz w:val="22"/>
          <w:szCs w:val="22"/>
          <w:lang w:eastAsia="pl-PL"/>
        </w:rPr>
        <w:t xml:space="preserve">Przedmiotowa inwestycja związana z dobudową 3 pasa poprzez poprawę przepustowości </w:t>
      </w:r>
    </w:p>
    <w:p w:rsidR="002E47C6" w:rsidRPr="00CF4449" w:rsidRDefault="007A137A" w:rsidP="00CF4449">
      <w:pPr>
        <w:suppressAutoHyphens w:val="0"/>
        <w:spacing w:line="276" w:lineRule="auto"/>
        <w:rPr>
          <w:rFonts w:ascii="Arial" w:hAnsi="Arial" w:cs="Arial"/>
          <w:sz w:val="22"/>
          <w:szCs w:val="22"/>
          <w:lang w:eastAsia="pl-PL"/>
        </w:rPr>
      </w:pPr>
      <w:r w:rsidRPr="00CF4449">
        <w:rPr>
          <w:rFonts w:ascii="Arial" w:hAnsi="Arial" w:cs="Arial"/>
          <w:sz w:val="22"/>
          <w:szCs w:val="22"/>
          <w:lang w:eastAsia="pl-PL"/>
        </w:rPr>
        <w:t>wpłynie na skrócenie czasu podróży co jest o tyle istotne, że rokrocznie obserwuje się zwiększanie natężenia ruchu na istniejącej drodze krajowej nr 1 oraz istniejących fragmentach autostrady A-1. Taka sytuacja związana ze wzrostem natężenia ruchu i częstymi wypadkami i zatorami drogowymi przyczynia się do zwiększenia wartości poziomu hałasu w rejonie istniejącego przebiegu drogi krajowej oraz lokalnych objazdów. Zwiększa się również wartość stężenia substancji szkodliwych w powietrzu. Przedmiotowa inwestycja związana z dobudową 3 pasa przyczyni się zatem do znaczącego zwiększenia bezpieczeństwa uczestników ruchu co jest podstawowym celem inwestycji.</w:t>
      </w:r>
      <w:r w:rsidRPr="00CF4449">
        <w:rPr>
          <w:rFonts w:ascii="Arial" w:hAnsi="Arial" w:cs="Arial"/>
          <w:sz w:val="22"/>
          <w:szCs w:val="22"/>
          <w:lang w:eastAsia="pl-PL"/>
        </w:rPr>
        <w:br/>
        <w:t xml:space="preserve">Biorąc pod uwagę powyższe stwierdzono, że przesłanka do nadania rygoru natychmiastowej </w:t>
      </w:r>
      <w:r w:rsidRPr="00CF4449">
        <w:rPr>
          <w:rFonts w:ascii="Arial" w:hAnsi="Arial" w:cs="Arial"/>
          <w:sz w:val="22"/>
          <w:szCs w:val="22"/>
          <w:lang w:eastAsia="pl-PL"/>
        </w:rPr>
        <w:br/>
        <w:t xml:space="preserve">wykonalności decyzji Regionalnego Dyrektora Ochrony Środowiska w Katowicach </w:t>
      </w:r>
      <w:r w:rsidRPr="00CF4449">
        <w:rPr>
          <w:rFonts w:ascii="Arial" w:hAnsi="Arial" w:cs="Arial"/>
          <w:sz w:val="22"/>
          <w:szCs w:val="22"/>
          <w:lang w:eastAsia="pl-PL"/>
        </w:rPr>
        <w:br/>
        <w:t xml:space="preserve">o środowiskowych uwarunkowaniach, wydanej dla przedsięwzięcia pn.: „Dobudowa 3 pasa autostrady A 1 na odcinku od km 416+650 do km 418+200 z uwagi na ważny interes społeczny, określony w art. 108 § 1 ustawy z dnia 14 czerwca 1960 r. – </w:t>
      </w:r>
      <w:r w:rsidRPr="00CF4449">
        <w:rPr>
          <w:rFonts w:ascii="Arial" w:hAnsi="Arial" w:cs="Arial"/>
          <w:sz w:val="22"/>
          <w:szCs w:val="22"/>
          <w:lang w:eastAsia="pl-PL"/>
        </w:rPr>
        <w:br/>
        <w:t>Kodeks postępowania administracyjnego (Dz. U. 2021 r., poz. 735), została spełniona.</w:t>
      </w:r>
    </w:p>
    <w:p w:rsidR="003F6EE7" w:rsidRPr="00CF4449" w:rsidRDefault="007A137A" w:rsidP="00CF4449">
      <w:pPr>
        <w:spacing w:before="120" w:line="276" w:lineRule="auto"/>
        <w:textAlignment w:val="baseline"/>
        <w:rPr>
          <w:rFonts w:ascii="Arial" w:hAnsi="Arial" w:cs="Arial"/>
          <w:color w:val="00000A"/>
          <w:kern w:val="2"/>
          <w:sz w:val="22"/>
          <w:szCs w:val="22"/>
        </w:rPr>
      </w:pPr>
      <w:r w:rsidRPr="00CF4449">
        <w:rPr>
          <w:rFonts w:ascii="Arial" w:hAnsi="Arial" w:cs="Arial"/>
          <w:color w:val="00000A"/>
          <w:kern w:val="2"/>
          <w:sz w:val="22"/>
          <w:szCs w:val="22"/>
        </w:rPr>
        <w:t xml:space="preserve">Mając na uwadze powyższe stwierdzenia oraz uwarunkowania określone w art. 63 ust. 1 ustawy ooś tj. wystąpienie okresowych oddziaływań na środowisko, mała skala przedsięwzięcia - </w:t>
      </w:r>
      <w:r w:rsidRPr="00CF4449">
        <w:rPr>
          <w:rFonts w:ascii="Arial" w:hAnsi="Arial" w:cs="Arial"/>
          <w:sz w:val="22"/>
          <w:szCs w:val="22"/>
        </w:rPr>
        <w:t xml:space="preserve">budowa trzeciego pasa jezdni długości ok. 1,55 km </w:t>
      </w:r>
      <w:r w:rsidRPr="00CF4449">
        <w:rPr>
          <w:rFonts w:ascii="Arial" w:hAnsi="Arial" w:cs="Arial"/>
          <w:color w:val="00000A"/>
          <w:kern w:val="2"/>
          <w:sz w:val="22"/>
          <w:szCs w:val="22"/>
        </w:rPr>
        <w:t xml:space="preserve">i niewielka zajętość terenu podczas fazy realizacji przedsięwzięcia oraz usytuowanie przedsięwzięcia w znacznej odległości od obszarów cennych przyrodniczo, </w:t>
      </w:r>
      <w:r w:rsidRPr="00CF4449">
        <w:rPr>
          <w:rFonts w:ascii="Arial" w:hAnsi="Arial" w:cs="Arial"/>
          <w:kern w:val="2"/>
          <w:sz w:val="22"/>
          <w:szCs w:val="22"/>
        </w:rPr>
        <w:t>prognozowany brak oddziaływań ponadnormatywnych podczas eksploatacji inwestycji</w:t>
      </w:r>
      <w:r w:rsidRPr="00CF4449">
        <w:rPr>
          <w:rFonts w:ascii="Arial" w:hAnsi="Arial" w:cs="Arial"/>
          <w:color w:val="00000A"/>
          <w:kern w:val="2"/>
          <w:sz w:val="22"/>
          <w:szCs w:val="22"/>
        </w:rPr>
        <w:t>, tut. Organ, po zasięgnięciu opinii Państwowego Powiatowego Inspektora Sanitarnego w Częstochowie, Dyrektora Regionalnego Zarządu Gospodarki Wodnej Wód Polskich w Poznaniu stwierdził brak potrzeby przeprowadzenia oceny oddziaływania na środowisko dla przedmiotowego przedsięwzięcia, przy zachowaniu określonych niniejszą decyzją warunków w fazie jego realizacji.</w:t>
      </w:r>
    </w:p>
    <w:p w:rsidR="003F6EE7" w:rsidRPr="00CF4449" w:rsidRDefault="007A137A" w:rsidP="00CF4449">
      <w:pPr>
        <w:spacing w:after="1200" w:line="276" w:lineRule="auto"/>
        <w:rPr>
          <w:rFonts w:ascii="Arial" w:hAnsi="Arial" w:cs="Arial"/>
          <w:color w:val="00000A"/>
          <w:kern w:val="2"/>
          <w:sz w:val="22"/>
          <w:szCs w:val="22"/>
        </w:rPr>
      </w:pPr>
      <w:r w:rsidRPr="00CF4449">
        <w:rPr>
          <w:rFonts w:ascii="Arial" w:hAnsi="Arial" w:cs="Arial"/>
          <w:color w:val="00000A"/>
          <w:kern w:val="2"/>
          <w:sz w:val="22"/>
          <w:szCs w:val="22"/>
        </w:rPr>
        <w:t>Uwzględniając powyższe uzasadnienie stwierdzono jak w sentencji decyzji.</w:t>
      </w:r>
    </w:p>
    <w:p w:rsidR="003F6EE7" w:rsidRPr="00CF4449" w:rsidRDefault="007A137A" w:rsidP="00CF4449">
      <w:pPr>
        <w:spacing w:before="480" w:after="240" w:line="276" w:lineRule="auto"/>
        <w:rPr>
          <w:rFonts w:ascii="Arial" w:hAnsi="Arial" w:cs="Arial"/>
          <w:color w:val="00000A"/>
          <w:kern w:val="2"/>
          <w:sz w:val="22"/>
          <w:szCs w:val="22"/>
        </w:rPr>
      </w:pPr>
      <w:r w:rsidRPr="00CF4449">
        <w:rPr>
          <w:rFonts w:ascii="Arial" w:hAnsi="Arial" w:cs="Arial"/>
          <w:color w:val="00000A"/>
          <w:kern w:val="2"/>
          <w:sz w:val="22"/>
          <w:szCs w:val="22"/>
        </w:rPr>
        <w:t>Pouczenie</w:t>
      </w:r>
    </w:p>
    <w:p w:rsidR="003F6EE7" w:rsidRPr="00CF4449" w:rsidRDefault="007A137A" w:rsidP="00CF4449">
      <w:pPr>
        <w:spacing w:before="120" w:line="276" w:lineRule="auto"/>
        <w:textAlignment w:val="baseline"/>
        <w:rPr>
          <w:rFonts w:ascii="Arial" w:hAnsi="Arial" w:cs="Arial"/>
          <w:color w:val="00000A"/>
          <w:kern w:val="2"/>
          <w:sz w:val="22"/>
          <w:szCs w:val="22"/>
        </w:rPr>
      </w:pPr>
      <w:r w:rsidRPr="00CF4449">
        <w:rPr>
          <w:rFonts w:ascii="Arial" w:hAnsi="Arial" w:cs="Arial"/>
          <w:color w:val="00000A"/>
          <w:kern w:val="2"/>
          <w:sz w:val="22"/>
          <w:szCs w:val="22"/>
        </w:rPr>
        <w:lastRenderedPageBreak/>
        <w:t>Od niniejszej decyzji służy stronom odwołanie do Generalnego Dyrektora Ochrony Środowiska za pośrednictwem Regionalnego Dyrektora Ochrony Środowiska w Katowicach w terminie 14 dni od dnia doręczenia niniejszej decyzji (art. 127 § 1 i 2 oraz art. 129 § 1 i 2 Kpa).</w:t>
      </w:r>
    </w:p>
    <w:p w:rsidR="003F6EE7" w:rsidRPr="00CF4449" w:rsidRDefault="007A137A" w:rsidP="00CF4449">
      <w:pPr>
        <w:spacing w:before="120" w:after="240" w:line="276" w:lineRule="auto"/>
        <w:textAlignment w:val="baseline"/>
        <w:rPr>
          <w:rFonts w:ascii="Arial" w:hAnsi="Arial" w:cs="Arial"/>
          <w:color w:val="00000A"/>
          <w:kern w:val="2"/>
          <w:sz w:val="22"/>
          <w:szCs w:val="22"/>
        </w:rPr>
      </w:pPr>
      <w:r w:rsidRPr="00CF4449">
        <w:rPr>
          <w:rFonts w:ascii="Arial" w:hAnsi="Arial" w:cs="Arial"/>
          <w:color w:val="00000A"/>
          <w:kern w:val="2"/>
          <w:sz w:val="22"/>
          <w:szCs w:val="22"/>
        </w:rPr>
        <w:t>W trakcie biegu terminu do wniesienia odwołania, strona ma prawo do zrzeczenia się wniesienia odwołania składając stosowne oświadczenie tut. organowi, nie później niż w terminie 14 dni od dnia doręczenia decyzji (art. 127a § 1 Kpa). Z dniem doręczenia Regionalnemu Dyrektorowi Ochrony Środowiska w Katowicach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rsidR="000B14B1" w:rsidRDefault="007A137A" w:rsidP="00705D2B">
      <w:pPr>
        <w:spacing w:before="120" w:after="360" w:line="276" w:lineRule="auto"/>
        <w:textAlignment w:val="baseline"/>
        <w:rPr>
          <w:rFonts w:ascii="Arial" w:hAnsi="Arial" w:cs="Arial"/>
          <w:color w:val="00000A"/>
          <w:kern w:val="2"/>
          <w:sz w:val="22"/>
          <w:szCs w:val="22"/>
        </w:rPr>
      </w:pPr>
      <w:r w:rsidRPr="00CF4449">
        <w:rPr>
          <w:rFonts w:ascii="Arial" w:hAnsi="Arial" w:cs="Arial"/>
          <w:color w:val="00000A"/>
          <w:kern w:val="2"/>
          <w:sz w:val="22"/>
          <w:szCs w:val="22"/>
        </w:rPr>
        <w:t>Zgodnie z art. 57 § 5 pkt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rsidR="00705D2B" w:rsidRPr="000B14B1" w:rsidRDefault="00705D2B" w:rsidP="00705D2B">
      <w:pPr>
        <w:spacing w:line="276" w:lineRule="auto"/>
        <w:rPr>
          <w:rFonts w:ascii="Arial" w:hAnsi="Arial" w:cs="Arial"/>
          <w:sz w:val="22"/>
          <w:szCs w:val="22"/>
        </w:rPr>
      </w:pPr>
      <w:bookmarkStart w:id="1" w:name="EZDPracownikAtrybut6"/>
      <w:r w:rsidRPr="000B14B1">
        <w:rPr>
          <w:rFonts w:ascii="Arial" w:hAnsi="Arial" w:cs="Arial"/>
          <w:sz w:val="22"/>
          <w:szCs w:val="22"/>
        </w:rPr>
        <w:t>Regionalny Dyrektor</w:t>
      </w:r>
      <w:bookmarkEnd w:id="1"/>
    </w:p>
    <w:p w:rsidR="00705D2B" w:rsidRPr="000B14B1" w:rsidRDefault="00705D2B" w:rsidP="00705D2B">
      <w:pPr>
        <w:spacing w:line="276" w:lineRule="auto"/>
        <w:rPr>
          <w:rFonts w:ascii="Arial" w:hAnsi="Arial" w:cs="Arial"/>
          <w:sz w:val="22"/>
          <w:szCs w:val="22"/>
        </w:rPr>
      </w:pPr>
      <w:bookmarkStart w:id="2" w:name="EZDPracownikAtrybut5"/>
      <w:r w:rsidRPr="000B14B1">
        <w:rPr>
          <w:rFonts w:ascii="Arial" w:hAnsi="Arial" w:cs="Arial"/>
          <w:sz w:val="22"/>
          <w:szCs w:val="22"/>
        </w:rPr>
        <w:t>Ochrony Środowiska w Katowicach</w:t>
      </w:r>
      <w:bookmarkEnd w:id="2"/>
    </w:p>
    <w:p w:rsidR="00705D2B" w:rsidRPr="000B14B1" w:rsidRDefault="00705D2B" w:rsidP="00705D2B">
      <w:pPr>
        <w:spacing w:line="276" w:lineRule="auto"/>
        <w:rPr>
          <w:rFonts w:ascii="Arial" w:hAnsi="Arial" w:cs="Arial"/>
          <w:sz w:val="22"/>
          <w:szCs w:val="22"/>
        </w:rPr>
      </w:pPr>
      <w:bookmarkStart w:id="3" w:name="EZDPracownikAtrybut4"/>
      <w:r w:rsidRPr="000B14B1">
        <w:rPr>
          <w:rFonts w:ascii="Arial" w:hAnsi="Arial" w:cs="Arial"/>
          <w:sz w:val="22"/>
          <w:szCs w:val="22"/>
        </w:rPr>
        <w:t xml:space="preserve">Mirosława </w:t>
      </w:r>
      <w:proofErr w:type="spellStart"/>
      <w:r w:rsidRPr="000B14B1">
        <w:rPr>
          <w:rFonts w:ascii="Arial" w:hAnsi="Arial" w:cs="Arial"/>
          <w:sz w:val="22"/>
          <w:szCs w:val="22"/>
        </w:rPr>
        <w:t>Mierczyk-Sawicka</w:t>
      </w:r>
      <w:bookmarkEnd w:id="3"/>
      <w:proofErr w:type="spellEnd"/>
    </w:p>
    <w:p w:rsidR="00705D2B" w:rsidRPr="000B14B1" w:rsidRDefault="00705D2B" w:rsidP="000A3C32">
      <w:pPr>
        <w:spacing w:after="1800" w:line="276" w:lineRule="auto"/>
        <w:rPr>
          <w:rFonts w:ascii="Arial" w:hAnsi="Arial" w:cs="Arial"/>
          <w:sz w:val="22"/>
          <w:szCs w:val="22"/>
        </w:rPr>
      </w:pPr>
      <w:bookmarkStart w:id="4" w:name="EZDPracownikAtrybut3"/>
      <w:r w:rsidRPr="000B14B1">
        <w:rPr>
          <w:rFonts w:ascii="Arial" w:hAnsi="Arial" w:cs="Arial"/>
          <w:sz w:val="22"/>
          <w:szCs w:val="22"/>
        </w:rPr>
        <w:t>podpisano elektronicznie</w:t>
      </w:r>
      <w:bookmarkEnd w:id="4"/>
    </w:p>
    <w:p w:rsidR="003F6EE7" w:rsidRPr="00CF4449" w:rsidRDefault="007A137A" w:rsidP="00CF4449">
      <w:pPr>
        <w:spacing w:before="120" w:line="276" w:lineRule="auto"/>
        <w:textAlignment w:val="baseline"/>
        <w:rPr>
          <w:rFonts w:ascii="Arial" w:hAnsi="Arial" w:cs="Arial"/>
          <w:color w:val="00000A"/>
          <w:kern w:val="2"/>
          <w:sz w:val="22"/>
          <w:szCs w:val="22"/>
        </w:rPr>
      </w:pPr>
      <w:r w:rsidRPr="00CF4449">
        <w:rPr>
          <w:rFonts w:ascii="Arial" w:hAnsi="Arial" w:cs="Arial"/>
          <w:color w:val="00000A"/>
          <w:kern w:val="2"/>
          <w:sz w:val="22"/>
          <w:szCs w:val="22"/>
        </w:rPr>
        <w:t>Załącznik do decyzji:</w:t>
      </w:r>
    </w:p>
    <w:p w:rsidR="003F6EE7" w:rsidRPr="00CF4449" w:rsidRDefault="007A137A" w:rsidP="00CF4449">
      <w:pPr>
        <w:numPr>
          <w:ilvl w:val="0"/>
          <w:numId w:val="6"/>
        </w:numPr>
        <w:spacing w:line="276" w:lineRule="auto"/>
        <w:rPr>
          <w:rFonts w:ascii="Arial" w:hAnsi="Arial" w:cs="Arial"/>
          <w:color w:val="00000A"/>
          <w:kern w:val="2"/>
          <w:sz w:val="22"/>
          <w:szCs w:val="22"/>
        </w:rPr>
      </w:pPr>
      <w:r w:rsidRPr="00CF4449">
        <w:rPr>
          <w:rFonts w:ascii="Arial" w:hAnsi="Arial" w:cs="Arial"/>
          <w:color w:val="00000A"/>
          <w:kern w:val="2"/>
          <w:sz w:val="22"/>
          <w:szCs w:val="22"/>
        </w:rPr>
        <w:t>Charakterystyka przedsięwzięcia.</w:t>
      </w:r>
    </w:p>
    <w:p w:rsidR="003F6EE7" w:rsidRPr="00CF4449" w:rsidRDefault="007A137A" w:rsidP="00CF4449">
      <w:pPr>
        <w:spacing w:before="120" w:line="276" w:lineRule="auto"/>
        <w:ind w:left="284" w:hanging="284"/>
        <w:rPr>
          <w:rFonts w:ascii="Arial" w:hAnsi="Arial" w:cs="Arial"/>
          <w:color w:val="00000A"/>
          <w:kern w:val="2"/>
          <w:sz w:val="22"/>
          <w:szCs w:val="22"/>
        </w:rPr>
      </w:pPr>
      <w:r w:rsidRPr="00CF4449">
        <w:rPr>
          <w:rFonts w:ascii="Arial" w:hAnsi="Arial" w:cs="Arial"/>
          <w:color w:val="00000A"/>
          <w:kern w:val="2"/>
          <w:sz w:val="22"/>
          <w:szCs w:val="22"/>
        </w:rPr>
        <w:t>Otrzymuje:</w:t>
      </w:r>
    </w:p>
    <w:p w:rsidR="003F6EE7" w:rsidRPr="00CF4449" w:rsidRDefault="007A137A" w:rsidP="00CF4449">
      <w:pPr>
        <w:numPr>
          <w:ilvl w:val="0"/>
          <w:numId w:val="7"/>
        </w:numPr>
        <w:spacing w:line="276" w:lineRule="auto"/>
        <w:rPr>
          <w:rFonts w:ascii="Arial" w:hAnsi="Arial" w:cs="Arial"/>
          <w:color w:val="00000A"/>
          <w:kern w:val="2"/>
          <w:sz w:val="22"/>
          <w:szCs w:val="22"/>
        </w:rPr>
      </w:pPr>
      <w:r w:rsidRPr="00CF4449">
        <w:rPr>
          <w:rFonts w:ascii="Arial" w:hAnsi="Arial" w:cs="Arial"/>
          <w:color w:val="00000A"/>
          <w:kern w:val="2"/>
          <w:sz w:val="22"/>
          <w:szCs w:val="22"/>
        </w:rPr>
        <w:t>Pan</w:t>
      </w:r>
      <w:r w:rsidR="00E875E1">
        <w:rPr>
          <w:rFonts w:ascii="Arial" w:hAnsi="Arial" w:cs="Arial"/>
          <w:color w:val="00000A"/>
          <w:kern w:val="2"/>
          <w:sz w:val="22"/>
          <w:szCs w:val="22"/>
        </w:rPr>
        <w:t xml:space="preserve"> (dane </w:t>
      </w:r>
      <w:proofErr w:type="spellStart"/>
      <w:r w:rsidR="00E875E1">
        <w:rPr>
          <w:rFonts w:ascii="Arial" w:hAnsi="Arial" w:cs="Arial"/>
          <w:color w:val="00000A"/>
          <w:kern w:val="2"/>
          <w:sz w:val="22"/>
          <w:szCs w:val="22"/>
        </w:rPr>
        <w:t>zanonimizowane</w:t>
      </w:r>
      <w:proofErr w:type="spellEnd"/>
      <w:r w:rsidR="00E875E1">
        <w:rPr>
          <w:rFonts w:ascii="Arial" w:hAnsi="Arial" w:cs="Arial"/>
          <w:color w:val="00000A"/>
          <w:kern w:val="2"/>
          <w:sz w:val="22"/>
          <w:szCs w:val="22"/>
        </w:rPr>
        <w:t>)</w:t>
      </w:r>
      <w:r w:rsidRPr="00CF4449">
        <w:rPr>
          <w:rFonts w:ascii="Arial" w:hAnsi="Arial" w:cs="Arial"/>
          <w:color w:val="00000A"/>
          <w:kern w:val="2"/>
          <w:sz w:val="22"/>
          <w:szCs w:val="22"/>
        </w:rPr>
        <w:t xml:space="preserve"> Trakt Sp. z o.o. sp. k. (pełnomocnik Inwestora: Generalnego Dyrektora Dróg Krajowych i Autostrad z siedzibą w Warszawie ul. Wronia 53, 00-874 Warszawa, reprezentowanego przez Dyrektora Oddziału Generalnej Dyrekcji Dróg Krajowych i Autostrad w Katowicach ul. Myśliwska 5, 40-017 Katowice</w:t>
      </w:r>
      <w:r w:rsidRPr="00CF4449">
        <w:rPr>
          <w:rFonts w:ascii="Arial" w:hAnsi="Arial" w:cs="Arial"/>
          <w:sz w:val="22"/>
          <w:szCs w:val="22"/>
          <w:lang w:eastAsia="pl-PL"/>
        </w:rPr>
        <w:t>)</w:t>
      </w:r>
      <w:r w:rsidRPr="00CF4449">
        <w:rPr>
          <w:rFonts w:ascii="Arial" w:hAnsi="Arial" w:cs="Arial"/>
          <w:color w:val="00000A"/>
          <w:kern w:val="2"/>
          <w:sz w:val="22"/>
          <w:szCs w:val="22"/>
        </w:rPr>
        <w:t>,</w:t>
      </w:r>
    </w:p>
    <w:p w:rsidR="00554251" w:rsidRPr="00CF4449" w:rsidRDefault="007A137A" w:rsidP="00CF4449">
      <w:pPr>
        <w:spacing w:line="276" w:lineRule="auto"/>
        <w:ind w:left="720"/>
        <w:rPr>
          <w:rFonts w:ascii="Arial" w:hAnsi="Arial" w:cs="Arial"/>
          <w:color w:val="00000A"/>
          <w:kern w:val="2"/>
          <w:sz w:val="22"/>
          <w:szCs w:val="22"/>
        </w:rPr>
      </w:pPr>
      <w:r w:rsidRPr="00CF4449">
        <w:rPr>
          <w:rFonts w:ascii="Arial" w:hAnsi="Arial" w:cs="Arial"/>
          <w:color w:val="00000A"/>
          <w:kern w:val="2"/>
          <w:sz w:val="22"/>
          <w:szCs w:val="22"/>
        </w:rPr>
        <w:t>ul. Jesionowa 9 a, 40-159 Katowice</w:t>
      </w:r>
    </w:p>
    <w:p w:rsidR="003F6EE7" w:rsidRPr="00CF4449" w:rsidRDefault="007A137A" w:rsidP="00CF4449">
      <w:pPr>
        <w:pStyle w:val="Akapitzlist"/>
        <w:widowControl/>
        <w:numPr>
          <w:ilvl w:val="0"/>
          <w:numId w:val="7"/>
        </w:numPr>
        <w:tabs>
          <w:tab w:val="left" w:pos="284"/>
        </w:tabs>
        <w:suppressAutoHyphens w:val="0"/>
        <w:spacing w:line="276" w:lineRule="auto"/>
        <w:rPr>
          <w:rFonts w:ascii="Arial" w:hAnsi="Arial" w:cs="Arial"/>
          <w:sz w:val="22"/>
          <w:szCs w:val="22"/>
        </w:rPr>
      </w:pPr>
      <w:r w:rsidRPr="00CF4449">
        <w:rPr>
          <w:rFonts w:ascii="Arial" w:hAnsi="Arial" w:cs="Arial"/>
          <w:sz w:val="22"/>
          <w:szCs w:val="22"/>
        </w:rPr>
        <w:t>Pozostałe strony postępowania zgodnie z art. 49 Kpa</w:t>
      </w:r>
    </w:p>
    <w:p w:rsidR="003F6EE7" w:rsidRPr="00CF4449" w:rsidRDefault="007A137A" w:rsidP="00CF4449">
      <w:pPr>
        <w:numPr>
          <w:ilvl w:val="0"/>
          <w:numId w:val="7"/>
        </w:numPr>
        <w:spacing w:line="276" w:lineRule="auto"/>
        <w:rPr>
          <w:rFonts w:ascii="Arial" w:hAnsi="Arial" w:cs="Arial"/>
          <w:color w:val="00000A"/>
          <w:kern w:val="2"/>
          <w:sz w:val="22"/>
          <w:szCs w:val="22"/>
        </w:rPr>
      </w:pPr>
      <w:r w:rsidRPr="00CF4449">
        <w:rPr>
          <w:rFonts w:ascii="Arial" w:hAnsi="Arial" w:cs="Arial"/>
          <w:color w:val="00000A"/>
          <w:kern w:val="2"/>
          <w:sz w:val="22"/>
          <w:szCs w:val="22"/>
        </w:rPr>
        <w:t xml:space="preserve">WOOŚ aa </w:t>
      </w:r>
    </w:p>
    <w:p w:rsidR="003F6EE7" w:rsidRPr="00CF4449" w:rsidRDefault="007A137A" w:rsidP="00CF4449">
      <w:pPr>
        <w:spacing w:before="120" w:line="276" w:lineRule="auto"/>
        <w:rPr>
          <w:rFonts w:ascii="Arial" w:hAnsi="Arial" w:cs="Arial"/>
          <w:color w:val="00000A"/>
          <w:kern w:val="2"/>
          <w:sz w:val="22"/>
          <w:szCs w:val="22"/>
          <w:u w:val="single"/>
        </w:rPr>
      </w:pPr>
      <w:r w:rsidRPr="00CF4449">
        <w:rPr>
          <w:rFonts w:ascii="Arial" w:hAnsi="Arial" w:cs="Arial"/>
          <w:color w:val="00000A"/>
          <w:kern w:val="2"/>
          <w:sz w:val="22"/>
          <w:szCs w:val="22"/>
        </w:rPr>
        <w:t>Do wiadomości za pomocą ePUAP: (zgodnie z art. 74 ust. 4 oraz 86a ustawy ooś)</w:t>
      </w:r>
    </w:p>
    <w:p w:rsidR="003F6EE7" w:rsidRPr="00CF4449" w:rsidRDefault="007A137A" w:rsidP="00CF4449">
      <w:pPr>
        <w:numPr>
          <w:ilvl w:val="0"/>
          <w:numId w:val="8"/>
        </w:numPr>
        <w:spacing w:line="276" w:lineRule="auto"/>
        <w:rPr>
          <w:rFonts w:ascii="Arial" w:hAnsi="Arial" w:cs="Arial"/>
          <w:color w:val="00000A"/>
          <w:kern w:val="2"/>
          <w:sz w:val="22"/>
          <w:szCs w:val="22"/>
        </w:rPr>
      </w:pPr>
      <w:r w:rsidRPr="00CF4449">
        <w:rPr>
          <w:rFonts w:ascii="Arial" w:hAnsi="Arial" w:cs="Arial"/>
          <w:color w:val="00000A"/>
          <w:kern w:val="2"/>
          <w:sz w:val="22"/>
          <w:szCs w:val="22"/>
        </w:rPr>
        <w:t>Państwowy Powiatowy Inspektor Sanitarny w Częstochowie</w:t>
      </w:r>
    </w:p>
    <w:p w:rsidR="003F6EE7" w:rsidRPr="00CF4449" w:rsidRDefault="007A137A" w:rsidP="00CF4449">
      <w:pPr>
        <w:numPr>
          <w:ilvl w:val="0"/>
          <w:numId w:val="8"/>
        </w:numPr>
        <w:spacing w:line="276" w:lineRule="auto"/>
        <w:rPr>
          <w:rFonts w:ascii="Arial" w:hAnsi="Arial" w:cs="Arial"/>
          <w:color w:val="00000A"/>
          <w:kern w:val="2"/>
          <w:sz w:val="22"/>
          <w:szCs w:val="22"/>
        </w:rPr>
      </w:pPr>
      <w:r w:rsidRPr="00CF4449">
        <w:rPr>
          <w:rFonts w:ascii="Arial" w:hAnsi="Arial" w:cs="Arial"/>
          <w:color w:val="00000A"/>
          <w:kern w:val="2"/>
          <w:sz w:val="22"/>
          <w:szCs w:val="22"/>
        </w:rPr>
        <w:lastRenderedPageBreak/>
        <w:t>Regionalny Zarząd Gospodarstwa Wodnego w Poznaniu Państwowe Gospodarstwo Wodne Wody Polskie</w:t>
      </w:r>
    </w:p>
    <w:p w:rsidR="003F6EE7" w:rsidRPr="00CF4449" w:rsidRDefault="007A137A" w:rsidP="00CF4449">
      <w:pPr>
        <w:pStyle w:val="Akapitzlist"/>
        <w:numPr>
          <w:ilvl w:val="0"/>
          <w:numId w:val="8"/>
        </w:numPr>
        <w:spacing w:line="276" w:lineRule="auto"/>
        <w:ind w:left="709"/>
        <w:rPr>
          <w:rFonts w:ascii="Arial" w:hAnsi="Arial" w:cs="Arial"/>
          <w:color w:val="00000A"/>
          <w:kern w:val="2"/>
          <w:sz w:val="22"/>
          <w:szCs w:val="22"/>
        </w:rPr>
      </w:pPr>
      <w:r w:rsidRPr="00CF4449">
        <w:rPr>
          <w:rFonts w:ascii="Arial" w:hAnsi="Arial" w:cs="Arial"/>
          <w:color w:val="00000A"/>
          <w:kern w:val="2"/>
          <w:sz w:val="22"/>
          <w:szCs w:val="22"/>
        </w:rPr>
        <w:t>Marszałek Województwa Śląskiego</w:t>
      </w:r>
    </w:p>
    <w:p w:rsidR="003F6EE7" w:rsidRPr="00CF4449" w:rsidRDefault="007A137A" w:rsidP="00CF4449">
      <w:pPr>
        <w:spacing w:line="276" w:lineRule="auto"/>
        <w:rPr>
          <w:rFonts w:ascii="Arial" w:hAnsi="Arial" w:cs="Arial"/>
          <w:sz w:val="22"/>
          <w:szCs w:val="22"/>
        </w:rPr>
      </w:pPr>
      <w:r w:rsidRPr="00CF4449">
        <w:rPr>
          <w:rFonts w:ascii="Arial" w:hAnsi="Arial" w:cs="Arial"/>
          <w:sz w:val="22"/>
          <w:szCs w:val="22"/>
        </w:rPr>
        <w:t>Wydanie decyzji zwolnione jest od opłaty skarbowej zgodnie z art. 7 pkt 2 ustawy z dnia 16 listopada 2006 r. o opłacie skarbowej (t.j. Dz.U. z 2020 r., poz. 1546 z późn. zm.)</w:t>
      </w:r>
    </w:p>
    <w:p w:rsidR="00470F4E" w:rsidRPr="00CF4449" w:rsidRDefault="007A137A" w:rsidP="00CF4449">
      <w:pPr>
        <w:spacing w:before="120" w:line="276" w:lineRule="auto"/>
        <w:rPr>
          <w:rFonts w:ascii="Arial" w:hAnsi="Arial" w:cs="Arial"/>
          <w:sz w:val="22"/>
          <w:szCs w:val="22"/>
        </w:rPr>
      </w:pPr>
      <w:r w:rsidRPr="00CF4449">
        <w:rPr>
          <w:rFonts w:ascii="Arial" w:hAnsi="Arial" w:cs="Arial"/>
          <w:sz w:val="22"/>
          <w:szCs w:val="22"/>
        </w:rPr>
        <w:t xml:space="preserve">gł. specjalista: Joanna Żółkiewicz </w:t>
      </w:r>
    </w:p>
    <w:sectPr w:rsidR="00470F4E" w:rsidRPr="00CF4449" w:rsidSect="00990435">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FE5" w:rsidRDefault="008F7FE5" w:rsidP="002A3C1D">
      <w:r>
        <w:separator/>
      </w:r>
    </w:p>
  </w:endnote>
  <w:endnote w:type="continuationSeparator" w:id="0">
    <w:p w:rsidR="008F7FE5" w:rsidRDefault="008F7FE5" w:rsidP="002A3C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Narrow;MS Mincho">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roman"/>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435" w:rsidRDefault="00FC57FC">
    <w:pPr>
      <w:pStyle w:val="Stopka"/>
      <w:jc w:val="center"/>
      <w:rPr>
        <w:sz w:val="20"/>
        <w:szCs w:val="20"/>
      </w:rPr>
    </w:pPr>
    <w:r>
      <w:rPr>
        <w:sz w:val="20"/>
        <w:szCs w:val="20"/>
      </w:rPr>
      <w:fldChar w:fldCharType="begin"/>
    </w:r>
    <w:r w:rsidR="007A137A">
      <w:rPr>
        <w:sz w:val="20"/>
        <w:szCs w:val="20"/>
      </w:rPr>
      <w:instrText xml:space="preserve"> PAGE </w:instrText>
    </w:r>
    <w:r>
      <w:rPr>
        <w:sz w:val="20"/>
        <w:szCs w:val="20"/>
      </w:rPr>
      <w:fldChar w:fldCharType="separate"/>
    </w:r>
    <w:r w:rsidR="0046701A">
      <w:rPr>
        <w:noProof/>
        <w:sz w:val="20"/>
        <w:szCs w:val="20"/>
      </w:rPr>
      <w:t>16</w:t>
    </w:r>
    <w:r>
      <w:rPr>
        <w:sz w:val="20"/>
        <w:szCs w:val="20"/>
      </w:rPr>
      <w:fldChar w:fldCharType="end"/>
    </w:r>
    <w:r w:rsidR="007A137A">
      <w:rPr>
        <w:sz w:val="20"/>
        <w:szCs w:val="20"/>
      </w:rPr>
      <w:t xml:space="preserve"> / </w:t>
    </w:r>
    <w:fldSimple w:instr=" SECTIONPAGES  \* MERGEFORMAT ">
      <w:r w:rsidR="0046701A" w:rsidRPr="0046701A">
        <w:rPr>
          <w:noProof/>
          <w:sz w:val="20"/>
          <w:szCs w:val="20"/>
          <w:lang w:eastAsia="pl-PL"/>
        </w:rPr>
        <w:t>16</w:t>
      </w:r>
    </w:fldSimple>
  </w:p>
  <w:p w:rsidR="00990435" w:rsidRDefault="008F7FE5">
    <w:pPr>
      <w:pStyle w:val="Stopk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FE5" w:rsidRDefault="008F7FE5" w:rsidP="002A3C1D">
      <w:r>
        <w:separator/>
      </w:r>
    </w:p>
  </w:footnote>
  <w:footnote w:type="continuationSeparator" w:id="0">
    <w:p w:rsidR="008F7FE5" w:rsidRDefault="008F7FE5" w:rsidP="002A3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0361608"/>
    <w:name w:val="WW8Num2"/>
    <w:lvl w:ilvl="0">
      <w:start w:val="1"/>
      <w:numFmt w:val="bullet"/>
      <w:pStyle w:val="wyliczanie"/>
      <w:lvlText w:val=""/>
      <w:lvlJc w:val="left"/>
      <w:pPr>
        <w:tabs>
          <w:tab w:val="num" w:pos="1077"/>
        </w:tabs>
        <w:ind w:left="1077" w:hanging="360"/>
      </w:pPr>
      <w:rPr>
        <w:rFonts w:ascii="Symbol" w:hAnsi="Symbol"/>
        <w:color w:val="auto"/>
      </w:rPr>
    </w:lvl>
  </w:abstractNum>
  <w:abstractNum w:abstractNumId="1">
    <w:nsid w:val="01925B78"/>
    <w:multiLevelType w:val="multilevel"/>
    <w:tmpl w:val="C2688272"/>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
    <w:nsid w:val="0C4D1398"/>
    <w:multiLevelType w:val="hybridMultilevel"/>
    <w:tmpl w:val="461E6F14"/>
    <w:lvl w:ilvl="0" w:tplc="EA464410">
      <w:start w:val="1"/>
      <w:numFmt w:val="decimal"/>
      <w:lvlText w:val="%1."/>
      <w:lvlJc w:val="left"/>
      <w:pPr>
        <w:ind w:left="1440" w:hanging="360"/>
      </w:pPr>
      <w:rPr>
        <w:rFonts w:hint="default"/>
        <w:b w:val="0"/>
        <w:bCs w:val="0"/>
        <w:caps w:val="0"/>
        <w:color w:val="000000"/>
        <w:sz w:val="22"/>
        <w:szCs w:val="22"/>
      </w:rPr>
    </w:lvl>
    <w:lvl w:ilvl="1" w:tplc="69BCABBC">
      <w:start w:val="1"/>
      <w:numFmt w:val="lowerLetter"/>
      <w:lvlText w:val="%2."/>
      <w:lvlJc w:val="left"/>
      <w:pPr>
        <w:ind w:left="2160" w:hanging="360"/>
      </w:pPr>
    </w:lvl>
    <w:lvl w:ilvl="2" w:tplc="EB548B8E" w:tentative="1">
      <w:start w:val="1"/>
      <w:numFmt w:val="lowerRoman"/>
      <w:lvlText w:val="%3."/>
      <w:lvlJc w:val="right"/>
      <w:pPr>
        <w:ind w:left="2880" w:hanging="180"/>
      </w:pPr>
    </w:lvl>
    <w:lvl w:ilvl="3" w:tplc="6AB4147E" w:tentative="1">
      <w:start w:val="1"/>
      <w:numFmt w:val="decimal"/>
      <w:lvlText w:val="%4."/>
      <w:lvlJc w:val="left"/>
      <w:pPr>
        <w:ind w:left="3600" w:hanging="360"/>
      </w:pPr>
    </w:lvl>
    <w:lvl w:ilvl="4" w:tplc="7C1250C4" w:tentative="1">
      <w:start w:val="1"/>
      <w:numFmt w:val="lowerLetter"/>
      <w:lvlText w:val="%5."/>
      <w:lvlJc w:val="left"/>
      <w:pPr>
        <w:ind w:left="4320" w:hanging="360"/>
      </w:pPr>
    </w:lvl>
    <w:lvl w:ilvl="5" w:tplc="EF3A4B04" w:tentative="1">
      <w:start w:val="1"/>
      <w:numFmt w:val="lowerRoman"/>
      <w:lvlText w:val="%6."/>
      <w:lvlJc w:val="right"/>
      <w:pPr>
        <w:ind w:left="5040" w:hanging="180"/>
      </w:pPr>
    </w:lvl>
    <w:lvl w:ilvl="6" w:tplc="5A42F8BE" w:tentative="1">
      <w:start w:val="1"/>
      <w:numFmt w:val="decimal"/>
      <w:lvlText w:val="%7."/>
      <w:lvlJc w:val="left"/>
      <w:pPr>
        <w:ind w:left="5760" w:hanging="360"/>
      </w:pPr>
    </w:lvl>
    <w:lvl w:ilvl="7" w:tplc="2436B84A" w:tentative="1">
      <w:start w:val="1"/>
      <w:numFmt w:val="lowerLetter"/>
      <w:lvlText w:val="%8."/>
      <w:lvlJc w:val="left"/>
      <w:pPr>
        <w:ind w:left="6480" w:hanging="360"/>
      </w:pPr>
    </w:lvl>
    <w:lvl w:ilvl="8" w:tplc="A5FAD428" w:tentative="1">
      <w:start w:val="1"/>
      <w:numFmt w:val="lowerRoman"/>
      <w:lvlText w:val="%9."/>
      <w:lvlJc w:val="right"/>
      <w:pPr>
        <w:ind w:left="7200" w:hanging="180"/>
      </w:pPr>
    </w:lvl>
  </w:abstractNum>
  <w:abstractNum w:abstractNumId="3">
    <w:nsid w:val="20E93B96"/>
    <w:multiLevelType w:val="hybridMultilevel"/>
    <w:tmpl w:val="60787722"/>
    <w:lvl w:ilvl="0" w:tplc="526EC586">
      <w:start w:val="1"/>
      <w:numFmt w:val="lowerLetter"/>
      <w:lvlText w:val="%1)"/>
      <w:lvlJc w:val="left"/>
      <w:pPr>
        <w:ind w:left="1428" w:hanging="360"/>
      </w:pPr>
      <w:rPr>
        <w:rFonts w:hint="default"/>
      </w:rPr>
    </w:lvl>
    <w:lvl w:ilvl="1" w:tplc="58C2A1CE" w:tentative="1">
      <w:start w:val="1"/>
      <w:numFmt w:val="lowerLetter"/>
      <w:lvlText w:val="%2."/>
      <w:lvlJc w:val="left"/>
      <w:pPr>
        <w:ind w:left="2148" w:hanging="360"/>
      </w:pPr>
    </w:lvl>
    <w:lvl w:ilvl="2" w:tplc="F5F082CA" w:tentative="1">
      <w:start w:val="1"/>
      <w:numFmt w:val="lowerRoman"/>
      <w:lvlText w:val="%3."/>
      <w:lvlJc w:val="right"/>
      <w:pPr>
        <w:ind w:left="2868" w:hanging="180"/>
      </w:pPr>
    </w:lvl>
    <w:lvl w:ilvl="3" w:tplc="1CD0AE24" w:tentative="1">
      <w:start w:val="1"/>
      <w:numFmt w:val="decimal"/>
      <w:lvlText w:val="%4."/>
      <w:lvlJc w:val="left"/>
      <w:pPr>
        <w:ind w:left="3588" w:hanging="360"/>
      </w:pPr>
    </w:lvl>
    <w:lvl w:ilvl="4" w:tplc="13C8515E" w:tentative="1">
      <w:start w:val="1"/>
      <w:numFmt w:val="lowerLetter"/>
      <w:lvlText w:val="%5."/>
      <w:lvlJc w:val="left"/>
      <w:pPr>
        <w:ind w:left="4308" w:hanging="360"/>
      </w:pPr>
    </w:lvl>
    <w:lvl w:ilvl="5" w:tplc="FF32A95A" w:tentative="1">
      <w:start w:val="1"/>
      <w:numFmt w:val="lowerRoman"/>
      <w:lvlText w:val="%6."/>
      <w:lvlJc w:val="right"/>
      <w:pPr>
        <w:ind w:left="5028" w:hanging="180"/>
      </w:pPr>
    </w:lvl>
    <w:lvl w:ilvl="6" w:tplc="85826144" w:tentative="1">
      <w:start w:val="1"/>
      <w:numFmt w:val="decimal"/>
      <w:lvlText w:val="%7."/>
      <w:lvlJc w:val="left"/>
      <w:pPr>
        <w:ind w:left="5748" w:hanging="360"/>
      </w:pPr>
    </w:lvl>
    <w:lvl w:ilvl="7" w:tplc="0972C2DC" w:tentative="1">
      <w:start w:val="1"/>
      <w:numFmt w:val="lowerLetter"/>
      <w:lvlText w:val="%8."/>
      <w:lvlJc w:val="left"/>
      <w:pPr>
        <w:ind w:left="6468" w:hanging="360"/>
      </w:pPr>
    </w:lvl>
    <w:lvl w:ilvl="8" w:tplc="F7204E10" w:tentative="1">
      <w:start w:val="1"/>
      <w:numFmt w:val="lowerRoman"/>
      <w:lvlText w:val="%9."/>
      <w:lvlJc w:val="right"/>
      <w:pPr>
        <w:ind w:left="7188" w:hanging="180"/>
      </w:pPr>
    </w:lvl>
  </w:abstractNum>
  <w:abstractNum w:abstractNumId="4">
    <w:nsid w:val="25852670"/>
    <w:multiLevelType w:val="hybridMultilevel"/>
    <w:tmpl w:val="26E204EE"/>
    <w:lvl w:ilvl="0" w:tplc="CBBA5D66">
      <w:start w:val="1"/>
      <w:numFmt w:val="decimal"/>
      <w:lvlText w:val="%1."/>
      <w:lvlJc w:val="left"/>
      <w:pPr>
        <w:ind w:left="1080" w:hanging="360"/>
      </w:pPr>
      <w:rPr>
        <w:rFonts w:hint="default"/>
      </w:rPr>
    </w:lvl>
    <w:lvl w:ilvl="1" w:tplc="6B4CA326" w:tentative="1">
      <w:start w:val="1"/>
      <w:numFmt w:val="lowerLetter"/>
      <w:lvlText w:val="%2."/>
      <w:lvlJc w:val="left"/>
      <w:pPr>
        <w:ind w:left="1800" w:hanging="360"/>
      </w:pPr>
    </w:lvl>
    <w:lvl w:ilvl="2" w:tplc="9C0AC6B6" w:tentative="1">
      <w:start w:val="1"/>
      <w:numFmt w:val="lowerRoman"/>
      <w:lvlText w:val="%3."/>
      <w:lvlJc w:val="right"/>
      <w:pPr>
        <w:ind w:left="2520" w:hanging="180"/>
      </w:pPr>
    </w:lvl>
    <w:lvl w:ilvl="3" w:tplc="CFCECB5A" w:tentative="1">
      <w:start w:val="1"/>
      <w:numFmt w:val="decimal"/>
      <w:lvlText w:val="%4."/>
      <w:lvlJc w:val="left"/>
      <w:pPr>
        <w:ind w:left="3240" w:hanging="360"/>
      </w:pPr>
    </w:lvl>
    <w:lvl w:ilvl="4" w:tplc="E7E4C7BE" w:tentative="1">
      <w:start w:val="1"/>
      <w:numFmt w:val="lowerLetter"/>
      <w:lvlText w:val="%5."/>
      <w:lvlJc w:val="left"/>
      <w:pPr>
        <w:ind w:left="3960" w:hanging="360"/>
      </w:pPr>
    </w:lvl>
    <w:lvl w:ilvl="5" w:tplc="6802931A" w:tentative="1">
      <w:start w:val="1"/>
      <w:numFmt w:val="lowerRoman"/>
      <w:lvlText w:val="%6."/>
      <w:lvlJc w:val="right"/>
      <w:pPr>
        <w:ind w:left="4680" w:hanging="180"/>
      </w:pPr>
    </w:lvl>
    <w:lvl w:ilvl="6" w:tplc="EB188A20" w:tentative="1">
      <w:start w:val="1"/>
      <w:numFmt w:val="decimal"/>
      <w:lvlText w:val="%7."/>
      <w:lvlJc w:val="left"/>
      <w:pPr>
        <w:ind w:left="5400" w:hanging="360"/>
      </w:pPr>
    </w:lvl>
    <w:lvl w:ilvl="7" w:tplc="981AB24E" w:tentative="1">
      <w:start w:val="1"/>
      <w:numFmt w:val="lowerLetter"/>
      <w:lvlText w:val="%8."/>
      <w:lvlJc w:val="left"/>
      <w:pPr>
        <w:ind w:left="6120" w:hanging="360"/>
      </w:pPr>
    </w:lvl>
    <w:lvl w:ilvl="8" w:tplc="E15C482A" w:tentative="1">
      <w:start w:val="1"/>
      <w:numFmt w:val="lowerRoman"/>
      <w:lvlText w:val="%9."/>
      <w:lvlJc w:val="right"/>
      <w:pPr>
        <w:ind w:left="6840" w:hanging="180"/>
      </w:pPr>
    </w:lvl>
  </w:abstractNum>
  <w:abstractNum w:abstractNumId="5">
    <w:nsid w:val="286E3351"/>
    <w:multiLevelType w:val="hybridMultilevel"/>
    <w:tmpl w:val="EC806914"/>
    <w:lvl w:ilvl="0" w:tplc="7D303F88">
      <w:start w:val="1"/>
      <w:numFmt w:val="lowerLetter"/>
      <w:lvlText w:val="%1)"/>
      <w:lvlJc w:val="left"/>
      <w:pPr>
        <w:ind w:left="2160" w:hanging="360"/>
      </w:pPr>
    </w:lvl>
    <w:lvl w:ilvl="1" w:tplc="9BCA3F5E" w:tentative="1">
      <w:start w:val="1"/>
      <w:numFmt w:val="lowerLetter"/>
      <w:lvlText w:val="%2."/>
      <w:lvlJc w:val="left"/>
      <w:pPr>
        <w:ind w:left="2880" w:hanging="360"/>
      </w:pPr>
    </w:lvl>
    <w:lvl w:ilvl="2" w:tplc="8EA28432" w:tentative="1">
      <w:start w:val="1"/>
      <w:numFmt w:val="lowerRoman"/>
      <w:lvlText w:val="%3."/>
      <w:lvlJc w:val="right"/>
      <w:pPr>
        <w:ind w:left="3600" w:hanging="180"/>
      </w:pPr>
    </w:lvl>
    <w:lvl w:ilvl="3" w:tplc="FF9A7112" w:tentative="1">
      <w:start w:val="1"/>
      <w:numFmt w:val="decimal"/>
      <w:lvlText w:val="%4."/>
      <w:lvlJc w:val="left"/>
      <w:pPr>
        <w:ind w:left="4320" w:hanging="360"/>
      </w:pPr>
    </w:lvl>
    <w:lvl w:ilvl="4" w:tplc="54DCFEDA" w:tentative="1">
      <w:start w:val="1"/>
      <w:numFmt w:val="lowerLetter"/>
      <w:lvlText w:val="%5."/>
      <w:lvlJc w:val="left"/>
      <w:pPr>
        <w:ind w:left="5040" w:hanging="360"/>
      </w:pPr>
    </w:lvl>
    <w:lvl w:ilvl="5" w:tplc="96CEF602" w:tentative="1">
      <w:start w:val="1"/>
      <w:numFmt w:val="lowerRoman"/>
      <w:lvlText w:val="%6."/>
      <w:lvlJc w:val="right"/>
      <w:pPr>
        <w:ind w:left="5760" w:hanging="180"/>
      </w:pPr>
    </w:lvl>
    <w:lvl w:ilvl="6" w:tplc="2DCC5D6A" w:tentative="1">
      <w:start w:val="1"/>
      <w:numFmt w:val="decimal"/>
      <w:lvlText w:val="%7."/>
      <w:lvlJc w:val="left"/>
      <w:pPr>
        <w:ind w:left="6480" w:hanging="360"/>
      </w:pPr>
    </w:lvl>
    <w:lvl w:ilvl="7" w:tplc="11C2C30A" w:tentative="1">
      <w:start w:val="1"/>
      <w:numFmt w:val="lowerLetter"/>
      <w:lvlText w:val="%8."/>
      <w:lvlJc w:val="left"/>
      <w:pPr>
        <w:ind w:left="7200" w:hanging="360"/>
      </w:pPr>
    </w:lvl>
    <w:lvl w:ilvl="8" w:tplc="E7BA52F0" w:tentative="1">
      <w:start w:val="1"/>
      <w:numFmt w:val="lowerRoman"/>
      <w:lvlText w:val="%9."/>
      <w:lvlJc w:val="right"/>
      <w:pPr>
        <w:ind w:left="7920" w:hanging="180"/>
      </w:pPr>
    </w:lvl>
  </w:abstractNum>
  <w:abstractNum w:abstractNumId="6">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7">
    <w:nsid w:val="31747C1C"/>
    <w:multiLevelType w:val="hybridMultilevel"/>
    <w:tmpl w:val="CC7C363A"/>
    <w:lvl w:ilvl="0" w:tplc="EE6405C8">
      <w:start w:val="1"/>
      <w:numFmt w:val="decimal"/>
      <w:lvlText w:val="%1."/>
      <w:lvlJc w:val="left"/>
      <w:pPr>
        <w:ind w:left="720" w:hanging="360"/>
      </w:pPr>
      <w:rPr>
        <w:rFonts w:ascii="Arial" w:eastAsia="Times New Roman" w:hAnsi="Arial" w:cs="Arial"/>
      </w:rPr>
    </w:lvl>
    <w:lvl w:ilvl="1" w:tplc="0484A8C6" w:tentative="1">
      <w:start w:val="1"/>
      <w:numFmt w:val="bullet"/>
      <w:lvlText w:val="o"/>
      <w:lvlJc w:val="left"/>
      <w:pPr>
        <w:ind w:left="1440" w:hanging="360"/>
      </w:pPr>
      <w:rPr>
        <w:rFonts w:ascii="Courier New" w:hAnsi="Courier New" w:cs="Courier New" w:hint="default"/>
      </w:rPr>
    </w:lvl>
    <w:lvl w:ilvl="2" w:tplc="49FC9582" w:tentative="1">
      <w:start w:val="1"/>
      <w:numFmt w:val="bullet"/>
      <w:lvlText w:val=""/>
      <w:lvlJc w:val="left"/>
      <w:pPr>
        <w:ind w:left="2160" w:hanging="360"/>
      </w:pPr>
      <w:rPr>
        <w:rFonts w:ascii="Wingdings" w:hAnsi="Wingdings" w:hint="default"/>
      </w:rPr>
    </w:lvl>
    <w:lvl w:ilvl="3" w:tplc="01D81A5A" w:tentative="1">
      <w:start w:val="1"/>
      <w:numFmt w:val="bullet"/>
      <w:lvlText w:val=""/>
      <w:lvlJc w:val="left"/>
      <w:pPr>
        <w:ind w:left="2880" w:hanging="360"/>
      </w:pPr>
      <w:rPr>
        <w:rFonts w:ascii="Symbol" w:hAnsi="Symbol" w:hint="default"/>
      </w:rPr>
    </w:lvl>
    <w:lvl w:ilvl="4" w:tplc="76A4FA3A" w:tentative="1">
      <w:start w:val="1"/>
      <w:numFmt w:val="bullet"/>
      <w:lvlText w:val="o"/>
      <w:lvlJc w:val="left"/>
      <w:pPr>
        <w:ind w:left="3600" w:hanging="360"/>
      </w:pPr>
      <w:rPr>
        <w:rFonts w:ascii="Courier New" w:hAnsi="Courier New" w:cs="Courier New" w:hint="default"/>
      </w:rPr>
    </w:lvl>
    <w:lvl w:ilvl="5" w:tplc="4AD89F62" w:tentative="1">
      <w:start w:val="1"/>
      <w:numFmt w:val="bullet"/>
      <w:lvlText w:val=""/>
      <w:lvlJc w:val="left"/>
      <w:pPr>
        <w:ind w:left="4320" w:hanging="360"/>
      </w:pPr>
      <w:rPr>
        <w:rFonts w:ascii="Wingdings" w:hAnsi="Wingdings" w:hint="default"/>
      </w:rPr>
    </w:lvl>
    <w:lvl w:ilvl="6" w:tplc="DB6AEA8A" w:tentative="1">
      <w:start w:val="1"/>
      <w:numFmt w:val="bullet"/>
      <w:lvlText w:val=""/>
      <w:lvlJc w:val="left"/>
      <w:pPr>
        <w:ind w:left="5040" w:hanging="360"/>
      </w:pPr>
      <w:rPr>
        <w:rFonts w:ascii="Symbol" w:hAnsi="Symbol" w:hint="default"/>
      </w:rPr>
    </w:lvl>
    <w:lvl w:ilvl="7" w:tplc="49B4DCA8" w:tentative="1">
      <w:start w:val="1"/>
      <w:numFmt w:val="bullet"/>
      <w:lvlText w:val="o"/>
      <w:lvlJc w:val="left"/>
      <w:pPr>
        <w:ind w:left="5760" w:hanging="360"/>
      </w:pPr>
      <w:rPr>
        <w:rFonts w:ascii="Courier New" w:hAnsi="Courier New" w:cs="Courier New" w:hint="default"/>
      </w:rPr>
    </w:lvl>
    <w:lvl w:ilvl="8" w:tplc="C8E46B44" w:tentative="1">
      <w:start w:val="1"/>
      <w:numFmt w:val="bullet"/>
      <w:lvlText w:val=""/>
      <w:lvlJc w:val="left"/>
      <w:pPr>
        <w:ind w:left="6480" w:hanging="360"/>
      </w:pPr>
      <w:rPr>
        <w:rFonts w:ascii="Wingdings" w:hAnsi="Wingdings" w:hint="default"/>
      </w:rPr>
    </w:lvl>
  </w:abstractNum>
  <w:abstractNum w:abstractNumId="8">
    <w:nsid w:val="32580841"/>
    <w:multiLevelType w:val="hybridMultilevel"/>
    <w:tmpl w:val="AE7EA7B2"/>
    <w:lvl w:ilvl="0" w:tplc="94586D1C">
      <w:start w:val="1"/>
      <w:numFmt w:val="lowerLetter"/>
      <w:lvlText w:val="%1)"/>
      <w:lvlJc w:val="left"/>
      <w:pPr>
        <w:ind w:left="720" w:hanging="360"/>
      </w:pPr>
    </w:lvl>
    <w:lvl w:ilvl="1" w:tplc="38DA6714" w:tentative="1">
      <w:start w:val="1"/>
      <w:numFmt w:val="lowerLetter"/>
      <w:lvlText w:val="%2."/>
      <w:lvlJc w:val="left"/>
      <w:pPr>
        <w:ind w:left="1440" w:hanging="360"/>
      </w:pPr>
    </w:lvl>
    <w:lvl w:ilvl="2" w:tplc="C4FA3D7E" w:tentative="1">
      <w:start w:val="1"/>
      <w:numFmt w:val="lowerRoman"/>
      <w:lvlText w:val="%3."/>
      <w:lvlJc w:val="right"/>
      <w:pPr>
        <w:ind w:left="2160" w:hanging="180"/>
      </w:pPr>
    </w:lvl>
    <w:lvl w:ilvl="3" w:tplc="85407EB8" w:tentative="1">
      <w:start w:val="1"/>
      <w:numFmt w:val="decimal"/>
      <w:lvlText w:val="%4."/>
      <w:lvlJc w:val="left"/>
      <w:pPr>
        <w:ind w:left="2880" w:hanging="360"/>
      </w:pPr>
    </w:lvl>
    <w:lvl w:ilvl="4" w:tplc="C17EAD94" w:tentative="1">
      <w:start w:val="1"/>
      <w:numFmt w:val="lowerLetter"/>
      <w:lvlText w:val="%5."/>
      <w:lvlJc w:val="left"/>
      <w:pPr>
        <w:ind w:left="3600" w:hanging="360"/>
      </w:pPr>
    </w:lvl>
    <w:lvl w:ilvl="5" w:tplc="B64ACB28" w:tentative="1">
      <w:start w:val="1"/>
      <w:numFmt w:val="lowerRoman"/>
      <w:lvlText w:val="%6."/>
      <w:lvlJc w:val="right"/>
      <w:pPr>
        <w:ind w:left="4320" w:hanging="180"/>
      </w:pPr>
    </w:lvl>
    <w:lvl w:ilvl="6" w:tplc="729C2772" w:tentative="1">
      <w:start w:val="1"/>
      <w:numFmt w:val="decimal"/>
      <w:lvlText w:val="%7."/>
      <w:lvlJc w:val="left"/>
      <w:pPr>
        <w:ind w:left="5040" w:hanging="360"/>
      </w:pPr>
    </w:lvl>
    <w:lvl w:ilvl="7" w:tplc="9E18AB64" w:tentative="1">
      <w:start w:val="1"/>
      <w:numFmt w:val="lowerLetter"/>
      <w:lvlText w:val="%8."/>
      <w:lvlJc w:val="left"/>
      <w:pPr>
        <w:ind w:left="5760" w:hanging="360"/>
      </w:pPr>
    </w:lvl>
    <w:lvl w:ilvl="8" w:tplc="ABD0EBF6" w:tentative="1">
      <w:start w:val="1"/>
      <w:numFmt w:val="lowerRoman"/>
      <w:lvlText w:val="%9."/>
      <w:lvlJc w:val="right"/>
      <w:pPr>
        <w:ind w:left="6480" w:hanging="180"/>
      </w:pPr>
    </w:lvl>
  </w:abstractNum>
  <w:abstractNum w:abstractNumId="9">
    <w:nsid w:val="3D081E3A"/>
    <w:multiLevelType w:val="hybridMultilevel"/>
    <w:tmpl w:val="8B328E56"/>
    <w:lvl w:ilvl="0" w:tplc="01CC4E16">
      <w:start w:val="1"/>
      <w:numFmt w:val="decimal"/>
      <w:lvlText w:val="%1."/>
      <w:lvlJc w:val="left"/>
      <w:pPr>
        <w:ind w:left="720" w:hanging="360"/>
      </w:pPr>
      <w:rPr>
        <w:rFonts w:hint="default"/>
      </w:rPr>
    </w:lvl>
    <w:lvl w:ilvl="1" w:tplc="1DE09468" w:tentative="1">
      <w:start w:val="1"/>
      <w:numFmt w:val="lowerLetter"/>
      <w:lvlText w:val="%2."/>
      <w:lvlJc w:val="left"/>
      <w:pPr>
        <w:ind w:left="1440" w:hanging="360"/>
      </w:pPr>
    </w:lvl>
    <w:lvl w:ilvl="2" w:tplc="FC6207B4" w:tentative="1">
      <w:start w:val="1"/>
      <w:numFmt w:val="lowerRoman"/>
      <w:lvlText w:val="%3."/>
      <w:lvlJc w:val="right"/>
      <w:pPr>
        <w:ind w:left="2160" w:hanging="180"/>
      </w:pPr>
    </w:lvl>
    <w:lvl w:ilvl="3" w:tplc="D1BA577E" w:tentative="1">
      <w:start w:val="1"/>
      <w:numFmt w:val="decimal"/>
      <w:lvlText w:val="%4."/>
      <w:lvlJc w:val="left"/>
      <w:pPr>
        <w:ind w:left="2880" w:hanging="360"/>
      </w:pPr>
    </w:lvl>
    <w:lvl w:ilvl="4" w:tplc="E07ECAC2" w:tentative="1">
      <w:start w:val="1"/>
      <w:numFmt w:val="lowerLetter"/>
      <w:lvlText w:val="%5."/>
      <w:lvlJc w:val="left"/>
      <w:pPr>
        <w:ind w:left="3600" w:hanging="360"/>
      </w:pPr>
    </w:lvl>
    <w:lvl w:ilvl="5" w:tplc="16E0E952" w:tentative="1">
      <w:start w:val="1"/>
      <w:numFmt w:val="lowerRoman"/>
      <w:lvlText w:val="%6."/>
      <w:lvlJc w:val="right"/>
      <w:pPr>
        <w:ind w:left="4320" w:hanging="180"/>
      </w:pPr>
    </w:lvl>
    <w:lvl w:ilvl="6" w:tplc="9C84049A" w:tentative="1">
      <w:start w:val="1"/>
      <w:numFmt w:val="decimal"/>
      <w:lvlText w:val="%7."/>
      <w:lvlJc w:val="left"/>
      <w:pPr>
        <w:ind w:left="5040" w:hanging="360"/>
      </w:pPr>
    </w:lvl>
    <w:lvl w:ilvl="7" w:tplc="DBA611AA" w:tentative="1">
      <w:start w:val="1"/>
      <w:numFmt w:val="lowerLetter"/>
      <w:lvlText w:val="%8."/>
      <w:lvlJc w:val="left"/>
      <w:pPr>
        <w:ind w:left="5760" w:hanging="360"/>
      </w:pPr>
    </w:lvl>
    <w:lvl w:ilvl="8" w:tplc="16E0015A" w:tentative="1">
      <w:start w:val="1"/>
      <w:numFmt w:val="lowerRoman"/>
      <w:lvlText w:val="%9."/>
      <w:lvlJc w:val="right"/>
      <w:pPr>
        <w:ind w:left="6480" w:hanging="180"/>
      </w:pPr>
    </w:lvl>
  </w:abstractNum>
  <w:abstractNum w:abstractNumId="10">
    <w:nsid w:val="44233940"/>
    <w:multiLevelType w:val="hybridMultilevel"/>
    <w:tmpl w:val="12F2410C"/>
    <w:lvl w:ilvl="0" w:tplc="C5C80650">
      <w:start w:val="1"/>
      <w:numFmt w:val="decimal"/>
      <w:lvlText w:val="%1."/>
      <w:lvlJc w:val="left"/>
      <w:pPr>
        <w:ind w:left="720" w:hanging="360"/>
      </w:pPr>
    </w:lvl>
    <w:lvl w:ilvl="1" w:tplc="6B9CB718" w:tentative="1">
      <w:start w:val="1"/>
      <w:numFmt w:val="lowerLetter"/>
      <w:lvlText w:val="%2."/>
      <w:lvlJc w:val="left"/>
      <w:pPr>
        <w:ind w:left="1440" w:hanging="360"/>
      </w:pPr>
    </w:lvl>
    <w:lvl w:ilvl="2" w:tplc="8C004548" w:tentative="1">
      <w:start w:val="1"/>
      <w:numFmt w:val="lowerRoman"/>
      <w:lvlText w:val="%3."/>
      <w:lvlJc w:val="right"/>
      <w:pPr>
        <w:ind w:left="2160" w:hanging="180"/>
      </w:pPr>
    </w:lvl>
    <w:lvl w:ilvl="3" w:tplc="28ACA850" w:tentative="1">
      <w:start w:val="1"/>
      <w:numFmt w:val="decimal"/>
      <w:lvlText w:val="%4."/>
      <w:lvlJc w:val="left"/>
      <w:pPr>
        <w:ind w:left="2880" w:hanging="360"/>
      </w:pPr>
    </w:lvl>
    <w:lvl w:ilvl="4" w:tplc="AE520FB4" w:tentative="1">
      <w:start w:val="1"/>
      <w:numFmt w:val="lowerLetter"/>
      <w:lvlText w:val="%5."/>
      <w:lvlJc w:val="left"/>
      <w:pPr>
        <w:ind w:left="3600" w:hanging="360"/>
      </w:pPr>
    </w:lvl>
    <w:lvl w:ilvl="5" w:tplc="D60056D4" w:tentative="1">
      <w:start w:val="1"/>
      <w:numFmt w:val="lowerRoman"/>
      <w:lvlText w:val="%6."/>
      <w:lvlJc w:val="right"/>
      <w:pPr>
        <w:ind w:left="4320" w:hanging="180"/>
      </w:pPr>
    </w:lvl>
    <w:lvl w:ilvl="6" w:tplc="7E867288" w:tentative="1">
      <w:start w:val="1"/>
      <w:numFmt w:val="decimal"/>
      <w:lvlText w:val="%7."/>
      <w:lvlJc w:val="left"/>
      <w:pPr>
        <w:ind w:left="5040" w:hanging="360"/>
      </w:pPr>
    </w:lvl>
    <w:lvl w:ilvl="7" w:tplc="5B60F980" w:tentative="1">
      <w:start w:val="1"/>
      <w:numFmt w:val="lowerLetter"/>
      <w:lvlText w:val="%8."/>
      <w:lvlJc w:val="left"/>
      <w:pPr>
        <w:ind w:left="5760" w:hanging="360"/>
      </w:pPr>
    </w:lvl>
    <w:lvl w:ilvl="8" w:tplc="6BBA1664" w:tentative="1">
      <w:start w:val="1"/>
      <w:numFmt w:val="lowerRoman"/>
      <w:lvlText w:val="%9."/>
      <w:lvlJc w:val="right"/>
      <w:pPr>
        <w:ind w:left="6480" w:hanging="180"/>
      </w:pPr>
    </w:lvl>
  </w:abstractNum>
  <w:abstractNum w:abstractNumId="11">
    <w:nsid w:val="47D27E49"/>
    <w:multiLevelType w:val="hybridMultilevel"/>
    <w:tmpl w:val="2E4EB2E0"/>
    <w:lvl w:ilvl="0" w:tplc="41361708">
      <w:start w:val="1"/>
      <w:numFmt w:val="lowerLetter"/>
      <w:lvlText w:val="%1)"/>
      <w:lvlJc w:val="left"/>
      <w:pPr>
        <w:ind w:left="2160" w:hanging="360"/>
      </w:pPr>
    </w:lvl>
    <w:lvl w:ilvl="1" w:tplc="EBA4B894" w:tentative="1">
      <w:start w:val="1"/>
      <w:numFmt w:val="lowerLetter"/>
      <w:lvlText w:val="%2."/>
      <w:lvlJc w:val="left"/>
      <w:pPr>
        <w:ind w:left="2880" w:hanging="360"/>
      </w:pPr>
    </w:lvl>
    <w:lvl w:ilvl="2" w:tplc="8A9C2A9E" w:tentative="1">
      <w:start w:val="1"/>
      <w:numFmt w:val="lowerRoman"/>
      <w:lvlText w:val="%3."/>
      <w:lvlJc w:val="right"/>
      <w:pPr>
        <w:ind w:left="3600" w:hanging="180"/>
      </w:pPr>
    </w:lvl>
    <w:lvl w:ilvl="3" w:tplc="71D68054" w:tentative="1">
      <w:start w:val="1"/>
      <w:numFmt w:val="decimal"/>
      <w:lvlText w:val="%4."/>
      <w:lvlJc w:val="left"/>
      <w:pPr>
        <w:ind w:left="4320" w:hanging="360"/>
      </w:pPr>
    </w:lvl>
    <w:lvl w:ilvl="4" w:tplc="944C9620" w:tentative="1">
      <w:start w:val="1"/>
      <w:numFmt w:val="lowerLetter"/>
      <w:lvlText w:val="%5."/>
      <w:lvlJc w:val="left"/>
      <w:pPr>
        <w:ind w:left="5040" w:hanging="360"/>
      </w:pPr>
    </w:lvl>
    <w:lvl w:ilvl="5" w:tplc="D316AB8A" w:tentative="1">
      <w:start w:val="1"/>
      <w:numFmt w:val="lowerRoman"/>
      <w:lvlText w:val="%6."/>
      <w:lvlJc w:val="right"/>
      <w:pPr>
        <w:ind w:left="5760" w:hanging="180"/>
      </w:pPr>
    </w:lvl>
    <w:lvl w:ilvl="6" w:tplc="414088F4" w:tentative="1">
      <w:start w:val="1"/>
      <w:numFmt w:val="decimal"/>
      <w:lvlText w:val="%7."/>
      <w:lvlJc w:val="left"/>
      <w:pPr>
        <w:ind w:left="6480" w:hanging="360"/>
      </w:pPr>
    </w:lvl>
    <w:lvl w:ilvl="7" w:tplc="8C9CA4D6" w:tentative="1">
      <w:start w:val="1"/>
      <w:numFmt w:val="lowerLetter"/>
      <w:lvlText w:val="%8."/>
      <w:lvlJc w:val="left"/>
      <w:pPr>
        <w:ind w:left="7200" w:hanging="360"/>
      </w:pPr>
    </w:lvl>
    <w:lvl w:ilvl="8" w:tplc="0DEEE124" w:tentative="1">
      <w:start w:val="1"/>
      <w:numFmt w:val="lowerRoman"/>
      <w:lvlText w:val="%9."/>
      <w:lvlJc w:val="right"/>
      <w:pPr>
        <w:ind w:left="7920" w:hanging="180"/>
      </w:pPr>
    </w:lvl>
  </w:abstractNum>
  <w:abstractNum w:abstractNumId="12">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3">
    <w:nsid w:val="54341483"/>
    <w:multiLevelType w:val="hybridMultilevel"/>
    <w:tmpl w:val="26E204EE"/>
    <w:lvl w:ilvl="0" w:tplc="A3A8CD40">
      <w:start w:val="1"/>
      <w:numFmt w:val="decimal"/>
      <w:lvlText w:val="%1."/>
      <w:lvlJc w:val="left"/>
      <w:pPr>
        <w:ind w:left="1080" w:hanging="360"/>
      </w:pPr>
      <w:rPr>
        <w:rFonts w:hint="default"/>
      </w:rPr>
    </w:lvl>
    <w:lvl w:ilvl="1" w:tplc="AF0C0DEC" w:tentative="1">
      <w:start w:val="1"/>
      <w:numFmt w:val="lowerLetter"/>
      <w:lvlText w:val="%2."/>
      <w:lvlJc w:val="left"/>
      <w:pPr>
        <w:ind w:left="1800" w:hanging="360"/>
      </w:pPr>
    </w:lvl>
    <w:lvl w:ilvl="2" w:tplc="96D86520" w:tentative="1">
      <w:start w:val="1"/>
      <w:numFmt w:val="lowerRoman"/>
      <w:lvlText w:val="%3."/>
      <w:lvlJc w:val="right"/>
      <w:pPr>
        <w:ind w:left="2520" w:hanging="180"/>
      </w:pPr>
    </w:lvl>
    <w:lvl w:ilvl="3" w:tplc="14B26566" w:tentative="1">
      <w:start w:val="1"/>
      <w:numFmt w:val="decimal"/>
      <w:lvlText w:val="%4."/>
      <w:lvlJc w:val="left"/>
      <w:pPr>
        <w:ind w:left="3240" w:hanging="360"/>
      </w:pPr>
    </w:lvl>
    <w:lvl w:ilvl="4" w:tplc="712E5582" w:tentative="1">
      <w:start w:val="1"/>
      <w:numFmt w:val="lowerLetter"/>
      <w:lvlText w:val="%5."/>
      <w:lvlJc w:val="left"/>
      <w:pPr>
        <w:ind w:left="3960" w:hanging="360"/>
      </w:pPr>
    </w:lvl>
    <w:lvl w:ilvl="5" w:tplc="B8C0190A" w:tentative="1">
      <w:start w:val="1"/>
      <w:numFmt w:val="lowerRoman"/>
      <w:lvlText w:val="%6."/>
      <w:lvlJc w:val="right"/>
      <w:pPr>
        <w:ind w:left="4680" w:hanging="180"/>
      </w:pPr>
    </w:lvl>
    <w:lvl w:ilvl="6" w:tplc="033C5880" w:tentative="1">
      <w:start w:val="1"/>
      <w:numFmt w:val="decimal"/>
      <w:lvlText w:val="%7."/>
      <w:lvlJc w:val="left"/>
      <w:pPr>
        <w:ind w:left="5400" w:hanging="360"/>
      </w:pPr>
    </w:lvl>
    <w:lvl w:ilvl="7" w:tplc="98B864E0" w:tentative="1">
      <w:start w:val="1"/>
      <w:numFmt w:val="lowerLetter"/>
      <w:lvlText w:val="%8."/>
      <w:lvlJc w:val="left"/>
      <w:pPr>
        <w:ind w:left="6120" w:hanging="360"/>
      </w:pPr>
    </w:lvl>
    <w:lvl w:ilvl="8" w:tplc="41E67912" w:tentative="1">
      <w:start w:val="1"/>
      <w:numFmt w:val="lowerRoman"/>
      <w:lvlText w:val="%9."/>
      <w:lvlJc w:val="right"/>
      <w:pPr>
        <w:ind w:left="6840" w:hanging="180"/>
      </w:pPr>
    </w:lvl>
  </w:abstractNum>
  <w:abstractNum w:abstractNumId="14">
    <w:nsid w:val="5CF44CBE"/>
    <w:multiLevelType w:val="hybridMultilevel"/>
    <w:tmpl w:val="5EA2C756"/>
    <w:lvl w:ilvl="0" w:tplc="5894BAF2">
      <w:start w:val="1"/>
      <w:numFmt w:val="decimal"/>
      <w:lvlText w:val="%1."/>
      <w:lvlJc w:val="left"/>
      <w:pPr>
        <w:ind w:left="1080" w:hanging="360"/>
      </w:pPr>
      <w:rPr>
        <w:rFonts w:hint="default"/>
      </w:rPr>
    </w:lvl>
    <w:lvl w:ilvl="1" w:tplc="7AC6948E" w:tentative="1">
      <w:start w:val="1"/>
      <w:numFmt w:val="lowerLetter"/>
      <w:lvlText w:val="%2."/>
      <w:lvlJc w:val="left"/>
      <w:pPr>
        <w:ind w:left="1800" w:hanging="360"/>
      </w:pPr>
    </w:lvl>
    <w:lvl w:ilvl="2" w:tplc="987095DA" w:tentative="1">
      <w:start w:val="1"/>
      <w:numFmt w:val="lowerRoman"/>
      <w:lvlText w:val="%3."/>
      <w:lvlJc w:val="right"/>
      <w:pPr>
        <w:ind w:left="2520" w:hanging="180"/>
      </w:pPr>
    </w:lvl>
    <w:lvl w:ilvl="3" w:tplc="472271EE" w:tentative="1">
      <w:start w:val="1"/>
      <w:numFmt w:val="decimal"/>
      <w:lvlText w:val="%4."/>
      <w:lvlJc w:val="left"/>
      <w:pPr>
        <w:ind w:left="3240" w:hanging="360"/>
      </w:pPr>
    </w:lvl>
    <w:lvl w:ilvl="4" w:tplc="1422C056" w:tentative="1">
      <w:start w:val="1"/>
      <w:numFmt w:val="lowerLetter"/>
      <w:lvlText w:val="%5."/>
      <w:lvlJc w:val="left"/>
      <w:pPr>
        <w:ind w:left="3960" w:hanging="360"/>
      </w:pPr>
    </w:lvl>
    <w:lvl w:ilvl="5" w:tplc="5D0CE894" w:tentative="1">
      <w:start w:val="1"/>
      <w:numFmt w:val="lowerRoman"/>
      <w:lvlText w:val="%6."/>
      <w:lvlJc w:val="right"/>
      <w:pPr>
        <w:ind w:left="4680" w:hanging="180"/>
      </w:pPr>
    </w:lvl>
    <w:lvl w:ilvl="6" w:tplc="0C0CA4A0" w:tentative="1">
      <w:start w:val="1"/>
      <w:numFmt w:val="decimal"/>
      <w:lvlText w:val="%7."/>
      <w:lvlJc w:val="left"/>
      <w:pPr>
        <w:ind w:left="5400" w:hanging="360"/>
      </w:pPr>
    </w:lvl>
    <w:lvl w:ilvl="7" w:tplc="1ED64D58" w:tentative="1">
      <w:start w:val="1"/>
      <w:numFmt w:val="lowerLetter"/>
      <w:lvlText w:val="%8."/>
      <w:lvlJc w:val="left"/>
      <w:pPr>
        <w:ind w:left="6120" w:hanging="360"/>
      </w:pPr>
    </w:lvl>
    <w:lvl w:ilvl="8" w:tplc="807A69AE" w:tentative="1">
      <w:start w:val="1"/>
      <w:numFmt w:val="lowerRoman"/>
      <w:lvlText w:val="%9."/>
      <w:lvlJc w:val="right"/>
      <w:pPr>
        <w:ind w:left="6840" w:hanging="180"/>
      </w:pPr>
    </w:lvl>
  </w:abstractNum>
  <w:abstractNum w:abstractNumId="15">
    <w:nsid w:val="628960DD"/>
    <w:multiLevelType w:val="hybridMultilevel"/>
    <w:tmpl w:val="2CDC6930"/>
    <w:lvl w:ilvl="0" w:tplc="1DE65D3C">
      <w:start w:val="1"/>
      <w:numFmt w:val="decimal"/>
      <w:lvlText w:val="%1."/>
      <w:lvlJc w:val="left"/>
      <w:pPr>
        <w:ind w:left="1440" w:hanging="360"/>
      </w:pPr>
      <w:rPr>
        <w:rFonts w:ascii="Arial" w:hAnsi="Arial" w:cs="Arial" w:hint="default"/>
        <w:b w:val="0"/>
        <w:bCs w:val="0"/>
        <w:caps w:val="0"/>
        <w:color w:val="000000"/>
        <w:sz w:val="22"/>
        <w:szCs w:val="22"/>
      </w:rPr>
    </w:lvl>
    <w:lvl w:ilvl="1" w:tplc="5D829EBE">
      <w:start w:val="1"/>
      <w:numFmt w:val="lowerLetter"/>
      <w:lvlText w:val="%2."/>
      <w:lvlJc w:val="left"/>
      <w:pPr>
        <w:ind w:left="2160" w:hanging="360"/>
      </w:pPr>
    </w:lvl>
    <w:lvl w:ilvl="2" w:tplc="4F783FB0" w:tentative="1">
      <w:start w:val="1"/>
      <w:numFmt w:val="lowerRoman"/>
      <w:lvlText w:val="%3."/>
      <w:lvlJc w:val="right"/>
      <w:pPr>
        <w:ind w:left="2880" w:hanging="180"/>
      </w:pPr>
    </w:lvl>
    <w:lvl w:ilvl="3" w:tplc="D5B2AC2C" w:tentative="1">
      <w:start w:val="1"/>
      <w:numFmt w:val="decimal"/>
      <w:lvlText w:val="%4."/>
      <w:lvlJc w:val="left"/>
      <w:pPr>
        <w:ind w:left="3600" w:hanging="360"/>
      </w:pPr>
    </w:lvl>
    <w:lvl w:ilvl="4" w:tplc="9D4CDF4C" w:tentative="1">
      <w:start w:val="1"/>
      <w:numFmt w:val="lowerLetter"/>
      <w:lvlText w:val="%5."/>
      <w:lvlJc w:val="left"/>
      <w:pPr>
        <w:ind w:left="4320" w:hanging="360"/>
      </w:pPr>
    </w:lvl>
    <w:lvl w:ilvl="5" w:tplc="09F093D0" w:tentative="1">
      <w:start w:val="1"/>
      <w:numFmt w:val="lowerRoman"/>
      <w:lvlText w:val="%6."/>
      <w:lvlJc w:val="right"/>
      <w:pPr>
        <w:ind w:left="5040" w:hanging="180"/>
      </w:pPr>
    </w:lvl>
    <w:lvl w:ilvl="6" w:tplc="26247D70" w:tentative="1">
      <w:start w:val="1"/>
      <w:numFmt w:val="decimal"/>
      <w:lvlText w:val="%7."/>
      <w:lvlJc w:val="left"/>
      <w:pPr>
        <w:ind w:left="5760" w:hanging="360"/>
      </w:pPr>
    </w:lvl>
    <w:lvl w:ilvl="7" w:tplc="C788652A" w:tentative="1">
      <w:start w:val="1"/>
      <w:numFmt w:val="lowerLetter"/>
      <w:lvlText w:val="%8."/>
      <w:lvlJc w:val="left"/>
      <w:pPr>
        <w:ind w:left="6480" w:hanging="360"/>
      </w:pPr>
    </w:lvl>
    <w:lvl w:ilvl="8" w:tplc="7D3CE09E" w:tentative="1">
      <w:start w:val="1"/>
      <w:numFmt w:val="lowerRoman"/>
      <w:lvlText w:val="%9."/>
      <w:lvlJc w:val="right"/>
      <w:pPr>
        <w:ind w:left="7200" w:hanging="180"/>
      </w:pPr>
    </w:lvl>
  </w:abstractNum>
  <w:abstractNum w:abstractNumId="16">
    <w:nsid w:val="640B4DD1"/>
    <w:multiLevelType w:val="hybridMultilevel"/>
    <w:tmpl w:val="9458737C"/>
    <w:lvl w:ilvl="0" w:tplc="09521218">
      <w:start w:val="1"/>
      <w:numFmt w:val="lowerLetter"/>
      <w:lvlText w:val="%1)"/>
      <w:lvlJc w:val="left"/>
      <w:pPr>
        <w:ind w:left="2520" w:hanging="360"/>
      </w:pPr>
    </w:lvl>
    <w:lvl w:ilvl="1" w:tplc="6450C5F4" w:tentative="1">
      <w:start w:val="1"/>
      <w:numFmt w:val="lowerLetter"/>
      <w:lvlText w:val="%2."/>
      <w:lvlJc w:val="left"/>
      <w:pPr>
        <w:ind w:left="3240" w:hanging="360"/>
      </w:pPr>
    </w:lvl>
    <w:lvl w:ilvl="2" w:tplc="D542EB74" w:tentative="1">
      <w:start w:val="1"/>
      <w:numFmt w:val="lowerRoman"/>
      <w:lvlText w:val="%3."/>
      <w:lvlJc w:val="right"/>
      <w:pPr>
        <w:ind w:left="3960" w:hanging="180"/>
      </w:pPr>
    </w:lvl>
    <w:lvl w:ilvl="3" w:tplc="6046CFA2" w:tentative="1">
      <w:start w:val="1"/>
      <w:numFmt w:val="decimal"/>
      <w:lvlText w:val="%4."/>
      <w:lvlJc w:val="left"/>
      <w:pPr>
        <w:ind w:left="4680" w:hanging="360"/>
      </w:pPr>
    </w:lvl>
    <w:lvl w:ilvl="4" w:tplc="F18628C6" w:tentative="1">
      <w:start w:val="1"/>
      <w:numFmt w:val="lowerLetter"/>
      <w:lvlText w:val="%5."/>
      <w:lvlJc w:val="left"/>
      <w:pPr>
        <w:ind w:left="5400" w:hanging="360"/>
      </w:pPr>
    </w:lvl>
    <w:lvl w:ilvl="5" w:tplc="C144D112" w:tentative="1">
      <w:start w:val="1"/>
      <w:numFmt w:val="lowerRoman"/>
      <w:lvlText w:val="%6."/>
      <w:lvlJc w:val="right"/>
      <w:pPr>
        <w:ind w:left="6120" w:hanging="180"/>
      </w:pPr>
    </w:lvl>
    <w:lvl w:ilvl="6" w:tplc="5510A566" w:tentative="1">
      <w:start w:val="1"/>
      <w:numFmt w:val="decimal"/>
      <w:lvlText w:val="%7."/>
      <w:lvlJc w:val="left"/>
      <w:pPr>
        <w:ind w:left="6840" w:hanging="360"/>
      </w:pPr>
    </w:lvl>
    <w:lvl w:ilvl="7" w:tplc="A746A2D2" w:tentative="1">
      <w:start w:val="1"/>
      <w:numFmt w:val="lowerLetter"/>
      <w:lvlText w:val="%8."/>
      <w:lvlJc w:val="left"/>
      <w:pPr>
        <w:ind w:left="7560" w:hanging="360"/>
      </w:pPr>
    </w:lvl>
    <w:lvl w:ilvl="8" w:tplc="CFB4D260" w:tentative="1">
      <w:start w:val="1"/>
      <w:numFmt w:val="lowerRoman"/>
      <w:lvlText w:val="%9."/>
      <w:lvlJc w:val="right"/>
      <w:pPr>
        <w:ind w:left="8280" w:hanging="180"/>
      </w:pPr>
    </w:lvl>
  </w:abstractNum>
  <w:abstractNum w:abstractNumId="17">
    <w:nsid w:val="6782283F"/>
    <w:multiLevelType w:val="hybridMultilevel"/>
    <w:tmpl w:val="5BA6458A"/>
    <w:lvl w:ilvl="0" w:tplc="3B36FA84">
      <w:start w:val="1"/>
      <w:numFmt w:val="decimal"/>
      <w:lvlText w:val="%1)"/>
      <w:lvlJc w:val="left"/>
      <w:pPr>
        <w:ind w:left="720" w:hanging="360"/>
      </w:pPr>
    </w:lvl>
    <w:lvl w:ilvl="1" w:tplc="4F166F2E" w:tentative="1">
      <w:start w:val="1"/>
      <w:numFmt w:val="bullet"/>
      <w:lvlText w:val="o"/>
      <w:lvlJc w:val="left"/>
      <w:pPr>
        <w:ind w:left="1440" w:hanging="360"/>
      </w:pPr>
      <w:rPr>
        <w:rFonts w:ascii="Courier New" w:hAnsi="Courier New" w:cs="Courier New" w:hint="default"/>
      </w:rPr>
    </w:lvl>
    <w:lvl w:ilvl="2" w:tplc="D71ABA6C" w:tentative="1">
      <w:start w:val="1"/>
      <w:numFmt w:val="bullet"/>
      <w:lvlText w:val=""/>
      <w:lvlJc w:val="left"/>
      <w:pPr>
        <w:ind w:left="2160" w:hanging="360"/>
      </w:pPr>
      <w:rPr>
        <w:rFonts w:ascii="Wingdings" w:hAnsi="Wingdings" w:hint="default"/>
      </w:rPr>
    </w:lvl>
    <w:lvl w:ilvl="3" w:tplc="59B6FF2E" w:tentative="1">
      <w:start w:val="1"/>
      <w:numFmt w:val="bullet"/>
      <w:lvlText w:val=""/>
      <w:lvlJc w:val="left"/>
      <w:pPr>
        <w:ind w:left="2880" w:hanging="360"/>
      </w:pPr>
      <w:rPr>
        <w:rFonts w:ascii="Symbol" w:hAnsi="Symbol" w:hint="default"/>
      </w:rPr>
    </w:lvl>
    <w:lvl w:ilvl="4" w:tplc="25102A6E" w:tentative="1">
      <w:start w:val="1"/>
      <w:numFmt w:val="bullet"/>
      <w:lvlText w:val="o"/>
      <w:lvlJc w:val="left"/>
      <w:pPr>
        <w:ind w:left="3600" w:hanging="360"/>
      </w:pPr>
      <w:rPr>
        <w:rFonts w:ascii="Courier New" w:hAnsi="Courier New" w:cs="Courier New" w:hint="default"/>
      </w:rPr>
    </w:lvl>
    <w:lvl w:ilvl="5" w:tplc="16343B2C" w:tentative="1">
      <w:start w:val="1"/>
      <w:numFmt w:val="bullet"/>
      <w:lvlText w:val=""/>
      <w:lvlJc w:val="left"/>
      <w:pPr>
        <w:ind w:left="4320" w:hanging="360"/>
      </w:pPr>
      <w:rPr>
        <w:rFonts w:ascii="Wingdings" w:hAnsi="Wingdings" w:hint="default"/>
      </w:rPr>
    </w:lvl>
    <w:lvl w:ilvl="6" w:tplc="8C727320" w:tentative="1">
      <w:start w:val="1"/>
      <w:numFmt w:val="bullet"/>
      <w:lvlText w:val=""/>
      <w:lvlJc w:val="left"/>
      <w:pPr>
        <w:ind w:left="5040" w:hanging="360"/>
      </w:pPr>
      <w:rPr>
        <w:rFonts w:ascii="Symbol" w:hAnsi="Symbol" w:hint="default"/>
      </w:rPr>
    </w:lvl>
    <w:lvl w:ilvl="7" w:tplc="32540DFC" w:tentative="1">
      <w:start w:val="1"/>
      <w:numFmt w:val="bullet"/>
      <w:lvlText w:val="o"/>
      <w:lvlJc w:val="left"/>
      <w:pPr>
        <w:ind w:left="5760" w:hanging="360"/>
      </w:pPr>
      <w:rPr>
        <w:rFonts w:ascii="Courier New" w:hAnsi="Courier New" w:cs="Courier New" w:hint="default"/>
      </w:rPr>
    </w:lvl>
    <w:lvl w:ilvl="8" w:tplc="E7146BA6" w:tentative="1">
      <w:start w:val="1"/>
      <w:numFmt w:val="bullet"/>
      <w:lvlText w:val=""/>
      <w:lvlJc w:val="left"/>
      <w:pPr>
        <w:ind w:left="6480" w:hanging="360"/>
      </w:pPr>
      <w:rPr>
        <w:rFonts w:ascii="Wingdings" w:hAnsi="Wingdings" w:hint="default"/>
      </w:rPr>
    </w:lvl>
  </w:abstractNum>
  <w:abstractNum w:abstractNumId="18">
    <w:nsid w:val="6B9F6F31"/>
    <w:multiLevelType w:val="hybridMultilevel"/>
    <w:tmpl w:val="D812A890"/>
    <w:lvl w:ilvl="0" w:tplc="B226E060">
      <w:start w:val="1"/>
      <w:numFmt w:val="decimal"/>
      <w:lvlText w:val="%1."/>
      <w:lvlJc w:val="left"/>
      <w:pPr>
        <w:ind w:left="1080" w:hanging="360"/>
      </w:pPr>
      <w:rPr>
        <w:rFonts w:hint="default"/>
      </w:rPr>
    </w:lvl>
    <w:lvl w:ilvl="1" w:tplc="78E0CFC2" w:tentative="1">
      <w:start w:val="1"/>
      <w:numFmt w:val="lowerLetter"/>
      <w:lvlText w:val="%2."/>
      <w:lvlJc w:val="left"/>
      <w:pPr>
        <w:ind w:left="1800" w:hanging="360"/>
      </w:pPr>
    </w:lvl>
    <w:lvl w:ilvl="2" w:tplc="F3DCCD6C" w:tentative="1">
      <w:start w:val="1"/>
      <w:numFmt w:val="lowerRoman"/>
      <w:lvlText w:val="%3."/>
      <w:lvlJc w:val="right"/>
      <w:pPr>
        <w:ind w:left="2520" w:hanging="180"/>
      </w:pPr>
    </w:lvl>
    <w:lvl w:ilvl="3" w:tplc="30D4C110" w:tentative="1">
      <w:start w:val="1"/>
      <w:numFmt w:val="decimal"/>
      <w:lvlText w:val="%4."/>
      <w:lvlJc w:val="left"/>
      <w:pPr>
        <w:ind w:left="3240" w:hanging="360"/>
      </w:pPr>
    </w:lvl>
    <w:lvl w:ilvl="4" w:tplc="23EC7D2C" w:tentative="1">
      <w:start w:val="1"/>
      <w:numFmt w:val="lowerLetter"/>
      <w:lvlText w:val="%5."/>
      <w:lvlJc w:val="left"/>
      <w:pPr>
        <w:ind w:left="3960" w:hanging="360"/>
      </w:pPr>
    </w:lvl>
    <w:lvl w:ilvl="5" w:tplc="725C94FC" w:tentative="1">
      <w:start w:val="1"/>
      <w:numFmt w:val="lowerRoman"/>
      <w:lvlText w:val="%6."/>
      <w:lvlJc w:val="right"/>
      <w:pPr>
        <w:ind w:left="4680" w:hanging="180"/>
      </w:pPr>
    </w:lvl>
    <w:lvl w:ilvl="6" w:tplc="3162F974" w:tentative="1">
      <w:start w:val="1"/>
      <w:numFmt w:val="decimal"/>
      <w:lvlText w:val="%7."/>
      <w:lvlJc w:val="left"/>
      <w:pPr>
        <w:ind w:left="5400" w:hanging="360"/>
      </w:pPr>
    </w:lvl>
    <w:lvl w:ilvl="7" w:tplc="9D34611E" w:tentative="1">
      <w:start w:val="1"/>
      <w:numFmt w:val="lowerLetter"/>
      <w:lvlText w:val="%8."/>
      <w:lvlJc w:val="left"/>
      <w:pPr>
        <w:ind w:left="6120" w:hanging="360"/>
      </w:pPr>
    </w:lvl>
    <w:lvl w:ilvl="8" w:tplc="50EE4AE6" w:tentative="1">
      <w:start w:val="1"/>
      <w:numFmt w:val="lowerRoman"/>
      <w:lvlText w:val="%9."/>
      <w:lvlJc w:val="right"/>
      <w:pPr>
        <w:ind w:left="6840" w:hanging="180"/>
      </w:pPr>
    </w:lvl>
  </w:abstractNum>
  <w:abstractNum w:abstractNumId="19">
    <w:nsid w:val="6C7A5064"/>
    <w:multiLevelType w:val="hybridMultilevel"/>
    <w:tmpl w:val="A164F1BA"/>
    <w:lvl w:ilvl="0" w:tplc="2FBA3FEA">
      <w:start w:val="1"/>
      <w:numFmt w:val="upperRoman"/>
      <w:lvlText w:val="%1."/>
      <w:lvlJc w:val="right"/>
      <w:pPr>
        <w:ind w:left="720" w:hanging="360"/>
      </w:pPr>
    </w:lvl>
    <w:lvl w:ilvl="1" w:tplc="56161694">
      <w:start w:val="1"/>
      <w:numFmt w:val="lowerLetter"/>
      <w:lvlText w:val="%2."/>
      <w:lvlJc w:val="left"/>
      <w:pPr>
        <w:ind w:left="1440" w:hanging="360"/>
      </w:pPr>
    </w:lvl>
    <w:lvl w:ilvl="2" w:tplc="8B443576" w:tentative="1">
      <w:start w:val="1"/>
      <w:numFmt w:val="lowerRoman"/>
      <w:lvlText w:val="%3."/>
      <w:lvlJc w:val="right"/>
      <w:pPr>
        <w:ind w:left="2160" w:hanging="180"/>
      </w:pPr>
    </w:lvl>
    <w:lvl w:ilvl="3" w:tplc="745AFB54" w:tentative="1">
      <w:start w:val="1"/>
      <w:numFmt w:val="decimal"/>
      <w:lvlText w:val="%4."/>
      <w:lvlJc w:val="left"/>
      <w:pPr>
        <w:ind w:left="2880" w:hanging="360"/>
      </w:pPr>
    </w:lvl>
    <w:lvl w:ilvl="4" w:tplc="8BD625EE" w:tentative="1">
      <w:start w:val="1"/>
      <w:numFmt w:val="lowerLetter"/>
      <w:lvlText w:val="%5."/>
      <w:lvlJc w:val="left"/>
      <w:pPr>
        <w:ind w:left="3600" w:hanging="360"/>
      </w:pPr>
    </w:lvl>
    <w:lvl w:ilvl="5" w:tplc="6C742DEA" w:tentative="1">
      <w:start w:val="1"/>
      <w:numFmt w:val="lowerRoman"/>
      <w:lvlText w:val="%6."/>
      <w:lvlJc w:val="right"/>
      <w:pPr>
        <w:ind w:left="4320" w:hanging="180"/>
      </w:pPr>
    </w:lvl>
    <w:lvl w:ilvl="6" w:tplc="CDBA0A5E" w:tentative="1">
      <w:start w:val="1"/>
      <w:numFmt w:val="decimal"/>
      <w:lvlText w:val="%7."/>
      <w:lvlJc w:val="left"/>
      <w:pPr>
        <w:ind w:left="5040" w:hanging="360"/>
      </w:pPr>
    </w:lvl>
    <w:lvl w:ilvl="7" w:tplc="0A883CCA" w:tentative="1">
      <w:start w:val="1"/>
      <w:numFmt w:val="lowerLetter"/>
      <w:lvlText w:val="%8."/>
      <w:lvlJc w:val="left"/>
      <w:pPr>
        <w:ind w:left="5760" w:hanging="360"/>
      </w:pPr>
    </w:lvl>
    <w:lvl w:ilvl="8" w:tplc="85B270C6" w:tentative="1">
      <w:start w:val="1"/>
      <w:numFmt w:val="lowerRoman"/>
      <w:lvlText w:val="%9."/>
      <w:lvlJc w:val="right"/>
      <w:pPr>
        <w:ind w:left="6480" w:hanging="180"/>
      </w:pPr>
    </w:lvl>
  </w:abstractNum>
  <w:abstractNum w:abstractNumId="20">
    <w:nsid w:val="6DBD4185"/>
    <w:multiLevelType w:val="hybridMultilevel"/>
    <w:tmpl w:val="91F87292"/>
    <w:lvl w:ilvl="0" w:tplc="B9B869A2">
      <w:start w:val="1"/>
      <w:numFmt w:val="lowerLetter"/>
      <w:lvlText w:val="%1)"/>
      <w:lvlJc w:val="left"/>
      <w:pPr>
        <w:ind w:left="2160" w:hanging="360"/>
      </w:pPr>
    </w:lvl>
    <w:lvl w:ilvl="1" w:tplc="D298BC3E" w:tentative="1">
      <w:start w:val="1"/>
      <w:numFmt w:val="lowerLetter"/>
      <w:lvlText w:val="%2."/>
      <w:lvlJc w:val="left"/>
      <w:pPr>
        <w:ind w:left="2880" w:hanging="360"/>
      </w:pPr>
    </w:lvl>
    <w:lvl w:ilvl="2" w:tplc="27983752" w:tentative="1">
      <w:start w:val="1"/>
      <w:numFmt w:val="lowerRoman"/>
      <w:lvlText w:val="%3."/>
      <w:lvlJc w:val="right"/>
      <w:pPr>
        <w:ind w:left="3600" w:hanging="180"/>
      </w:pPr>
    </w:lvl>
    <w:lvl w:ilvl="3" w:tplc="B72EE044" w:tentative="1">
      <w:start w:val="1"/>
      <w:numFmt w:val="decimal"/>
      <w:lvlText w:val="%4."/>
      <w:lvlJc w:val="left"/>
      <w:pPr>
        <w:ind w:left="4320" w:hanging="360"/>
      </w:pPr>
    </w:lvl>
    <w:lvl w:ilvl="4" w:tplc="217E252C" w:tentative="1">
      <w:start w:val="1"/>
      <w:numFmt w:val="lowerLetter"/>
      <w:lvlText w:val="%5."/>
      <w:lvlJc w:val="left"/>
      <w:pPr>
        <w:ind w:left="5040" w:hanging="360"/>
      </w:pPr>
    </w:lvl>
    <w:lvl w:ilvl="5" w:tplc="5D3AD72E" w:tentative="1">
      <w:start w:val="1"/>
      <w:numFmt w:val="lowerRoman"/>
      <w:lvlText w:val="%6."/>
      <w:lvlJc w:val="right"/>
      <w:pPr>
        <w:ind w:left="5760" w:hanging="180"/>
      </w:pPr>
    </w:lvl>
    <w:lvl w:ilvl="6" w:tplc="A69C2C2E" w:tentative="1">
      <w:start w:val="1"/>
      <w:numFmt w:val="decimal"/>
      <w:lvlText w:val="%7."/>
      <w:lvlJc w:val="left"/>
      <w:pPr>
        <w:ind w:left="6480" w:hanging="360"/>
      </w:pPr>
    </w:lvl>
    <w:lvl w:ilvl="7" w:tplc="3A30B0C2" w:tentative="1">
      <w:start w:val="1"/>
      <w:numFmt w:val="lowerLetter"/>
      <w:lvlText w:val="%8."/>
      <w:lvlJc w:val="left"/>
      <w:pPr>
        <w:ind w:left="7200" w:hanging="360"/>
      </w:pPr>
    </w:lvl>
    <w:lvl w:ilvl="8" w:tplc="93C6BA4A" w:tentative="1">
      <w:start w:val="1"/>
      <w:numFmt w:val="lowerRoman"/>
      <w:lvlText w:val="%9."/>
      <w:lvlJc w:val="right"/>
      <w:pPr>
        <w:ind w:left="7920" w:hanging="180"/>
      </w:pPr>
    </w:lvl>
  </w:abstractNum>
  <w:abstractNum w:abstractNumId="21">
    <w:nsid w:val="743C039C"/>
    <w:multiLevelType w:val="hybridMultilevel"/>
    <w:tmpl w:val="6B9A761A"/>
    <w:lvl w:ilvl="0" w:tplc="CCEAB398">
      <w:start w:val="1"/>
      <w:numFmt w:val="lowerLetter"/>
      <w:lvlText w:val="%1)"/>
      <w:lvlJc w:val="left"/>
      <w:pPr>
        <w:ind w:left="720" w:hanging="360"/>
      </w:pPr>
    </w:lvl>
    <w:lvl w:ilvl="1" w:tplc="61DEF57A" w:tentative="1">
      <w:start w:val="1"/>
      <w:numFmt w:val="lowerLetter"/>
      <w:lvlText w:val="%2."/>
      <w:lvlJc w:val="left"/>
      <w:pPr>
        <w:ind w:left="1440" w:hanging="360"/>
      </w:pPr>
    </w:lvl>
    <w:lvl w:ilvl="2" w:tplc="E1B6B11A" w:tentative="1">
      <w:start w:val="1"/>
      <w:numFmt w:val="lowerRoman"/>
      <w:lvlText w:val="%3."/>
      <w:lvlJc w:val="right"/>
      <w:pPr>
        <w:ind w:left="2160" w:hanging="180"/>
      </w:pPr>
    </w:lvl>
    <w:lvl w:ilvl="3" w:tplc="B8A074AA" w:tentative="1">
      <w:start w:val="1"/>
      <w:numFmt w:val="decimal"/>
      <w:lvlText w:val="%4."/>
      <w:lvlJc w:val="left"/>
      <w:pPr>
        <w:ind w:left="2880" w:hanging="360"/>
      </w:pPr>
    </w:lvl>
    <w:lvl w:ilvl="4" w:tplc="3190D5EE" w:tentative="1">
      <w:start w:val="1"/>
      <w:numFmt w:val="lowerLetter"/>
      <w:lvlText w:val="%5."/>
      <w:lvlJc w:val="left"/>
      <w:pPr>
        <w:ind w:left="3600" w:hanging="360"/>
      </w:pPr>
    </w:lvl>
    <w:lvl w:ilvl="5" w:tplc="8434210A" w:tentative="1">
      <w:start w:val="1"/>
      <w:numFmt w:val="lowerRoman"/>
      <w:lvlText w:val="%6."/>
      <w:lvlJc w:val="right"/>
      <w:pPr>
        <w:ind w:left="4320" w:hanging="180"/>
      </w:pPr>
    </w:lvl>
    <w:lvl w:ilvl="6" w:tplc="F6689780" w:tentative="1">
      <w:start w:val="1"/>
      <w:numFmt w:val="decimal"/>
      <w:lvlText w:val="%7."/>
      <w:lvlJc w:val="left"/>
      <w:pPr>
        <w:ind w:left="5040" w:hanging="360"/>
      </w:pPr>
    </w:lvl>
    <w:lvl w:ilvl="7" w:tplc="7556F778" w:tentative="1">
      <w:start w:val="1"/>
      <w:numFmt w:val="lowerLetter"/>
      <w:lvlText w:val="%8."/>
      <w:lvlJc w:val="left"/>
      <w:pPr>
        <w:ind w:left="5760" w:hanging="360"/>
      </w:pPr>
    </w:lvl>
    <w:lvl w:ilvl="8" w:tplc="7C5083AA" w:tentative="1">
      <w:start w:val="1"/>
      <w:numFmt w:val="lowerRoman"/>
      <w:lvlText w:val="%9."/>
      <w:lvlJc w:val="right"/>
      <w:pPr>
        <w:ind w:left="6480" w:hanging="180"/>
      </w:pPr>
    </w:lvl>
  </w:abstractNum>
  <w:abstractNum w:abstractNumId="22">
    <w:nsid w:val="74827819"/>
    <w:multiLevelType w:val="hybridMultilevel"/>
    <w:tmpl w:val="7DE2A6B6"/>
    <w:lvl w:ilvl="0" w:tplc="42B0D684">
      <w:start w:val="1"/>
      <w:numFmt w:val="lowerLetter"/>
      <w:lvlText w:val="%1)"/>
      <w:lvlJc w:val="left"/>
      <w:pPr>
        <w:ind w:left="720" w:hanging="360"/>
      </w:pPr>
    </w:lvl>
    <w:lvl w:ilvl="1" w:tplc="38E2C0AA" w:tentative="1">
      <w:start w:val="1"/>
      <w:numFmt w:val="lowerLetter"/>
      <w:lvlText w:val="%2."/>
      <w:lvlJc w:val="left"/>
      <w:pPr>
        <w:ind w:left="1440" w:hanging="360"/>
      </w:pPr>
    </w:lvl>
    <w:lvl w:ilvl="2" w:tplc="B3C403DC" w:tentative="1">
      <w:start w:val="1"/>
      <w:numFmt w:val="lowerRoman"/>
      <w:lvlText w:val="%3."/>
      <w:lvlJc w:val="right"/>
      <w:pPr>
        <w:ind w:left="2160" w:hanging="180"/>
      </w:pPr>
    </w:lvl>
    <w:lvl w:ilvl="3" w:tplc="6FC0B52A" w:tentative="1">
      <w:start w:val="1"/>
      <w:numFmt w:val="decimal"/>
      <w:lvlText w:val="%4."/>
      <w:lvlJc w:val="left"/>
      <w:pPr>
        <w:ind w:left="2880" w:hanging="360"/>
      </w:pPr>
    </w:lvl>
    <w:lvl w:ilvl="4" w:tplc="9FC86240" w:tentative="1">
      <w:start w:val="1"/>
      <w:numFmt w:val="lowerLetter"/>
      <w:lvlText w:val="%5."/>
      <w:lvlJc w:val="left"/>
      <w:pPr>
        <w:ind w:left="3600" w:hanging="360"/>
      </w:pPr>
    </w:lvl>
    <w:lvl w:ilvl="5" w:tplc="D13C6D90" w:tentative="1">
      <w:start w:val="1"/>
      <w:numFmt w:val="lowerRoman"/>
      <w:lvlText w:val="%6."/>
      <w:lvlJc w:val="right"/>
      <w:pPr>
        <w:ind w:left="4320" w:hanging="180"/>
      </w:pPr>
    </w:lvl>
    <w:lvl w:ilvl="6" w:tplc="AE1CE0AA" w:tentative="1">
      <w:start w:val="1"/>
      <w:numFmt w:val="decimal"/>
      <w:lvlText w:val="%7."/>
      <w:lvlJc w:val="left"/>
      <w:pPr>
        <w:ind w:left="5040" w:hanging="360"/>
      </w:pPr>
    </w:lvl>
    <w:lvl w:ilvl="7" w:tplc="6666DC64" w:tentative="1">
      <w:start w:val="1"/>
      <w:numFmt w:val="lowerLetter"/>
      <w:lvlText w:val="%8."/>
      <w:lvlJc w:val="left"/>
      <w:pPr>
        <w:ind w:left="5760" w:hanging="360"/>
      </w:pPr>
    </w:lvl>
    <w:lvl w:ilvl="8" w:tplc="69A6A4FA" w:tentative="1">
      <w:start w:val="1"/>
      <w:numFmt w:val="lowerRoman"/>
      <w:lvlText w:val="%9."/>
      <w:lvlJc w:val="right"/>
      <w:pPr>
        <w:ind w:left="6480" w:hanging="180"/>
      </w:pPr>
    </w:lvl>
  </w:abstractNum>
  <w:abstractNum w:abstractNumId="23">
    <w:nsid w:val="799064A5"/>
    <w:multiLevelType w:val="hybridMultilevel"/>
    <w:tmpl w:val="BC78F54E"/>
    <w:lvl w:ilvl="0" w:tplc="FA565968">
      <w:start w:val="1"/>
      <w:numFmt w:val="decimal"/>
      <w:lvlText w:val="%1."/>
      <w:lvlJc w:val="left"/>
      <w:pPr>
        <w:ind w:left="1080" w:hanging="360"/>
      </w:pPr>
      <w:rPr>
        <w:rFonts w:hint="default"/>
      </w:rPr>
    </w:lvl>
    <w:lvl w:ilvl="1" w:tplc="579A3660" w:tentative="1">
      <w:start w:val="1"/>
      <w:numFmt w:val="lowerLetter"/>
      <w:lvlText w:val="%2."/>
      <w:lvlJc w:val="left"/>
      <w:pPr>
        <w:ind w:left="1800" w:hanging="360"/>
      </w:pPr>
    </w:lvl>
    <w:lvl w:ilvl="2" w:tplc="7CF2D6C2" w:tentative="1">
      <w:start w:val="1"/>
      <w:numFmt w:val="lowerRoman"/>
      <w:lvlText w:val="%3."/>
      <w:lvlJc w:val="right"/>
      <w:pPr>
        <w:ind w:left="2520" w:hanging="180"/>
      </w:pPr>
    </w:lvl>
    <w:lvl w:ilvl="3" w:tplc="7C22B51C" w:tentative="1">
      <w:start w:val="1"/>
      <w:numFmt w:val="decimal"/>
      <w:lvlText w:val="%4."/>
      <w:lvlJc w:val="left"/>
      <w:pPr>
        <w:ind w:left="3240" w:hanging="360"/>
      </w:pPr>
    </w:lvl>
    <w:lvl w:ilvl="4" w:tplc="77B03C60" w:tentative="1">
      <w:start w:val="1"/>
      <w:numFmt w:val="lowerLetter"/>
      <w:lvlText w:val="%5."/>
      <w:lvlJc w:val="left"/>
      <w:pPr>
        <w:ind w:left="3960" w:hanging="360"/>
      </w:pPr>
    </w:lvl>
    <w:lvl w:ilvl="5" w:tplc="B25283E6" w:tentative="1">
      <w:start w:val="1"/>
      <w:numFmt w:val="lowerRoman"/>
      <w:lvlText w:val="%6."/>
      <w:lvlJc w:val="right"/>
      <w:pPr>
        <w:ind w:left="4680" w:hanging="180"/>
      </w:pPr>
    </w:lvl>
    <w:lvl w:ilvl="6" w:tplc="7368D58E" w:tentative="1">
      <w:start w:val="1"/>
      <w:numFmt w:val="decimal"/>
      <w:lvlText w:val="%7."/>
      <w:lvlJc w:val="left"/>
      <w:pPr>
        <w:ind w:left="5400" w:hanging="360"/>
      </w:pPr>
    </w:lvl>
    <w:lvl w:ilvl="7" w:tplc="225A423E" w:tentative="1">
      <w:start w:val="1"/>
      <w:numFmt w:val="lowerLetter"/>
      <w:lvlText w:val="%8."/>
      <w:lvlJc w:val="left"/>
      <w:pPr>
        <w:ind w:left="6120" w:hanging="360"/>
      </w:pPr>
    </w:lvl>
    <w:lvl w:ilvl="8" w:tplc="9C62F6EA" w:tentative="1">
      <w:start w:val="1"/>
      <w:numFmt w:val="lowerRoman"/>
      <w:lvlText w:val="%9."/>
      <w:lvlJc w:val="right"/>
      <w:pPr>
        <w:ind w:left="6840" w:hanging="180"/>
      </w:pPr>
    </w:lvl>
  </w:abstractNum>
  <w:abstractNum w:abstractNumId="24">
    <w:nsid w:val="7C517FBF"/>
    <w:multiLevelType w:val="hybridMultilevel"/>
    <w:tmpl w:val="3126C3EA"/>
    <w:lvl w:ilvl="0" w:tplc="5F107FDA">
      <w:start w:val="1"/>
      <w:numFmt w:val="decimal"/>
      <w:lvlText w:val="%1."/>
      <w:lvlJc w:val="left"/>
      <w:pPr>
        <w:ind w:left="1800" w:hanging="360"/>
      </w:pPr>
      <w:rPr>
        <w:rFonts w:hint="default"/>
      </w:rPr>
    </w:lvl>
    <w:lvl w:ilvl="1" w:tplc="6352A9EC" w:tentative="1">
      <w:start w:val="1"/>
      <w:numFmt w:val="lowerLetter"/>
      <w:lvlText w:val="%2."/>
      <w:lvlJc w:val="left"/>
      <w:pPr>
        <w:ind w:left="2520" w:hanging="360"/>
      </w:pPr>
    </w:lvl>
    <w:lvl w:ilvl="2" w:tplc="2D4C0E0C" w:tentative="1">
      <w:start w:val="1"/>
      <w:numFmt w:val="lowerRoman"/>
      <w:lvlText w:val="%3."/>
      <w:lvlJc w:val="right"/>
      <w:pPr>
        <w:ind w:left="3240" w:hanging="180"/>
      </w:pPr>
    </w:lvl>
    <w:lvl w:ilvl="3" w:tplc="26FC0CF6" w:tentative="1">
      <w:start w:val="1"/>
      <w:numFmt w:val="decimal"/>
      <w:lvlText w:val="%4."/>
      <w:lvlJc w:val="left"/>
      <w:pPr>
        <w:ind w:left="3960" w:hanging="360"/>
      </w:pPr>
    </w:lvl>
    <w:lvl w:ilvl="4" w:tplc="90524088" w:tentative="1">
      <w:start w:val="1"/>
      <w:numFmt w:val="lowerLetter"/>
      <w:lvlText w:val="%5."/>
      <w:lvlJc w:val="left"/>
      <w:pPr>
        <w:ind w:left="4680" w:hanging="360"/>
      </w:pPr>
    </w:lvl>
    <w:lvl w:ilvl="5" w:tplc="25A6C70A" w:tentative="1">
      <w:start w:val="1"/>
      <w:numFmt w:val="lowerRoman"/>
      <w:lvlText w:val="%6."/>
      <w:lvlJc w:val="right"/>
      <w:pPr>
        <w:ind w:left="5400" w:hanging="180"/>
      </w:pPr>
    </w:lvl>
    <w:lvl w:ilvl="6" w:tplc="62A27AF6" w:tentative="1">
      <w:start w:val="1"/>
      <w:numFmt w:val="decimal"/>
      <w:lvlText w:val="%7."/>
      <w:lvlJc w:val="left"/>
      <w:pPr>
        <w:ind w:left="6120" w:hanging="360"/>
      </w:pPr>
    </w:lvl>
    <w:lvl w:ilvl="7" w:tplc="BEE60124" w:tentative="1">
      <w:start w:val="1"/>
      <w:numFmt w:val="lowerLetter"/>
      <w:lvlText w:val="%8."/>
      <w:lvlJc w:val="left"/>
      <w:pPr>
        <w:ind w:left="6840" w:hanging="360"/>
      </w:pPr>
    </w:lvl>
    <w:lvl w:ilvl="8" w:tplc="16FAB464" w:tentative="1">
      <w:start w:val="1"/>
      <w:numFmt w:val="lowerRoman"/>
      <w:lvlText w:val="%9."/>
      <w:lvlJc w:val="right"/>
      <w:pPr>
        <w:ind w:left="7560" w:hanging="180"/>
      </w:pPr>
    </w:lvl>
  </w:abstractNum>
  <w:num w:numId="1">
    <w:abstractNumId w:val="19"/>
  </w:num>
  <w:num w:numId="2">
    <w:abstractNumId w:val="2"/>
  </w:num>
  <w:num w:numId="3">
    <w:abstractNumId w:val="21"/>
  </w:num>
  <w:num w:numId="4">
    <w:abstractNumId w:val="8"/>
  </w:num>
  <w:num w:numId="5">
    <w:abstractNumId w:val="7"/>
  </w:num>
  <w:num w:numId="6">
    <w:abstractNumId w:val="1"/>
  </w:num>
  <w:num w:numId="7">
    <w:abstractNumId w:val="6"/>
  </w:num>
  <w:num w:numId="8">
    <w:abstractNumId w:val="12"/>
  </w:num>
  <w:num w:numId="9">
    <w:abstractNumId w:val="3"/>
  </w:num>
  <w:num w:numId="10">
    <w:abstractNumId w:val="0"/>
  </w:num>
  <w:num w:numId="11">
    <w:abstractNumId w:val="9"/>
  </w:num>
  <w:num w:numId="12">
    <w:abstractNumId w:val="13"/>
  </w:num>
  <w:num w:numId="13">
    <w:abstractNumId w:val="18"/>
  </w:num>
  <w:num w:numId="14">
    <w:abstractNumId w:val="4"/>
  </w:num>
  <w:num w:numId="15">
    <w:abstractNumId w:val="15"/>
  </w:num>
  <w:num w:numId="16">
    <w:abstractNumId w:val="17"/>
  </w:num>
  <w:num w:numId="17">
    <w:abstractNumId w:val="5"/>
  </w:num>
  <w:num w:numId="18">
    <w:abstractNumId w:val="11"/>
  </w:num>
  <w:num w:numId="19">
    <w:abstractNumId w:val="20"/>
  </w:num>
  <w:num w:numId="20">
    <w:abstractNumId w:val="14"/>
  </w:num>
  <w:num w:numId="21">
    <w:abstractNumId w:val="10"/>
  </w:num>
  <w:num w:numId="22">
    <w:abstractNumId w:val="23"/>
  </w:num>
  <w:num w:numId="23">
    <w:abstractNumId w:val="24"/>
  </w:num>
  <w:num w:numId="24">
    <w:abstractNumId w:val="16"/>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footnotePr>
    <w:footnote w:id="-1"/>
    <w:footnote w:id="0"/>
  </w:footnotePr>
  <w:endnotePr>
    <w:endnote w:id="-1"/>
    <w:endnote w:id="0"/>
  </w:endnotePr>
  <w:compat/>
  <w:rsids>
    <w:rsidRoot w:val="002A3C1D"/>
    <w:rsid w:val="000A3C32"/>
    <w:rsid w:val="001D57CF"/>
    <w:rsid w:val="002A3C1D"/>
    <w:rsid w:val="0046701A"/>
    <w:rsid w:val="00705D2B"/>
    <w:rsid w:val="007A137A"/>
    <w:rsid w:val="008F7FE5"/>
    <w:rsid w:val="00CF4449"/>
    <w:rsid w:val="00E875E1"/>
    <w:rsid w:val="00FC57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2F1483"/>
    <w:pPr>
      <w:keepNext/>
      <w:suppressAutoHyphens w:val="0"/>
      <w:ind w:left="2124" w:right="-142" w:firstLine="3546"/>
      <w:outlineLvl w:val="0"/>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483"/>
    <w:rPr>
      <w:rFonts w:ascii="Times New Roman" w:eastAsia="Times New Roman" w:hAnsi="Times New Roman" w:cs="Times New Roman"/>
      <w:b/>
      <w:sz w:val="24"/>
      <w:szCs w:val="20"/>
      <w:lang w:eastAsia="pl-PL"/>
    </w:rPr>
  </w:style>
  <w:style w:type="paragraph" w:styleId="Bezodstpw">
    <w:name w:val="No Spacing"/>
    <w:uiPriority w:val="1"/>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2F1483"/>
    <w:pPr>
      <w:tabs>
        <w:tab w:val="center" w:pos="4536"/>
        <w:tab w:val="right" w:pos="9072"/>
      </w:tabs>
    </w:pPr>
  </w:style>
  <w:style w:type="character" w:customStyle="1" w:styleId="StopkaZnak">
    <w:name w:val="Stopka Znak"/>
    <w:basedOn w:val="Domylnaczcionkaakapitu"/>
    <w:link w:val="Stopka"/>
    <w:rsid w:val="002F1483"/>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F1483"/>
    <w:pPr>
      <w:tabs>
        <w:tab w:val="center" w:pos="4536"/>
        <w:tab w:val="right" w:pos="9072"/>
      </w:tabs>
    </w:pPr>
  </w:style>
  <w:style w:type="character" w:customStyle="1" w:styleId="NagwekZnak">
    <w:name w:val="Nagłówek Znak"/>
    <w:basedOn w:val="Domylnaczcionkaakapitu"/>
    <w:link w:val="Nagwek"/>
    <w:uiPriority w:val="99"/>
    <w:rsid w:val="002F1483"/>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List Paragraph_1,Normal_0,Normal_0_0,Numerowanie,Obiekt,Wyliczanie,Wypunktowanie,normalny"/>
    <w:basedOn w:val="Normalny"/>
    <w:link w:val="AkapitzlistZnak"/>
    <w:qFormat/>
    <w:rsid w:val="002F1483"/>
    <w:pPr>
      <w:widowControl w:val="0"/>
      <w:ind w:left="720"/>
      <w:contextualSpacing/>
    </w:pPr>
    <w:rPr>
      <w:rFonts w:eastAsia="HG Mincho Light J"/>
      <w:color w:val="000000"/>
      <w:szCs w:val="20"/>
      <w:lang w:eastAsia="pl-PL"/>
    </w:rPr>
  </w:style>
  <w:style w:type="paragraph" w:customStyle="1" w:styleId="Default">
    <w:name w:val="Default"/>
    <w:qFormat/>
    <w:rsid w:val="002F148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2F1483"/>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2F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1483"/>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CA735F"/>
    <w:rPr>
      <w:rFonts w:ascii="Tahoma" w:hAnsi="Tahoma" w:cs="Tahoma"/>
      <w:sz w:val="16"/>
      <w:szCs w:val="16"/>
    </w:rPr>
  </w:style>
  <w:style w:type="character" w:customStyle="1" w:styleId="TekstdymkaZnak">
    <w:name w:val="Tekst dymka Znak"/>
    <w:basedOn w:val="Domylnaczcionkaakapitu"/>
    <w:link w:val="Tekstdymka"/>
    <w:uiPriority w:val="99"/>
    <w:semiHidden/>
    <w:rsid w:val="00CA735F"/>
    <w:rPr>
      <w:rFonts w:ascii="Tahoma" w:eastAsia="Times New Roman" w:hAnsi="Tahoma" w:cs="Tahoma"/>
      <w:sz w:val="16"/>
      <w:szCs w:val="16"/>
      <w:lang w:eastAsia="zh-CN"/>
    </w:rPr>
  </w:style>
  <w:style w:type="paragraph" w:styleId="Tekstpodstawowy">
    <w:name w:val="Body Text"/>
    <w:aliases w:val="program3"/>
    <w:basedOn w:val="Normalny"/>
    <w:link w:val="TekstpodstawowyZnak"/>
    <w:semiHidden/>
    <w:rsid w:val="00CA735F"/>
    <w:pPr>
      <w:suppressAutoHyphens w:val="0"/>
      <w:jc w:val="both"/>
    </w:pPr>
    <w:rPr>
      <w:sz w:val="26"/>
      <w:szCs w:val="20"/>
      <w:lang w:eastAsia="pl-PL"/>
    </w:rPr>
  </w:style>
  <w:style w:type="character" w:customStyle="1" w:styleId="TekstpodstawowyZnak">
    <w:name w:val="Tekst podstawowy Znak"/>
    <w:aliases w:val="program3 Znak"/>
    <w:basedOn w:val="Domylnaczcionkaakapitu"/>
    <w:link w:val="Tekstpodstawowy"/>
    <w:semiHidden/>
    <w:rsid w:val="00CA735F"/>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CA735F"/>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9A75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A75F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List Paragraph_1 Znak,Normal_0 Znak,Normal_0_0 Znak"/>
    <w:link w:val="Akapitzlist"/>
    <w:qFormat/>
    <w:rsid w:val="009A75F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AB2E44"/>
    <w:rPr>
      <w:sz w:val="16"/>
      <w:szCs w:val="16"/>
    </w:rPr>
  </w:style>
  <w:style w:type="paragraph" w:styleId="Tekstkomentarza">
    <w:name w:val="annotation text"/>
    <w:basedOn w:val="Normalny"/>
    <w:link w:val="TekstkomentarzaZnak"/>
    <w:uiPriority w:val="99"/>
    <w:semiHidden/>
    <w:unhideWhenUsed/>
    <w:rsid w:val="00AB2E44"/>
    <w:rPr>
      <w:sz w:val="20"/>
      <w:szCs w:val="20"/>
    </w:rPr>
  </w:style>
  <w:style w:type="character" w:customStyle="1" w:styleId="TekstkomentarzaZnak">
    <w:name w:val="Tekst komentarza Znak"/>
    <w:basedOn w:val="Domylnaczcionkaakapitu"/>
    <w:link w:val="Tekstkomentarza"/>
    <w:uiPriority w:val="99"/>
    <w:semiHidden/>
    <w:rsid w:val="00AB2E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2E44"/>
    <w:rPr>
      <w:b/>
      <w:bCs/>
    </w:rPr>
  </w:style>
  <w:style w:type="character" w:customStyle="1" w:styleId="TematkomentarzaZnak">
    <w:name w:val="Temat komentarza Znak"/>
    <w:basedOn w:val="TekstkomentarzaZnak"/>
    <w:link w:val="Tematkomentarza"/>
    <w:uiPriority w:val="99"/>
    <w:semiHidden/>
    <w:rsid w:val="00AB2E44"/>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5D7BE7"/>
    <w:rPr>
      <w:color w:val="0000FF" w:themeColor="hyperlink"/>
      <w:u w:val="single"/>
    </w:rPr>
  </w:style>
  <w:style w:type="paragraph" w:customStyle="1" w:styleId="Bezodstpw11">
    <w:name w:val="Bez odstępów11"/>
    <w:qFormat/>
    <w:rsid w:val="002519E4"/>
    <w:pPr>
      <w:spacing w:after="0" w:line="240" w:lineRule="auto"/>
    </w:pPr>
    <w:rPr>
      <w:rFonts w:ascii="Arial" w:eastAsia="Times New Roman" w:hAnsi="Arial" w:cs="Arial"/>
    </w:rPr>
  </w:style>
  <w:style w:type="paragraph" w:customStyle="1" w:styleId="wyliczanie">
    <w:name w:val="– wyliczanie"/>
    <w:basedOn w:val="Normalny"/>
    <w:link w:val="wyliczanieZnak1"/>
    <w:qFormat/>
    <w:rsid w:val="006C59A7"/>
    <w:pPr>
      <w:widowControl w:val="0"/>
      <w:numPr>
        <w:numId w:val="10"/>
      </w:numPr>
      <w:tabs>
        <w:tab w:val="left" w:pos="284"/>
      </w:tabs>
      <w:suppressAutoHyphens w:val="0"/>
      <w:spacing w:after="60"/>
      <w:jc w:val="both"/>
    </w:pPr>
    <w:rPr>
      <w:rFonts w:ascii="Arial" w:eastAsia="Lucida Sans Unicode" w:hAnsi="Arial"/>
      <w:sz w:val="20"/>
      <w:szCs w:val="22"/>
      <w:lang w:eastAsia="ar-SA"/>
    </w:rPr>
  </w:style>
  <w:style w:type="paragraph" w:customStyle="1" w:styleId="AtekstROOS">
    <w:name w:val="A_tekst ROOS"/>
    <w:basedOn w:val="Normalny"/>
    <w:next w:val="Normalny"/>
    <w:link w:val="AtekstROOSZnak"/>
    <w:qFormat/>
    <w:rsid w:val="006C59A7"/>
    <w:pPr>
      <w:tabs>
        <w:tab w:val="left" w:pos="284"/>
      </w:tabs>
      <w:suppressAutoHyphens w:val="0"/>
      <w:spacing w:before="100" w:beforeAutospacing="1" w:after="100" w:afterAutospacing="1"/>
      <w:ind w:firstLine="284"/>
      <w:jc w:val="both"/>
    </w:pPr>
    <w:rPr>
      <w:rFonts w:ascii="Arial" w:hAnsi="Arial"/>
      <w:sz w:val="20"/>
    </w:rPr>
  </w:style>
  <w:style w:type="character" w:customStyle="1" w:styleId="AtekstROOSZnak">
    <w:name w:val="A_tekst ROOS Znak"/>
    <w:link w:val="AtekstROOS"/>
    <w:qFormat/>
    <w:rsid w:val="006C59A7"/>
    <w:rPr>
      <w:rFonts w:ascii="Arial" w:eastAsia="Times New Roman" w:hAnsi="Arial" w:cs="Times New Roman"/>
      <w:sz w:val="20"/>
      <w:szCs w:val="24"/>
    </w:rPr>
  </w:style>
  <w:style w:type="character" w:customStyle="1" w:styleId="wyliczanieZnak1">
    <w:name w:val="– wyliczanie Znak1"/>
    <w:link w:val="wyliczanie"/>
    <w:rsid w:val="006C59A7"/>
    <w:rPr>
      <w:rFonts w:ascii="Arial" w:eastAsia="Lucida Sans Unicode" w:hAnsi="Arial" w:cs="Times New Roman"/>
      <w:sz w:val="20"/>
      <w:lang w:eastAsia="ar-SA"/>
    </w:rPr>
  </w:style>
  <w:style w:type="character" w:customStyle="1" w:styleId="highlight">
    <w:name w:val="highlight"/>
    <w:basedOn w:val="Domylnaczcionkaakapitu"/>
    <w:rsid w:val="002E47C6"/>
  </w:style>
  <w:style w:type="character" w:customStyle="1" w:styleId="markedcontent">
    <w:name w:val="markedcontent"/>
    <w:basedOn w:val="Domylnaczcionkaakapitu"/>
    <w:rsid w:val="00172E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F248C-E5EE-44B9-A327-BDC3C16B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6785</Words>
  <Characters>40715</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2021-08-26T09:05:00Z</cp:lastPrinted>
  <dcterms:created xsi:type="dcterms:W3CDTF">2021-09-10T09:06:00Z</dcterms:created>
  <dcterms:modified xsi:type="dcterms:W3CDTF">2021-09-10T09:22:00Z</dcterms:modified>
</cp:coreProperties>
</file>