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DFEBA" w14:textId="77777777" w:rsidR="00C64B1B" w:rsidRPr="000B4D47" w:rsidRDefault="00C64B1B" w:rsidP="000B4D4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276"/>
        <w:gridCol w:w="3685"/>
        <w:gridCol w:w="4111"/>
        <w:gridCol w:w="3402"/>
      </w:tblGrid>
      <w:tr w:rsidR="00A06425" w:rsidRPr="000B4D47" w14:paraId="6A17D697" w14:textId="77777777" w:rsidTr="004D4423">
        <w:tc>
          <w:tcPr>
            <w:tcW w:w="14454" w:type="dxa"/>
            <w:gridSpan w:val="6"/>
            <w:shd w:val="clear" w:color="auto" w:fill="auto"/>
            <w:vAlign w:val="center"/>
          </w:tcPr>
          <w:p w14:paraId="25821477" w14:textId="77777777" w:rsidR="00A06425" w:rsidRPr="000B4D47" w:rsidRDefault="00A06425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0A57EC7B" w14:textId="77777777" w:rsidR="00A06425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Fundusze Europejskie dla Rozwoju Społecznego 2021-2027</w:t>
            </w:r>
          </w:p>
        </w:tc>
      </w:tr>
      <w:tr w:rsidR="00A06425" w:rsidRPr="000B4D47" w14:paraId="73C7B47A" w14:textId="77777777" w:rsidTr="004D4423">
        <w:tc>
          <w:tcPr>
            <w:tcW w:w="562" w:type="dxa"/>
            <w:shd w:val="clear" w:color="auto" w:fill="auto"/>
            <w:vAlign w:val="center"/>
          </w:tcPr>
          <w:p w14:paraId="2F9049A1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65791C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3F5EC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C5E34E6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205769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02" w:type="dxa"/>
            <w:vAlign w:val="center"/>
          </w:tcPr>
          <w:p w14:paraId="74C63AB9" w14:textId="77777777" w:rsidR="00A06425" w:rsidRPr="000B4D47" w:rsidRDefault="00A06425" w:rsidP="000B4D4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4D47" w:rsidRPr="000B4D47" w14:paraId="1157949D" w14:textId="77777777" w:rsidTr="004D4423">
        <w:tc>
          <w:tcPr>
            <w:tcW w:w="562" w:type="dxa"/>
            <w:shd w:val="clear" w:color="auto" w:fill="auto"/>
          </w:tcPr>
          <w:p w14:paraId="4F63B477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F0F14B8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09AA85E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3685" w:type="dxa"/>
            <w:shd w:val="clear" w:color="auto" w:fill="auto"/>
          </w:tcPr>
          <w:p w14:paraId="0839E99B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Niepoprawna interpunkcja i fleksja w zdaniu „Znacząco wzrosła również liczba pracowników uczelni wyjeżdżających do uczelni zagranicznych jak i pracowników uczelni zagranicznych przyjeżdżający do uczelni polskich”.</w:t>
            </w:r>
          </w:p>
        </w:tc>
        <w:tc>
          <w:tcPr>
            <w:tcW w:w="4111" w:type="dxa"/>
            <w:shd w:val="clear" w:color="auto" w:fill="auto"/>
          </w:tcPr>
          <w:p w14:paraId="30C38F6A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„Znacząco wzrosła również liczba pracowników uczelni wyjeżdżających do uczelni zagranicznych, jak i pracowników uczelni zagranicznych przyjeżdżających do uczelni polskich.”</w:t>
            </w:r>
          </w:p>
        </w:tc>
        <w:tc>
          <w:tcPr>
            <w:tcW w:w="3402" w:type="dxa"/>
          </w:tcPr>
          <w:p w14:paraId="5961A083" w14:textId="3DC4228A" w:rsidR="000B4D47" w:rsidRPr="000B4D47" w:rsidRDefault="00262F03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B4D47" w:rsidRPr="000B4D47" w14:paraId="7380A500" w14:textId="77777777" w:rsidTr="004D4423">
        <w:tc>
          <w:tcPr>
            <w:tcW w:w="562" w:type="dxa"/>
            <w:shd w:val="clear" w:color="auto" w:fill="auto"/>
          </w:tcPr>
          <w:p w14:paraId="67ED0866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B682832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5DAB24C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3685" w:type="dxa"/>
            <w:shd w:val="clear" w:color="auto" w:fill="auto"/>
          </w:tcPr>
          <w:p w14:paraId="21F6E6ED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Frazeologia:</w:t>
            </w:r>
          </w:p>
          <w:p w14:paraId="1805D95B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„Niemniej nadal występują utrudnienia dla większego umiędzynarodowiania szkolnictwa wyższego, takie jak słabość obsługi studentów obcokrajowców i międzynarodowych programów badawczych, a także brak środków finansowych na inicjowanie współpracy i wspólnych projektów”.</w:t>
            </w:r>
          </w:p>
        </w:tc>
        <w:tc>
          <w:tcPr>
            <w:tcW w:w="4111" w:type="dxa"/>
            <w:shd w:val="clear" w:color="auto" w:fill="auto"/>
          </w:tcPr>
          <w:p w14:paraId="337047EF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„Jednak przeszkodą w procesie umiędzynarodowiania szkolnictwa wyższego jest nadal m.in. nieadekwatna dostępność i jakość obsługi studentów zagranicznych oraz międzynarodowych programów badawczych, a także brak środków finansowych na inicjowanie współpracy i wspólnych projektów”.</w:t>
            </w:r>
          </w:p>
        </w:tc>
        <w:tc>
          <w:tcPr>
            <w:tcW w:w="3402" w:type="dxa"/>
          </w:tcPr>
          <w:p w14:paraId="7584676D" w14:textId="5DF14440" w:rsidR="000B4D47" w:rsidRPr="000B4D47" w:rsidRDefault="00262F03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B4D47" w:rsidRPr="000B4D47" w14:paraId="3974538C" w14:textId="77777777" w:rsidTr="004D4423">
        <w:tc>
          <w:tcPr>
            <w:tcW w:w="562" w:type="dxa"/>
            <w:shd w:val="clear" w:color="auto" w:fill="auto"/>
          </w:tcPr>
          <w:p w14:paraId="2946DA20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E2AD179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BB2CC3F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3685" w:type="dxa"/>
            <w:shd w:val="clear" w:color="auto" w:fill="auto"/>
          </w:tcPr>
          <w:p w14:paraId="45527D0E" w14:textId="77777777" w:rsidR="000B4D47" w:rsidRPr="000B4D47" w:rsidRDefault="00D9324A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Zbędny odstęp oraz</w:t>
            </w:r>
            <w:r w:rsidR="000B4D47" w:rsidRPr="000B4D47">
              <w:rPr>
                <w:rFonts w:asciiTheme="minorHAnsi" w:hAnsiTheme="minorHAnsi" w:cstheme="minorHAnsi"/>
                <w:sz w:val="22"/>
                <w:szCs w:val="22"/>
              </w:rPr>
              <w:t xml:space="preserve"> niepoprawna frazeologia w zdaniu: „Zakres wsparcia w zakresie krótkookresowej mobilności akademickiej kadry dydaktyczno-naukowej będzie miał charakter </w:t>
            </w:r>
            <w:r w:rsidR="000B4D47" w:rsidRPr="000B4D4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komplementarny  dla </w:t>
            </w:r>
            <w:r w:rsidR="000B4D47" w:rsidRPr="000B4D47">
              <w:rPr>
                <w:rFonts w:asciiTheme="minorHAnsi" w:hAnsiTheme="minorHAnsi" w:cstheme="minorHAnsi"/>
                <w:sz w:val="22"/>
                <w:szCs w:val="22"/>
              </w:rPr>
              <w:t>programu Fundusze Europejskie dla Nowoczesnej Gospodarki”.</w:t>
            </w:r>
          </w:p>
        </w:tc>
        <w:tc>
          <w:tcPr>
            <w:tcW w:w="4111" w:type="dxa"/>
            <w:shd w:val="clear" w:color="auto" w:fill="auto"/>
          </w:tcPr>
          <w:p w14:paraId="089458C8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„Zakres wsparcia w zakresie krótkookresowej mobilności akademickiej kadry dydaktyczno-naukowej będzie miał charakter komplementarny wobec programu Fundusze Europejskie dla Nowoczesnej Gospodarki”.</w:t>
            </w:r>
          </w:p>
        </w:tc>
        <w:tc>
          <w:tcPr>
            <w:tcW w:w="3402" w:type="dxa"/>
          </w:tcPr>
          <w:p w14:paraId="3E1EAA34" w14:textId="33C4CA32" w:rsidR="000B4D47" w:rsidRPr="000B4D47" w:rsidRDefault="00262F03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B4D47" w:rsidRPr="000B4D47" w14:paraId="229A0F71" w14:textId="77777777" w:rsidTr="004D4423">
        <w:tc>
          <w:tcPr>
            <w:tcW w:w="562" w:type="dxa"/>
            <w:shd w:val="clear" w:color="auto" w:fill="auto"/>
          </w:tcPr>
          <w:p w14:paraId="3EB606B7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82C60B0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9862159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</w:t>
            </w:r>
          </w:p>
        </w:tc>
        <w:tc>
          <w:tcPr>
            <w:tcW w:w="3685" w:type="dxa"/>
            <w:shd w:val="clear" w:color="auto" w:fill="auto"/>
          </w:tcPr>
          <w:p w14:paraId="79BA0BE6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Leksyka:</w:t>
            </w:r>
          </w:p>
          <w:p w14:paraId="71677C13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 xml:space="preserve">„Demarkacja  zostanie zapewniona na etapie udzielania i w trakcie realizacji wsparcia poprzez weryfikację </w:t>
            </w:r>
            <w:r w:rsidRPr="000B4D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możliwości wystąpienia podwójnego finansowania”.</w:t>
            </w:r>
          </w:p>
        </w:tc>
        <w:tc>
          <w:tcPr>
            <w:tcW w:w="4111" w:type="dxa"/>
            <w:shd w:val="clear" w:color="auto" w:fill="auto"/>
          </w:tcPr>
          <w:p w14:paraId="2A0FD91E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„W celu wykluczenia możliwości wystąpienia podwójnego finansowania, na etapie udzielania i w trakcie realizacji wsparcia różne jego formy zostaną wyraźnie rozgraniczone”.</w:t>
            </w:r>
          </w:p>
        </w:tc>
        <w:tc>
          <w:tcPr>
            <w:tcW w:w="3402" w:type="dxa"/>
          </w:tcPr>
          <w:p w14:paraId="36B65DBC" w14:textId="77777777" w:rsidR="00E13E68" w:rsidRDefault="00E13E68" w:rsidP="00E13E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14:paraId="0A92C4F1" w14:textId="77777777" w:rsidR="00E825EE" w:rsidRDefault="00E825EE" w:rsidP="00E13E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09233F" w14:textId="7281AB89" w:rsidR="00E825EE" w:rsidRPr="000B4D47" w:rsidRDefault="00E825EE" w:rsidP="00E13E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Zaproponowana zmiana modyfikuje treść i sens zdania. Formy wsparcia wdrażane w ramach programu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mogą mieć ten sam charakter należy jednak zapewnić, że nie występuje zjawisko podwójnego finansowania.</w:t>
            </w:r>
          </w:p>
        </w:tc>
      </w:tr>
      <w:tr w:rsidR="000B4D47" w:rsidRPr="000B4D47" w14:paraId="330DE6C6" w14:textId="77777777" w:rsidTr="004D4423">
        <w:tc>
          <w:tcPr>
            <w:tcW w:w="562" w:type="dxa"/>
            <w:shd w:val="clear" w:color="auto" w:fill="auto"/>
          </w:tcPr>
          <w:p w14:paraId="0B4F1694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418" w:type="dxa"/>
            <w:shd w:val="clear" w:color="auto" w:fill="auto"/>
          </w:tcPr>
          <w:p w14:paraId="7421EBE7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463E957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40</w:t>
            </w:r>
          </w:p>
        </w:tc>
        <w:tc>
          <w:tcPr>
            <w:tcW w:w="3685" w:type="dxa"/>
            <w:shd w:val="clear" w:color="auto" w:fill="auto"/>
          </w:tcPr>
          <w:p w14:paraId="17FB8227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Niepoprawna fleksja w zdaniu:</w:t>
            </w:r>
          </w:p>
          <w:p w14:paraId="26BCD9F3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„Ponadto interwencja ukierunkowana zostanie na dostosowanie oferty podmiotów systemu szkolnictwa wyższego do potrzeb rozwoju gospodarki oraz zielonej i cyfrowej transformacji, rozwojowi oferty w zakresie uczenia się osób dorosłych, jak również wsparciu umiędzynarodowienia podmiotów systemu szkolnictwa wyższego i nauki”.</w:t>
            </w:r>
          </w:p>
        </w:tc>
        <w:tc>
          <w:tcPr>
            <w:tcW w:w="4111" w:type="dxa"/>
            <w:shd w:val="clear" w:color="auto" w:fill="auto"/>
          </w:tcPr>
          <w:p w14:paraId="36021991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„Ponadto interwencja ukierunkowana zostanie na dostosowanie oferty podmiotów systemu szkolnictwa wyższego do potrzeb rozwoju gospodarki oraz zielonej i cyfrowej transformacji, rozwój oferty w zakresie uczenia się osób dorosłych, jak również wsparcie umiędzynarodowienia podmiotów systemu szkolnictwa wyższego i nauki”.</w:t>
            </w:r>
          </w:p>
        </w:tc>
        <w:tc>
          <w:tcPr>
            <w:tcW w:w="3402" w:type="dxa"/>
          </w:tcPr>
          <w:p w14:paraId="099BA4CC" w14:textId="1CBF3BD5" w:rsidR="000B4D47" w:rsidRPr="000B4D47" w:rsidRDefault="00E825EE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B4D47" w:rsidRPr="000B4D47" w14:paraId="3C04F2EB" w14:textId="77777777" w:rsidTr="004D4423">
        <w:tc>
          <w:tcPr>
            <w:tcW w:w="562" w:type="dxa"/>
            <w:shd w:val="clear" w:color="auto" w:fill="auto"/>
          </w:tcPr>
          <w:p w14:paraId="375B0A67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AAAEE68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A88CF37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Wszystkie wystąpienia w dokumencie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</w:t>
            </w: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p. s. 115</w:t>
            </w:r>
          </w:p>
        </w:tc>
        <w:tc>
          <w:tcPr>
            <w:tcW w:w="3685" w:type="dxa"/>
            <w:shd w:val="clear" w:color="auto" w:fill="auto"/>
          </w:tcPr>
          <w:p w14:paraId="7D825D19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Interpunkcja: „Cel szczegółowy 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niepełnosprawnościami”</w:t>
            </w:r>
          </w:p>
        </w:tc>
        <w:tc>
          <w:tcPr>
            <w:tcW w:w="4111" w:type="dxa"/>
            <w:shd w:val="clear" w:color="auto" w:fill="auto"/>
          </w:tcPr>
          <w:p w14:paraId="0D3A8C69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„Cel szczegółowy f) wspieranie równego dostępu do dobrej jakości włączającego kształcenia i szkoleń oraz możliwości ich ukończenia, w szczególności w odniesieniu do grup w niekorzystnej sytuacji, od wczesnej edukacji i opieki nad dzieckiem, przez ogólne i zawodowe kształcenie i szkolenie, po szkolnictwo wyższe, a także kształcenie i uczenie się dorosłych, w tym ułatwianie mobilności edukacyjnej dla wszystkich i dostępności dla osób z niepełnosprawnościami”</w:t>
            </w:r>
          </w:p>
        </w:tc>
        <w:tc>
          <w:tcPr>
            <w:tcW w:w="3402" w:type="dxa"/>
          </w:tcPr>
          <w:p w14:paraId="03FC9579" w14:textId="77777777" w:rsidR="00E825EE" w:rsidRDefault="00E825EE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</w:t>
            </w:r>
          </w:p>
          <w:p w14:paraId="4D668756" w14:textId="77777777" w:rsidR="00E825EE" w:rsidRDefault="00E825EE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9433B" w14:textId="34C079F1" w:rsidR="000B4D47" w:rsidRPr="000B4D47" w:rsidRDefault="00E825EE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 celu pochodzi z rozporządzenia unijnego i nie podlega modyfikacjom. </w:t>
            </w:r>
          </w:p>
        </w:tc>
      </w:tr>
      <w:tr w:rsidR="000B4D47" w:rsidRPr="000B4D47" w14:paraId="1FC04DE2" w14:textId="77777777" w:rsidTr="004D4423">
        <w:tc>
          <w:tcPr>
            <w:tcW w:w="562" w:type="dxa"/>
            <w:shd w:val="clear" w:color="auto" w:fill="auto"/>
          </w:tcPr>
          <w:p w14:paraId="24E7FBF6" w14:textId="77777777" w:rsidR="000B4D47" w:rsidRPr="000B4D47" w:rsidRDefault="000B4D47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2B9D6FE" w14:textId="77777777" w:rsidR="000B4D47" w:rsidRPr="000B4D47" w:rsidRDefault="000B4D47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E79CB2D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s. 294</w:t>
            </w:r>
          </w:p>
        </w:tc>
        <w:tc>
          <w:tcPr>
            <w:tcW w:w="3685" w:type="dxa"/>
            <w:shd w:val="clear" w:color="auto" w:fill="auto"/>
          </w:tcPr>
          <w:p w14:paraId="017475C3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Brak „w” we fragmencie: „w tym w szczególności zakresie rozwoju świadomości i umiejętności na rzecz „zielonej”</w:t>
            </w:r>
          </w:p>
        </w:tc>
        <w:tc>
          <w:tcPr>
            <w:tcW w:w="4111" w:type="dxa"/>
            <w:shd w:val="clear" w:color="auto" w:fill="auto"/>
          </w:tcPr>
          <w:p w14:paraId="6BD66958" w14:textId="77777777" w:rsidR="000B4D47" w:rsidRPr="000B4D47" w:rsidRDefault="000B4D47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4D47">
              <w:rPr>
                <w:rFonts w:asciiTheme="minorHAnsi" w:hAnsiTheme="minorHAnsi" w:cstheme="minorHAnsi"/>
                <w:sz w:val="22"/>
                <w:szCs w:val="22"/>
              </w:rPr>
              <w:t>„w tym w szczególności w zakresie rozwoju świadomości i umiejętności na rzecz „zielonej””</w:t>
            </w:r>
          </w:p>
        </w:tc>
        <w:tc>
          <w:tcPr>
            <w:tcW w:w="3402" w:type="dxa"/>
          </w:tcPr>
          <w:p w14:paraId="1B9434F5" w14:textId="6C14F731" w:rsidR="000B4D47" w:rsidRPr="000B4D47" w:rsidRDefault="00E825EE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E828D6" w:rsidRPr="000B4D47" w14:paraId="64F12B1C" w14:textId="77777777" w:rsidTr="004D4423">
        <w:tc>
          <w:tcPr>
            <w:tcW w:w="562" w:type="dxa"/>
            <w:shd w:val="clear" w:color="auto" w:fill="auto"/>
          </w:tcPr>
          <w:p w14:paraId="2F789764" w14:textId="77777777" w:rsidR="00E828D6" w:rsidRDefault="00E828D6" w:rsidP="000B4D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054AB53" w14:textId="77777777" w:rsidR="00E828D6" w:rsidRPr="00E828D6" w:rsidRDefault="00E828D6" w:rsidP="000B4D47">
            <w:pPr>
              <w:spacing w:before="60" w:after="6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3D5A62" w14:textId="77777777"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3 Wskaźniki rezultatu s.108</w:t>
            </w:r>
          </w:p>
        </w:tc>
        <w:tc>
          <w:tcPr>
            <w:tcW w:w="3685" w:type="dxa"/>
            <w:shd w:val="clear" w:color="auto" w:fill="auto"/>
          </w:tcPr>
          <w:p w14:paraId="4BC1232A" w14:textId="77777777"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przedstawicieli kadr JST, którzy podnieśli kompetencje</w:t>
            </w:r>
          </w:p>
        </w:tc>
        <w:tc>
          <w:tcPr>
            <w:tcW w:w="4111" w:type="dxa"/>
            <w:shd w:val="clear" w:color="auto" w:fill="auto"/>
          </w:tcPr>
          <w:p w14:paraId="4B6ED9A0" w14:textId="77777777" w:rsidR="00E828D6" w:rsidRPr="000B4D47" w:rsidRDefault="00E828D6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(945) jest niższa niż wartości bazowej (1100).</w:t>
            </w:r>
            <w:r w:rsidR="00BD75F6">
              <w:rPr>
                <w:rFonts w:asciiTheme="minorHAnsi" w:hAnsiTheme="minorHAnsi" w:cstheme="minorHAnsi"/>
                <w:sz w:val="22"/>
                <w:szCs w:val="22"/>
              </w:rPr>
              <w:t xml:space="preserve"> Prosimy o doprecyzowanie źródła wartości bazowej.</w:t>
            </w:r>
          </w:p>
        </w:tc>
        <w:tc>
          <w:tcPr>
            <w:tcW w:w="3402" w:type="dxa"/>
          </w:tcPr>
          <w:p w14:paraId="3F3FC10E" w14:textId="77777777" w:rsidR="00E828D6" w:rsidRDefault="00D3300D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  <w:p w14:paraId="62BC55C2" w14:textId="77777777" w:rsidR="00D3300D" w:rsidRDefault="00D3300D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FA105" w14:textId="453B0E8B" w:rsidR="00D3300D" w:rsidRPr="000B4D47" w:rsidRDefault="0034630F" w:rsidP="000B4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bazowa może być wyższa niż wartość celu końcowego (nie jest ona dodawana do wartości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końcowej, a jedynie stanowi wartość odniesienia dla celów określanych w programie). </w:t>
            </w:r>
            <w:r w:rsidR="00D3300D">
              <w:rPr>
                <w:rFonts w:asciiTheme="minorHAnsi" w:hAnsiTheme="minorHAnsi" w:cstheme="minorHAnsi"/>
                <w:sz w:val="22"/>
                <w:szCs w:val="22"/>
              </w:rPr>
              <w:t xml:space="preserve">Wartość bazowa została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określona przez Instytucję Pośredniczącą - </w:t>
            </w:r>
            <w:r w:rsidR="00D330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3300D"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proofErr w:type="spellEnd"/>
            <w:r w:rsidR="00D3300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3300D" w:rsidRPr="000B4D47" w14:paraId="4F6C4932" w14:textId="77777777" w:rsidTr="004D4423">
        <w:tc>
          <w:tcPr>
            <w:tcW w:w="562" w:type="dxa"/>
            <w:shd w:val="clear" w:color="auto" w:fill="auto"/>
          </w:tcPr>
          <w:p w14:paraId="130FB966" w14:textId="77777777" w:rsidR="00D3300D" w:rsidRDefault="00D3300D" w:rsidP="00D3300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auto"/>
          </w:tcPr>
          <w:p w14:paraId="5D484AEE" w14:textId="77777777" w:rsidR="00D3300D" w:rsidRPr="000B4D47" w:rsidRDefault="00D3300D" w:rsidP="00D3300D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96F743D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Tabela 3 Wskaźniki rezultatu s.108</w:t>
            </w:r>
          </w:p>
        </w:tc>
        <w:tc>
          <w:tcPr>
            <w:tcW w:w="3685" w:type="dxa"/>
            <w:shd w:val="clear" w:color="auto" w:fill="auto"/>
          </w:tcPr>
          <w:p w14:paraId="03CB1198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instytucji i  pracowników systemu oświaty, którzy wdrożyli nowe metody nauczania</w:t>
            </w:r>
          </w:p>
        </w:tc>
        <w:tc>
          <w:tcPr>
            <w:tcW w:w="4111" w:type="dxa"/>
            <w:shd w:val="clear" w:color="auto" w:fill="auto"/>
          </w:tcPr>
          <w:p w14:paraId="206EA7FF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Wartość celu końcowego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620) jest niższa niż wartości bazowej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866).</w:t>
            </w:r>
            <w:r>
              <w:t xml:space="preserve"> </w:t>
            </w:r>
            <w:r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3402" w:type="dxa"/>
          </w:tcPr>
          <w:p w14:paraId="710950DB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  <w:p w14:paraId="0D6FC8BD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FA8D1" w14:textId="6BCF7BB8" w:rsidR="00D3300D" w:rsidRPr="000B4D47" w:rsidRDefault="0034630F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bazowa może być wyższa niż wartość celu końcowego (nie jest ona dodawana do wartości końcowej, a jedynie stanowi wartość odniesienia dla celów określanych w programie). Wartość bazowa została określona przez Instytucję Pośredniczącą -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3300D" w:rsidRPr="000B4D47" w14:paraId="51938262" w14:textId="77777777" w:rsidTr="004D4423">
        <w:tc>
          <w:tcPr>
            <w:tcW w:w="562" w:type="dxa"/>
            <w:shd w:val="clear" w:color="auto" w:fill="auto"/>
          </w:tcPr>
          <w:p w14:paraId="0840D2E4" w14:textId="77777777" w:rsidR="00D3300D" w:rsidRDefault="00D3300D" w:rsidP="00D3300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39E7327F" w14:textId="77777777" w:rsidR="00D3300D" w:rsidRPr="000B4D47" w:rsidRDefault="00D3300D" w:rsidP="00D3300D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588F86B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Tabela 3 Wskaźniki rezultatu s.10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14:paraId="22AF0940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upowszechnionych e-materiałów</w:t>
            </w:r>
          </w:p>
        </w:tc>
        <w:tc>
          <w:tcPr>
            <w:tcW w:w="4111" w:type="dxa"/>
            <w:shd w:val="clear" w:color="auto" w:fill="auto"/>
          </w:tcPr>
          <w:p w14:paraId="300290C7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(1115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 xml:space="preserve">)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niższa niż wartości bazowej (7000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>
              <w:t xml:space="preserve"> </w:t>
            </w:r>
            <w:r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3402" w:type="dxa"/>
          </w:tcPr>
          <w:p w14:paraId="44D1139B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  <w:p w14:paraId="23EA033E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78E26E" w14:textId="1793D544" w:rsidR="00D3300D" w:rsidRPr="000B4D47" w:rsidRDefault="0034630F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bazowa może być wyższa niż wartość celu końcowego (nie jest ona dodawana do wartości końcowej, a jedynie stanowi wartość odniesienia dla celów określanych w programie). Wartość bazowa została określona przez Instytucję Pośredniczącą -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3300D" w:rsidRPr="000B4D47" w14:paraId="69DF9B66" w14:textId="77777777" w:rsidTr="004D4423">
        <w:tc>
          <w:tcPr>
            <w:tcW w:w="562" w:type="dxa"/>
            <w:shd w:val="clear" w:color="auto" w:fill="auto"/>
          </w:tcPr>
          <w:p w14:paraId="22FDBD26" w14:textId="77777777" w:rsidR="00D3300D" w:rsidRDefault="00D3300D" w:rsidP="00D3300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7B4E2295" w14:textId="77777777" w:rsidR="00D3300D" w:rsidRPr="000B4D47" w:rsidRDefault="00D3300D" w:rsidP="00D3300D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F91AEC7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abela 3 Wskaźniki rezultatu s.110</w:t>
            </w:r>
          </w:p>
        </w:tc>
        <w:tc>
          <w:tcPr>
            <w:tcW w:w="3685" w:type="dxa"/>
            <w:shd w:val="clear" w:color="auto" w:fill="auto"/>
          </w:tcPr>
          <w:p w14:paraId="12EB03DA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Liczba zawodów dla których upowszechniono materiały multimedialne dla doradztwa zawodowego</w:t>
            </w:r>
          </w:p>
        </w:tc>
        <w:tc>
          <w:tcPr>
            <w:tcW w:w="4111" w:type="dxa"/>
            <w:shd w:val="clear" w:color="auto" w:fill="auto"/>
          </w:tcPr>
          <w:p w14:paraId="5CFF89E6" w14:textId="77777777" w:rsidR="00D3300D" w:rsidRPr="000B4D47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celu końcowego (100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 jest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iższa niż wartości bazowej (120</w:t>
            </w:r>
            <w:r w:rsidRPr="00E828D6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>
              <w:t xml:space="preserve"> </w:t>
            </w:r>
            <w:r w:rsidRPr="00BD75F6">
              <w:rPr>
                <w:rFonts w:asciiTheme="minorHAnsi" w:hAnsiTheme="minorHAnsi" w:cstheme="minorHAnsi"/>
                <w:sz w:val="22"/>
                <w:szCs w:val="22"/>
              </w:rPr>
              <w:t>Prosimy o doprecyzowanie źródła wartości bazowej.</w:t>
            </w:r>
          </w:p>
        </w:tc>
        <w:tc>
          <w:tcPr>
            <w:tcW w:w="3402" w:type="dxa"/>
          </w:tcPr>
          <w:p w14:paraId="793A96A3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  <w:p w14:paraId="57B1ED84" w14:textId="77777777" w:rsidR="00D3300D" w:rsidRDefault="00D3300D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A363D" w14:textId="6973342F" w:rsidR="00D3300D" w:rsidRPr="000B4D47" w:rsidRDefault="0034630F" w:rsidP="00D330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bazowa może być wyższa niż wartość celu końcowego (nie jest ona dodawana do wartości końcowej, a jedynie stanowi wartość odniesienia dla celów określanych w programie). Wartość bazowa została określona przez Instytucję Pośredniczącą -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42597EB5" w14:textId="77777777" w:rsidR="00C64B1B" w:rsidRPr="000B4D47" w:rsidRDefault="00C64B1B" w:rsidP="000B4D4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64B1B" w:rsidRPr="000B4D47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4D47"/>
    <w:rsid w:val="00140BE8"/>
    <w:rsid w:val="0019648E"/>
    <w:rsid w:val="001C2A67"/>
    <w:rsid w:val="00262F03"/>
    <w:rsid w:val="002715B2"/>
    <w:rsid w:val="003124D1"/>
    <w:rsid w:val="0034630F"/>
    <w:rsid w:val="00376E9D"/>
    <w:rsid w:val="003B4105"/>
    <w:rsid w:val="004D086F"/>
    <w:rsid w:val="004D4423"/>
    <w:rsid w:val="005F6527"/>
    <w:rsid w:val="006705EC"/>
    <w:rsid w:val="006E16E9"/>
    <w:rsid w:val="00807385"/>
    <w:rsid w:val="00944932"/>
    <w:rsid w:val="009E5FDB"/>
    <w:rsid w:val="00A06425"/>
    <w:rsid w:val="00A56F46"/>
    <w:rsid w:val="00AC7796"/>
    <w:rsid w:val="00B871B6"/>
    <w:rsid w:val="00BD75F6"/>
    <w:rsid w:val="00C64B1B"/>
    <w:rsid w:val="00CD5EB0"/>
    <w:rsid w:val="00D3300D"/>
    <w:rsid w:val="00D9324A"/>
    <w:rsid w:val="00E13E68"/>
    <w:rsid w:val="00E14C33"/>
    <w:rsid w:val="00E825EE"/>
    <w:rsid w:val="00E8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8C5F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796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Komorowska Anna</cp:lastModifiedBy>
  <cp:revision>6</cp:revision>
  <dcterms:created xsi:type="dcterms:W3CDTF">2022-02-11T07:12:00Z</dcterms:created>
  <dcterms:modified xsi:type="dcterms:W3CDTF">2022-02-11T10:16:00Z</dcterms:modified>
</cp:coreProperties>
</file>