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0E2ECD">
      <w:pPr>
        <w:spacing w:after="30" w:line="306" w:lineRule="atLeast"/>
        <w:ind w:firstLine="1020"/>
        <w:rPr>
          <w:color w:val="000000"/>
        </w:rPr>
      </w:pPr>
      <w:r>
        <w:rPr>
          <w:noProof/>
          <w:color w:val="000000"/>
          <w:lang w:bidi="ar-SA"/>
        </w:rPr>
        <w:drawing>
          <wp:inline distT="0" distB="0" distL="0" distR="0">
            <wp:extent cx="723900" cy="666750"/>
            <wp:effectExtent l="0" t="0" r="0" b="0"/>
            <wp:docPr id="100001" name="Obraz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6"/>
                    <a:stretch>
                      <a:fillRect/>
                    </a:stretch>
                  </pic:blipFill>
                  <pic:spPr>
                    <a:xfrm>
                      <a:off x="0" y="0"/>
                      <a:ext cx="723900" cy="666750"/>
                    </a:xfrm>
                    <a:prstGeom prst="rect">
                      <a:avLst/>
                    </a:prstGeom>
                  </pic:spPr>
                </pic:pic>
              </a:graphicData>
            </a:graphic>
          </wp:inline>
        </w:drawing>
      </w:r>
    </w:p>
    <w:p w:rsidR="00A77B3E" w:rsidRDefault="000E2ECD">
      <w:pPr>
        <w:spacing w:before="30" w:line="400" w:lineRule="exact"/>
        <w:rPr>
          <w:rFonts w:ascii="Arial" w:eastAsia="Arial" w:hAnsi="Arial" w:cs="Arial"/>
          <w:b/>
          <w:color w:val="000000"/>
          <w:sz w:val="28"/>
        </w:rPr>
      </w:pPr>
      <w:r>
        <w:rPr>
          <w:rFonts w:ascii="Arial" w:eastAsia="Arial" w:hAnsi="Arial" w:cs="Arial"/>
          <w:b/>
          <w:color w:val="000000"/>
          <w:sz w:val="28"/>
        </w:rPr>
        <w:t>WOJEWODA OPOLSKI</w:t>
      </w:r>
    </w:p>
    <w:p w:rsidR="00A77B3E" w:rsidRDefault="000E2ECD">
      <w:pPr>
        <w:spacing w:line="396" w:lineRule="exact"/>
        <w:ind w:left="5655"/>
        <w:rPr>
          <w:rFonts w:ascii="Arial" w:eastAsia="Arial" w:hAnsi="Arial" w:cs="Arial"/>
          <w:b/>
          <w:color w:val="000000"/>
          <w:sz w:val="22"/>
        </w:rPr>
      </w:pPr>
      <w:r>
        <w:rPr>
          <w:rFonts w:ascii="Arial" w:eastAsia="Arial" w:hAnsi="Arial" w:cs="Arial"/>
          <w:color w:val="000000"/>
          <w:sz w:val="22"/>
        </w:rPr>
        <w:t>Opole</w:t>
      </w:r>
      <w:r>
        <w:rPr>
          <w:rFonts w:ascii="Arial" w:eastAsia="Arial" w:hAnsi="Arial" w:cs="Arial"/>
          <w:b/>
          <w:color w:val="000000"/>
          <w:sz w:val="22"/>
        </w:rPr>
        <w:t xml:space="preserve">, </w:t>
      </w:r>
      <w:r>
        <w:rPr>
          <w:rFonts w:ascii="Arial" w:eastAsia="Arial" w:hAnsi="Arial" w:cs="Arial"/>
          <w:color w:val="000000"/>
          <w:sz w:val="22"/>
        </w:rPr>
        <w:t>dnia 11 stycznia 2022 r</w:t>
      </w:r>
      <w:r>
        <w:rPr>
          <w:rFonts w:ascii="Arial" w:eastAsia="Arial" w:hAnsi="Arial" w:cs="Arial"/>
          <w:b/>
          <w:color w:val="000000"/>
          <w:sz w:val="22"/>
        </w:rPr>
        <w:t>.</w:t>
      </w:r>
    </w:p>
    <w:p w:rsidR="00A77B3E" w:rsidRDefault="000E2ECD">
      <w:pPr>
        <w:spacing w:line="396" w:lineRule="exact"/>
        <w:ind w:left="5655"/>
        <w:rPr>
          <w:rFonts w:ascii="Arial" w:eastAsia="Arial" w:hAnsi="Arial" w:cs="Arial"/>
          <w:color w:val="000000"/>
          <w:sz w:val="22"/>
        </w:rPr>
      </w:pPr>
      <w:r>
        <w:rPr>
          <w:rFonts w:ascii="Arial" w:eastAsia="Arial" w:hAnsi="Arial" w:cs="Arial"/>
          <w:color w:val="000000"/>
          <w:sz w:val="22"/>
        </w:rPr>
        <w:t>PN.III.4131.1.2022</w:t>
      </w:r>
    </w:p>
    <w:p w:rsidR="00A77B3E" w:rsidRDefault="000E2ECD">
      <w:pPr>
        <w:spacing w:before="840" w:line="300" w:lineRule="exact"/>
        <w:ind w:left="6075" w:right="15"/>
        <w:rPr>
          <w:rFonts w:ascii="Arial" w:eastAsia="Arial" w:hAnsi="Arial" w:cs="Arial"/>
          <w:b/>
          <w:color w:val="000000"/>
        </w:rPr>
      </w:pPr>
      <w:r>
        <w:rPr>
          <w:rFonts w:ascii="Arial" w:eastAsia="Arial" w:hAnsi="Arial" w:cs="Arial"/>
          <w:b/>
          <w:color w:val="000000"/>
        </w:rPr>
        <w:t>Pani </w:t>
      </w:r>
    </w:p>
    <w:p w:rsidR="00A77B3E" w:rsidRDefault="000E2ECD">
      <w:pPr>
        <w:spacing w:line="300" w:lineRule="exact"/>
        <w:ind w:left="6075" w:right="15"/>
        <w:rPr>
          <w:rFonts w:ascii="Arial" w:eastAsia="Arial" w:hAnsi="Arial" w:cs="Arial"/>
          <w:b/>
          <w:color w:val="000000"/>
        </w:rPr>
      </w:pPr>
      <w:r>
        <w:rPr>
          <w:rFonts w:ascii="Arial" w:eastAsia="Arial" w:hAnsi="Arial" w:cs="Arial"/>
          <w:b/>
          <w:color w:val="000000"/>
        </w:rPr>
        <w:t>Bogusława Dyląg</w:t>
      </w:r>
    </w:p>
    <w:p w:rsidR="00A77B3E" w:rsidRDefault="000E2ECD">
      <w:pPr>
        <w:spacing w:line="300" w:lineRule="exact"/>
        <w:ind w:left="6075" w:right="15"/>
        <w:rPr>
          <w:rFonts w:ascii="Arial" w:eastAsia="Arial" w:hAnsi="Arial" w:cs="Arial"/>
          <w:b/>
          <w:color w:val="000000"/>
        </w:rPr>
      </w:pPr>
      <w:r>
        <w:rPr>
          <w:rFonts w:ascii="Arial" w:eastAsia="Arial" w:hAnsi="Arial" w:cs="Arial"/>
          <w:b/>
          <w:color w:val="000000"/>
        </w:rPr>
        <w:t>Przewodnicząca Rady Gminy Branice</w:t>
      </w:r>
    </w:p>
    <w:p w:rsidR="00A77B3E" w:rsidRDefault="000E2ECD">
      <w:pPr>
        <w:spacing w:line="300" w:lineRule="exact"/>
        <w:ind w:left="6075" w:right="15"/>
        <w:rPr>
          <w:rFonts w:ascii="Arial" w:eastAsia="Arial" w:hAnsi="Arial" w:cs="Arial"/>
          <w:b/>
          <w:color w:val="000000"/>
        </w:rPr>
      </w:pPr>
      <w:r>
        <w:rPr>
          <w:rFonts w:ascii="Arial" w:eastAsia="Arial" w:hAnsi="Arial" w:cs="Arial"/>
          <w:b/>
          <w:color w:val="000000"/>
        </w:rPr>
        <w:t xml:space="preserve">ul. Słowackiego 3 </w:t>
      </w:r>
    </w:p>
    <w:p w:rsidR="00A77B3E" w:rsidRDefault="000E2ECD">
      <w:pPr>
        <w:spacing w:line="300" w:lineRule="exact"/>
        <w:ind w:left="6075" w:right="15"/>
        <w:rPr>
          <w:rFonts w:ascii="Arial" w:eastAsia="Arial" w:hAnsi="Arial" w:cs="Arial"/>
          <w:b/>
          <w:color w:val="000000"/>
        </w:rPr>
      </w:pPr>
      <w:r>
        <w:rPr>
          <w:rFonts w:ascii="Arial" w:eastAsia="Arial" w:hAnsi="Arial" w:cs="Arial"/>
          <w:b/>
          <w:color w:val="000000"/>
        </w:rPr>
        <w:t xml:space="preserve">48-140 Branice </w:t>
      </w:r>
    </w:p>
    <w:p w:rsidR="00A77B3E" w:rsidRPr="000E2ECD" w:rsidRDefault="000E2ECD" w:rsidP="000E2ECD">
      <w:pPr>
        <w:pStyle w:val="Nagwek1"/>
        <w:jc w:val="center"/>
        <w:rPr>
          <w:rFonts w:ascii="Arial" w:eastAsia="Arial" w:hAnsi="Arial" w:cs="Arial"/>
          <w:color w:val="000000" w:themeColor="text1"/>
          <w:sz w:val="24"/>
          <w:szCs w:val="24"/>
        </w:rPr>
      </w:pPr>
      <w:r w:rsidRPr="000E2ECD">
        <w:rPr>
          <w:rFonts w:ascii="Arial" w:eastAsia="Arial" w:hAnsi="Arial" w:cs="Arial"/>
          <w:color w:val="000000" w:themeColor="text1"/>
          <w:sz w:val="24"/>
          <w:szCs w:val="24"/>
        </w:rPr>
        <w:t>Rozstrzygnięcie nadzorcze</w:t>
      </w:r>
    </w:p>
    <w:p w:rsidR="00A77B3E" w:rsidRDefault="000E2ECD">
      <w:pPr>
        <w:spacing w:before="120" w:after="120" w:line="432" w:lineRule="exact"/>
        <w:ind w:left="15" w:right="15" w:firstLine="570"/>
        <w:rPr>
          <w:rFonts w:ascii="Arial" w:eastAsia="Arial" w:hAnsi="Arial" w:cs="Arial"/>
          <w:color w:val="000000"/>
        </w:rPr>
      </w:pPr>
      <w:r>
        <w:rPr>
          <w:rFonts w:ascii="Arial" w:eastAsia="Arial" w:hAnsi="Arial" w:cs="Arial"/>
          <w:color w:val="000000"/>
        </w:rPr>
        <w:t xml:space="preserve">Na podstawie art. 91 ust. 1 i 3 ustawy z dnia 8 marca 1990 r. o </w:t>
      </w:r>
      <w:r>
        <w:rPr>
          <w:rFonts w:ascii="Arial" w:eastAsia="Arial" w:hAnsi="Arial" w:cs="Arial"/>
          <w:color w:val="000000"/>
        </w:rPr>
        <w:t>samorządzie gminnym (Dz. U. z 2021 r. poz.1372)</w:t>
      </w:r>
    </w:p>
    <w:p w:rsidR="00A77B3E" w:rsidRPr="000E2ECD" w:rsidRDefault="000E2ECD" w:rsidP="000E2ECD">
      <w:pPr>
        <w:pStyle w:val="Nagwek1"/>
        <w:jc w:val="center"/>
        <w:rPr>
          <w:rFonts w:ascii="Arial" w:eastAsia="Arial" w:hAnsi="Arial" w:cs="Arial"/>
          <w:color w:val="000000" w:themeColor="text1"/>
          <w:sz w:val="24"/>
          <w:szCs w:val="24"/>
        </w:rPr>
      </w:pPr>
      <w:r w:rsidRPr="000E2ECD">
        <w:rPr>
          <w:rFonts w:ascii="Arial" w:eastAsia="Arial" w:hAnsi="Arial" w:cs="Arial"/>
          <w:color w:val="000000" w:themeColor="text1"/>
          <w:sz w:val="24"/>
          <w:szCs w:val="24"/>
        </w:rPr>
        <w:t>stwierdzam</w:t>
      </w:r>
    </w:p>
    <w:p w:rsidR="00A77B3E" w:rsidRDefault="000E2ECD">
      <w:pPr>
        <w:spacing w:before="240" w:after="120" w:line="432" w:lineRule="exact"/>
        <w:ind w:right="15"/>
        <w:rPr>
          <w:rFonts w:ascii="Arial" w:eastAsia="Arial" w:hAnsi="Arial" w:cs="Arial"/>
          <w:color w:val="000000"/>
        </w:rPr>
      </w:pPr>
      <w:r>
        <w:rPr>
          <w:rFonts w:ascii="Arial" w:eastAsia="Arial" w:hAnsi="Arial" w:cs="Arial"/>
          <w:color w:val="000000"/>
        </w:rPr>
        <w:t>nieważność uchwały Nr XXXVII/394/21 Rady Gminy Branice z dnia 13 grudnia 2021 r. w sprawie zatwierdzenia planu pracy Rady Gminy Branice  oraz planów pracy stałych Komisji Rady Gminy Branice na 2022</w:t>
      </w:r>
      <w:r>
        <w:rPr>
          <w:rFonts w:ascii="Arial" w:eastAsia="Arial" w:hAnsi="Arial" w:cs="Arial"/>
          <w:color w:val="000000"/>
        </w:rPr>
        <w:t> rok – z powodu istotnego naruszenia prawa.</w:t>
      </w:r>
    </w:p>
    <w:p w:rsidR="00A77B3E" w:rsidRPr="000E2ECD" w:rsidRDefault="000E2ECD" w:rsidP="000E2ECD">
      <w:pPr>
        <w:pStyle w:val="Nagwek1"/>
        <w:jc w:val="center"/>
        <w:rPr>
          <w:rFonts w:ascii="Arial" w:eastAsia="Arial" w:hAnsi="Arial" w:cs="Arial"/>
          <w:color w:val="000000" w:themeColor="text1"/>
          <w:sz w:val="24"/>
          <w:szCs w:val="24"/>
        </w:rPr>
      </w:pPr>
      <w:r w:rsidRPr="000E2ECD">
        <w:rPr>
          <w:rFonts w:ascii="Arial" w:eastAsia="Arial" w:hAnsi="Arial" w:cs="Arial"/>
          <w:color w:val="000000" w:themeColor="text1"/>
          <w:sz w:val="24"/>
          <w:szCs w:val="24"/>
        </w:rPr>
        <w:t>Uzasadnienie</w:t>
      </w:r>
    </w:p>
    <w:p w:rsidR="00A77B3E" w:rsidRDefault="000E2ECD">
      <w:pPr>
        <w:spacing w:before="330" w:after="120" w:line="432" w:lineRule="exact"/>
        <w:ind w:firstLine="567"/>
        <w:rPr>
          <w:rFonts w:ascii="Arial" w:eastAsia="Arial" w:hAnsi="Arial" w:cs="Arial"/>
          <w:color w:val="000000"/>
        </w:rPr>
      </w:pPr>
      <w:r>
        <w:rPr>
          <w:rFonts w:ascii="Arial" w:eastAsia="Arial" w:hAnsi="Arial" w:cs="Arial"/>
          <w:color w:val="000000"/>
        </w:rPr>
        <w:t xml:space="preserve"> Rada Gminy Branice na sesji w dniu 13 grudnia 2021 r. podjęł</w:t>
      </w:r>
      <w:bookmarkStart w:id="0" w:name="_GoBack"/>
      <w:bookmarkEnd w:id="0"/>
      <w:r>
        <w:rPr>
          <w:rFonts w:ascii="Arial" w:eastAsia="Arial" w:hAnsi="Arial" w:cs="Arial"/>
          <w:color w:val="000000"/>
        </w:rPr>
        <w:t xml:space="preserve">a na podstawie </w:t>
      </w:r>
      <w:r>
        <w:rPr>
          <w:color w:val="000000"/>
        </w:rPr>
        <w:br/>
      </w:r>
      <w:r>
        <w:rPr>
          <w:rFonts w:ascii="Arial" w:eastAsia="Arial" w:hAnsi="Arial" w:cs="Arial"/>
          <w:color w:val="000000"/>
        </w:rPr>
        <w:t>art. 18 ust. 1 oraz art. 21 ust. 3 ustawy z dnia 8 marca 1990 r. o samorządzie gminnym uchwałę nr XXXVII/394/21 w sprawie zatwierdzenia planu pracy Rady Gminy Branice oraz planów pracy stałych Komisji Rady Gminy Branice na 2022 rok. Przedmiotowa uchwała wp</w:t>
      </w:r>
      <w:r>
        <w:rPr>
          <w:rFonts w:ascii="Arial" w:eastAsia="Arial" w:hAnsi="Arial" w:cs="Arial"/>
          <w:color w:val="000000"/>
        </w:rPr>
        <w:t xml:space="preserve">łynęła do organu nadzoru elektronicznie w dniu 15 grudnia 2021 r., a papierowo w dniu 21 grudnia 2021 r. </w:t>
      </w:r>
    </w:p>
    <w:p w:rsidR="00A77B3E" w:rsidRDefault="000E2ECD">
      <w:pPr>
        <w:spacing w:before="360" w:after="120" w:line="432" w:lineRule="exact"/>
        <w:ind w:firstLine="567"/>
        <w:rPr>
          <w:rFonts w:ascii="Arial" w:eastAsia="Arial" w:hAnsi="Arial" w:cs="Arial"/>
          <w:color w:val="000000"/>
        </w:rPr>
      </w:pPr>
      <w:r>
        <w:rPr>
          <w:rFonts w:ascii="Arial" w:eastAsia="Arial" w:hAnsi="Arial" w:cs="Arial"/>
          <w:color w:val="000000"/>
        </w:rPr>
        <w:t>W § 1 ust. 1 niniejszej uchwały postanowiono o zatwierdzeniu planu pracy Rady Gminy, po czym w § 1 ust. 2 zawarto zapis, iż w związku z trwającym stan</w:t>
      </w:r>
      <w:r>
        <w:rPr>
          <w:rFonts w:ascii="Arial" w:eastAsia="Arial" w:hAnsi="Arial" w:cs="Arial"/>
          <w:color w:val="000000"/>
        </w:rPr>
        <w:t xml:space="preserve">em epidemii odstępuje się od ścisłego określenia zadań realizowanych przez Radę i Komisje. W ust. 3 postanowiono, że zadania realizowane przez Radę Gminy będą ustalane na bieżąco przez </w:t>
      </w:r>
      <w:r>
        <w:rPr>
          <w:rFonts w:ascii="Arial" w:eastAsia="Arial" w:hAnsi="Arial" w:cs="Arial"/>
          <w:color w:val="000000"/>
        </w:rPr>
        <w:lastRenderedPageBreak/>
        <w:t>Przewodniczącą Rady Gminy, a zadania realizowane przez Komisje będą ust</w:t>
      </w:r>
      <w:r>
        <w:rPr>
          <w:rFonts w:ascii="Arial" w:eastAsia="Arial" w:hAnsi="Arial" w:cs="Arial"/>
          <w:color w:val="000000"/>
        </w:rPr>
        <w:t>alane na bieżąco przez Przewodniczących Komisji w porozumieniu z Przewodniczącą Rady.</w:t>
      </w:r>
    </w:p>
    <w:p w:rsidR="00A77B3E" w:rsidRDefault="000E2ECD">
      <w:pPr>
        <w:spacing w:before="360" w:after="120" w:line="432" w:lineRule="exact"/>
        <w:ind w:firstLine="567"/>
        <w:rPr>
          <w:rFonts w:ascii="Arial" w:eastAsia="Arial" w:hAnsi="Arial" w:cs="Arial"/>
          <w:color w:val="000000"/>
        </w:rPr>
      </w:pPr>
      <w:r>
        <w:rPr>
          <w:rFonts w:ascii="Arial" w:eastAsia="Arial" w:hAnsi="Arial" w:cs="Arial"/>
          <w:color w:val="000000"/>
        </w:rPr>
        <w:t>W ocenie organu nadzoru przedmiotowa uchwała istotnie narusza prawo.  </w:t>
      </w:r>
      <w:r>
        <w:rPr>
          <w:color w:val="000000"/>
        </w:rPr>
        <w:br/>
      </w:r>
      <w:r>
        <w:rPr>
          <w:rFonts w:ascii="Arial" w:eastAsia="Arial" w:hAnsi="Arial" w:cs="Arial"/>
          <w:color w:val="000000"/>
        </w:rPr>
        <w:t>W piśmiennictwie i orzecznictwie do istotnego naruszenia prawa zalicza się naruszenie przez organ g</w:t>
      </w:r>
      <w:r>
        <w:rPr>
          <w:rFonts w:ascii="Arial" w:eastAsia="Arial" w:hAnsi="Arial" w:cs="Arial"/>
          <w:color w:val="000000"/>
        </w:rPr>
        <w:t>miny podejmujący uchwałę przepisów o właściwości, podjęcie takiego aktu bez podstawy prawnej, wadliwe zastosowanie normy prawnej będącej podstawą prawną podjęcia aktu, jak również naruszenie przepisów regulujących procedurę podejmowania uchwały. Za "istotn</w:t>
      </w:r>
      <w:r>
        <w:rPr>
          <w:rFonts w:ascii="Arial" w:eastAsia="Arial" w:hAnsi="Arial" w:cs="Arial"/>
          <w:color w:val="000000"/>
        </w:rPr>
        <w:t>e" naruszenie prawa uznaje się uchybienie prowadzące do skutków, które nie mogą być tolerowane w demokratycznym państwie prawnym, zwłaszcza gdy podjęty akt pozostaje w wyraźnej sprzeczności z określonym przepisem prawnym, co jest oczywiste i bezpośrednie o</w:t>
      </w:r>
      <w:r>
        <w:rPr>
          <w:rFonts w:ascii="Arial" w:eastAsia="Arial" w:hAnsi="Arial" w:cs="Arial"/>
          <w:color w:val="000000"/>
        </w:rPr>
        <w:t xml:space="preserve">raz wynika wprost z treści tego przepisu. </w:t>
      </w:r>
    </w:p>
    <w:p w:rsidR="00A77B3E" w:rsidRDefault="000E2ECD">
      <w:pPr>
        <w:spacing w:before="360" w:after="120" w:line="432" w:lineRule="exact"/>
        <w:ind w:firstLine="567"/>
        <w:rPr>
          <w:rFonts w:ascii="Arial" w:eastAsia="Arial" w:hAnsi="Arial" w:cs="Arial"/>
          <w:color w:val="000000"/>
        </w:rPr>
      </w:pPr>
      <w:r>
        <w:rPr>
          <w:rFonts w:ascii="Arial" w:eastAsia="Arial" w:hAnsi="Arial" w:cs="Arial"/>
          <w:color w:val="000000"/>
        </w:rPr>
        <w:t>Zdaniem organu nadzoru przedmiotowa uchwała Rady Gminy Branice została podjęta bez podstawy prawnej oraz z naruszeniem art. 21 ust. 3 ustawy o samorządzie gminnym. Przywołane w podstawie prawnej kwestionowanej uch</w:t>
      </w:r>
      <w:r>
        <w:rPr>
          <w:rFonts w:ascii="Arial" w:eastAsia="Arial" w:hAnsi="Arial" w:cs="Arial"/>
          <w:color w:val="000000"/>
        </w:rPr>
        <w:t>wały przepisy nie zawierają delegacji prawnej do podjęcia tego rodzaju uchwały. Przepis art. 18 ust. 1 ustawy o samorządzie gminny nie stanowi samodzielnej podstawy do wydawania aktów normatywnych. Natomiast w myśl art. 21 ust. 3 ustawy o samorządzie gminn</w:t>
      </w:r>
      <w:r>
        <w:rPr>
          <w:rFonts w:ascii="Arial" w:eastAsia="Arial" w:hAnsi="Arial" w:cs="Arial"/>
          <w:color w:val="000000"/>
        </w:rPr>
        <w:t xml:space="preserve">ym komisje podlegają radzie gminy, przedkładają jej plan pracy oraz sprawozdania z działalności. Wskazany przepis art. 21 ust. 3 nakłada na komisje stałe rady obowiązek przedłożenia planu pracy, tymczasem Rada Gminy Branice w podjętej uchwale odstąpiła od </w:t>
      </w:r>
      <w:r>
        <w:rPr>
          <w:rFonts w:ascii="Arial" w:eastAsia="Arial" w:hAnsi="Arial" w:cs="Arial"/>
          <w:color w:val="000000"/>
        </w:rPr>
        <w:t>tego ustawowego obowiązku i powierzyła to zadanie przewodniczącym komisji. Warto również zaznaczyć, iż zgodnie z wymogiem zawartym w § 54 ust. 1 Statutu Gminy Branice, przyjętego uchwałą nr I/8/18 z dnia 19 listopada 2018 r. (Dz. Urz. Woj. Opolskiego z 201</w:t>
      </w:r>
      <w:r>
        <w:rPr>
          <w:rFonts w:ascii="Arial" w:eastAsia="Arial" w:hAnsi="Arial" w:cs="Arial"/>
          <w:color w:val="000000"/>
        </w:rPr>
        <w:t>8 r. poz. 3317) komisje stałe działają zgodnie z rocznym planem pracy przedłożonym i zatwierdzonym przez Radę Gminy Branice.</w:t>
      </w:r>
    </w:p>
    <w:p w:rsidR="00A77B3E" w:rsidRDefault="000E2ECD">
      <w:pPr>
        <w:spacing w:before="360" w:after="120" w:line="432" w:lineRule="exact"/>
        <w:ind w:firstLine="567"/>
        <w:rPr>
          <w:rFonts w:ascii="Arial" w:eastAsia="Arial" w:hAnsi="Arial" w:cs="Arial"/>
          <w:color w:val="000000"/>
        </w:rPr>
      </w:pPr>
      <w:r>
        <w:rPr>
          <w:rFonts w:ascii="Arial" w:eastAsia="Arial" w:hAnsi="Arial" w:cs="Arial"/>
          <w:color w:val="000000"/>
        </w:rPr>
        <w:t>Analiza treści przedmiotowej uchwały oraz przywołanych wyżej przepisów wskazuje, iż Rada Gminy Branice odstąpiła od ustawowego i st</w:t>
      </w:r>
      <w:r>
        <w:rPr>
          <w:rFonts w:ascii="Arial" w:eastAsia="Arial" w:hAnsi="Arial" w:cs="Arial"/>
          <w:color w:val="000000"/>
        </w:rPr>
        <w:t>atutowego obowiązku przedłożenia przez komisje stałego planu pracy. Natomiast bezpodstawnie powierzyła to zadanie przewodniczącym komisji.</w:t>
      </w:r>
    </w:p>
    <w:p w:rsidR="00A77B3E" w:rsidRDefault="000E2ECD">
      <w:pPr>
        <w:spacing w:before="360" w:after="120" w:line="432" w:lineRule="exact"/>
        <w:ind w:firstLine="567"/>
        <w:rPr>
          <w:rFonts w:ascii="Arial" w:eastAsia="Arial" w:hAnsi="Arial" w:cs="Arial"/>
          <w:color w:val="000000"/>
        </w:rPr>
      </w:pPr>
      <w:r>
        <w:rPr>
          <w:rFonts w:ascii="Arial" w:eastAsia="Arial" w:hAnsi="Arial" w:cs="Arial"/>
          <w:color w:val="000000"/>
        </w:rPr>
        <w:lastRenderedPageBreak/>
        <w:t>Organ nadzoru pragnie również zauważyć, iż żaden przepis ustawy o samorządzie gminnym nie nakłada obowiązku na radę g</w:t>
      </w:r>
      <w:r>
        <w:rPr>
          <w:rFonts w:ascii="Arial" w:eastAsia="Arial" w:hAnsi="Arial" w:cs="Arial"/>
          <w:color w:val="000000"/>
        </w:rPr>
        <w:t>miny ustalenia planu pracy, jednakże należy stwierdzić, iż ewentualne ustalenie takiego planu pracy będzie należało do rady gminy, jako organu stanowiącego, natomiast rada gminy nie może takich kompetencji przekazywać przewodniczącemu rady gminy. Uprawnien</w:t>
      </w:r>
      <w:r>
        <w:rPr>
          <w:rFonts w:ascii="Arial" w:eastAsia="Arial" w:hAnsi="Arial" w:cs="Arial"/>
          <w:color w:val="000000"/>
        </w:rPr>
        <w:t>ia przewodniczącego rady gminy określone zostały w art. 19 ust. 2 ustawy o samorządzie gminnym, zgodnie z którym zadaniem przewodniczącego jest wyłącznie organizowanie pracy rady oraz prowadzenie obrad rady. Przy czym nie można nakładać na niego obowiązków</w:t>
      </w:r>
      <w:r>
        <w:rPr>
          <w:rFonts w:ascii="Arial" w:eastAsia="Arial" w:hAnsi="Arial" w:cs="Arial"/>
          <w:color w:val="000000"/>
        </w:rPr>
        <w:t>, ani przyznawać mu innych kompetencji niż te, które wynikają z ustawy, a nie mieszczą się w pojęciu „organizowanie pracy rady i prowadzenie obrad rady". Podkreślić należy, iż zadania związane z pełnieniem funkcji przewodniczącego rady gminy mają charakter</w:t>
      </w:r>
      <w:r>
        <w:rPr>
          <w:rFonts w:ascii="Arial" w:eastAsia="Arial" w:hAnsi="Arial" w:cs="Arial"/>
          <w:color w:val="000000"/>
        </w:rPr>
        <w:t xml:space="preserve"> materialno-techniczny. Przepis art. 19 ust. 2 jednoznacznie kształtuje pomocniczy charakter funkcji przewodniczącego w stosunku do rady gminy, przez co nie jest dopuszczalna zmiana, nie mówiąc już o odwróceniu tej relacji mocą uchwały.</w:t>
      </w:r>
    </w:p>
    <w:p w:rsidR="00A77B3E" w:rsidRDefault="000E2ECD">
      <w:pPr>
        <w:spacing w:before="360" w:after="120" w:line="432" w:lineRule="exact"/>
        <w:ind w:firstLine="567"/>
        <w:rPr>
          <w:rFonts w:ascii="Arial" w:eastAsia="Arial" w:hAnsi="Arial" w:cs="Arial"/>
          <w:color w:val="000000"/>
        </w:rPr>
      </w:pPr>
      <w:r>
        <w:rPr>
          <w:rFonts w:ascii="Arial" w:eastAsia="Arial" w:hAnsi="Arial" w:cs="Arial"/>
          <w:color w:val="000000"/>
        </w:rPr>
        <w:t>W świetle powyższyc</w:t>
      </w:r>
      <w:r>
        <w:rPr>
          <w:rFonts w:ascii="Arial" w:eastAsia="Arial" w:hAnsi="Arial" w:cs="Arial"/>
          <w:color w:val="000000"/>
        </w:rPr>
        <w:t>h rozważań należy stwierdzić, że poza zakres kompetencji Przewodniczącego Rady wykraczają uprawnienia nadane mu przepisem § 1 ust. 3 i 4 niniejszej uchwały, zgodnie z którymi zadania Rady Gminy będą ustalane na bieżąco przez Przewodniczącego Rady, a zadani</w:t>
      </w:r>
      <w:r>
        <w:rPr>
          <w:rFonts w:ascii="Arial" w:eastAsia="Arial" w:hAnsi="Arial" w:cs="Arial"/>
          <w:color w:val="000000"/>
        </w:rPr>
        <w:t xml:space="preserve">a komisji przez przewodniczących w porozumieniu z Przewodniczącym Rady. W ocenie organu nadzoru powyższe zapisy nie znajdują podstaw prawnych, ponieważ Przewodniczący Rady uzyskuje w tym przypadku uprawnienie nie przewidziane w ustawie ustrojowej. Przepis </w:t>
      </w:r>
      <w:r>
        <w:rPr>
          <w:rFonts w:ascii="Arial" w:eastAsia="Arial" w:hAnsi="Arial" w:cs="Arial"/>
          <w:color w:val="000000"/>
        </w:rPr>
        <w:t>art. 19 ust. 2 ustawy określa, że zadaniem Przewodniczącego jest wyłącznie organizowanie pracy rady oraz prowadzenie obrad rady. Przepisu art. 19 ust. 2, jako przepisu kompetencyjnego, nie można rozszerzać do sytuacji nie objętych jego treścią, zwłaszcza ż</w:t>
      </w:r>
      <w:r>
        <w:rPr>
          <w:rFonts w:ascii="Arial" w:eastAsia="Arial" w:hAnsi="Arial" w:cs="Arial"/>
          <w:color w:val="000000"/>
        </w:rPr>
        <w:t>e ustawodawca użył w nim zwrotu "wyłącznie", co wyraźnie wskazuje na jego wolę ograniczenia zakresu zastosowania przepisu jedynie do zakresu kompetencji przewodniczącego wyszczególnionych wprost w przepisie. Przyjęcie więc odmiennej, rozszerzającej wykładn</w:t>
      </w:r>
      <w:r>
        <w:rPr>
          <w:rFonts w:ascii="Arial" w:eastAsia="Arial" w:hAnsi="Arial" w:cs="Arial"/>
          <w:color w:val="000000"/>
        </w:rPr>
        <w:t>i art. 19 ust. 2 ustawy oznaczałoby de facto, że działanie przewodniczącego rady nie byłoby oparte na przepisach prawa i stanowiłoby nieuzasadnione ustrojowo zwiększenie jego kompetencji kosztem uprawnień rady gminy. To radzie gminy, jako organowi gminy, a</w:t>
      </w:r>
      <w:r>
        <w:rPr>
          <w:rFonts w:ascii="Arial" w:eastAsia="Arial" w:hAnsi="Arial" w:cs="Arial"/>
          <w:color w:val="000000"/>
        </w:rPr>
        <w:t xml:space="preserve"> nie przewodniczącemu rady, przysługuje uprawnienie do ustalenia jej planu pracy oraz uprawnienie do zatwierdzenia planów pracy komisji.</w:t>
      </w:r>
    </w:p>
    <w:p w:rsidR="00A77B3E" w:rsidRDefault="000E2ECD">
      <w:pPr>
        <w:spacing w:before="360" w:after="120" w:line="432" w:lineRule="exact"/>
        <w:ind w:firstLine="567"/>
        <w:rPr>
          <w:rFonts w:ascii="Arial" w:eastAsia="Arial" w:hAnsi="Arial" w:cs="Arial"/>
          <w:color w:val="000000"/>
        </w:rPr>
      </w:pPr>
      <w:r>
        <w:rPr>
          <w:rFonts w:ascii="Arial" w:eastAsia="Arial" w:hAnsi="Arial" w:cs="Arial"/>
          <w:color w:val="000000"/>
        </w:rPr>
        <w:lastRenderedPageBreak/>
        <w:t>Organ nadzoru pragnie także zauważyć, iż zapisy kwestionowanej uchwały mogą doprowadzić do odstępstwa w wykonywaniu zad</w:t>
      </w:r>
      <w:r>
        <w:rPr>
          <w:rFonts w:ascii="Arial" w:eastAsia="Arial" w:hAnsi="Arial" w:cs="Arial"/>
          <w:color w:val="000000"/>
        </w:rPr>
        <w:t>ań ustawowych i statutowych Rady Gminy Branice. Przykładowo art. 20 ust. 1 ustawy o samorządzie gminnym wskazuje na konieczność zwołania sesji rady gminy co najmniej raz na kwartał. Trwający stan epidemii nie może doprowadzić do paraliżu prac organów gminy</w:t>
      </w:r>
      <w:r>
        <w:rPr>
          <w:rFonts w:ascii="Arial" w:eastAsia="Arial" w:hAnsi="Arial" w:cs="Arial"/>
          <w:color w:val="000000"/>
        </w:rPr>
        <w:t>. W obowiązującym porządku prawnym istnieje przepis art. 15 zzx ustawy z dnia 2 marca 2020 r. ustawa o szczególnych rozwiązaniach związanych z zapobieganiem, przeciwdziałaniem i zwalczaniem COVID-19, innych chorób zakaźnych oraz wywołanych nimi sytuacji kr</w:t>
      </w:r>
      <w:r>
        <w:rPr>
          <w:rFonts w:ascii="Arial" w:eastAsia="Arial" w:hAnsi="Arial" w:cs="Arial"/>
          <w:color w:val="000000"/>
        </w:rPr>
        <w:t>yzysowych (Dz. U. z 2021 r. poz. 2095) umożliwiający organom stanowiącym jednostek samorządu terytorialnego zdalny tryb obradowania. Stąd też nie ma przeszkód w funkcjonowaniu organów gminy.</w:t>
      </w:r>
    </w:p>
    <w:p w:rsidR="00A77B3E" w:rsidRDefault="000E2ECD">
      <w:pPr>
        <w:spacing w:before="360" w:after="120" w:line="343" w:lineRule="exact"/>
        <w:ind w:firstLine="567"/>
        <w:jc w:val="both"/>
        <w:rPr>
          <w:rFonts w:ascii="Arial" w:eastAsia="Arial" w:hAnsi="Arial" w:cs="Arial"/>
          <w:color w:val="000000"/>
        </w:rPr>
      </w:pPr>
      <w:r>
        <w:rPr>
          <w:rFonts w:ascii="Arial" w:eastAsia="Arial" w:hAnsi="Arial" w:cs="Arial"/>
          <w:color w:val="000000"/>
        </w:rPr>
        <w:t>Mając na uwadze powyższe argumenty, stwierdzam jak na wstępie.</w:t>
      </w:r>
    </w:p>
    <w:p w:rsidR="00A77B3E" w:rsidRDefault="000E2ECD">
      <w:pPr>
        <w:spacing w:before="360" w:after="120" w:line="432" w:lineRule="exact"/>
        <w:ind w:firstLine="567"/>
        <w:jc w:val="both"/>
        <w:rPr>
          <w:rFonts w:ascii="Arial" w:eastAsia="Arial" w:hAnsi="Arial" w:cs="Arial"/>
          <w:color w:val="000000"/>
        </w:rPr>
      </w:pPr>
      <w:r>
        <w:rPr>
          <w:rFonts w:ascii="Arial" w:eastAsia="Arial" w:hAnsi="Arial" w:cs="Arial"/>
          <w:color w:val="000000"/>
        </w:rPr>
        <w:t>Na</w:t>
      </w:r>
      <w:r>
        <w:rPr>
          <w:rFonts w:ascii="Arial" w:eastAsia="Arial" w:hAnsi="Arial" w:cs="Arial"/>
          <w:color w:val="000000"/>
        </w:rPr>
        <w:t xml:space="preserve"> podstawie art. 98 ust. 1 ustawy z dnia 8 marca 1990 r. o samorządzie gminnym, w związku z art. 54 § 1 ustawy z dnia 30 sierpnia 2002 r. o postępowaniu przed sądami administracyjnymi (Dz. U. z 2019 r. poz. 2325) niniejsze rozstrzygnięcie nadzorcze może być</w:t>
      </w:r>
      <w:r>
        <w:rPr>
          <w:rFonts w:ascii="Arial" w:eastAsia="Arial" w:hAnsi="Arial" w:cs="Arial"/>
          <w:color w:val="000000"/>
        </w:rPr>
        <w:t xml:space="preserve"> zaskarżone do Wojewódzkiego Sądu Administracyjnego w Opolu za pośrednictwem Wojewody Opolskiego w terminie 30 dni od dnia jego doręczenia.</w:t>
      </w:r>
    </w:p>
    <w:p w:rsidR="00A77B3E" w:rsidRDefault="000E2ECD">
      <w:pPr>
        <w:spacing w:before="570" w:line="396" w:lineRule="exact"/>
        <w:ind w:left="4500"/>
        <w:jc w:val="center"/>
        <w:rPr>
          <w:rFonts w:ascii="Arial" w:eastAsia="Arial" w:hAnsi="Arial" w:cs="Arial"/>
          <w:b/>
          <w:color w:val="FF0033"/>
          <w:sz w:val="22"/>
        </w:rPr>
      </w:pPr>
      <w:r>
        <w:rPr>
          <w:rFonts w:ascii="Arial" w:eastAsia="Arial" w:hAnsi="Arial" w:cs="Arial"/>
          <w:b/>
          <w:color w:val="FF0033"/>
          <w:sz w:val="22"/>
        </w:rPr>
        <w:t xml:space="preserve">Z up. Wojewody Opolskiego </w:t>
      </w:r>
    </w:p>
    <w:p w:rsidR="00A77B3E" w:rsidRDefault="00A77B3E">
      <w:pPr>
        <w:spacing w:line="432" w:lineRule="exact"/>
        <w:ind w:left="4500"/>
        <w:jc w:val="center"/>
        <w:rPr>
          <w:rFonts w:ascii="Arial" w:eastAsia="Arial" w:hAnsi="Arial" w:cs="Arial"/>
          <w:b/>
          <w:color w:val="FF0033"/>
          <w:sz w:val="22"/>
        </w:rPr>
      </w:pPr>
    </w:p>
    <w:p w:rsidR="00A77B3E" w:rsidRDefault="000E2ECD">
      <w:pPr>
        <w:spacing w:before="225" w:line="396" w:lineRule="exact"/>
        <w:ind w:left="4500"/>
        <w:jc w:val="center"/>
        <w:rPr>
          <w:rFonts w:ascii="Arial" w:eastAsia="Arial" w:hAnsi="Arial" w:cs="Arial"/>
          <w:b/>
          <w:color w:val="FF0033"/>
          <w:sz w:val="22"/>
        </w:rPr>
      </w:pPr>
      <w:r>
        <w:rPr>
          <w:rFonts w:ascii="Arial" w:eastAsia="Arial" w:hAnsi="Arial" w:cs="Arial"/>
          <w:b/>
          <w:color w:val="FF0033"/>
          <w:sz w:val="22"/>
        </w:rPr>
        <w:t>Barbara  Zwierzewicz</w:t>
      </w:r>
    </w:p>
    <w:p w:rsidR="00A77B3E" w:rsidRDefault="000E2ECD">
      <w:pPr>
        <w:spacing w:line="396" w:lineRule="exact"/>
        <w:ind w:left="4500"/>
        <w:jc w:val="center"/>
        <w:rPr>
          <w:rFonts w:ascii="Arial" w:eastAsia="Arial" w:hAnsi="Arial" w:cs="Arial"/>
          <w:b/>
          <w:color w:val="FF0033"/>
          <w:sz w:val="22"/>
        </w:rPr>
      </w:pPr>
      <w:r>
        <w:rPr>
          <w:rFonts w:ascii="Arial" w:eastAsia="Arial" w:hAnsi="Arial" w:cs="Arial"/>
          <w:b/>
          <w:color w:val="FF0033"/>
          <w:sz w:val="22"/>
        </w:rPr>
        <w:t xml:space="preserve">Dyrektor </w:t>
      </w:r>
    </w:p>
    <w:p w:rsidR="00A77B3E" w:rsidRDefault="000E2ECD">
      <w:pPr>
        <w:spacing w:line="396" w:lineRule="exact"/>
        <w:ind w:left="4500"/>
        <w:jc w:val="center"/>
        <w:rPr>
          <w:rFonts w:ascii="Arial" w:eastAsia="Arial" w:hAnsi="Arial" w:cs="Arial"/>
          <w:b/>
          <w:color w:val="FF0033"/>
          <w:sz w:val="22"/>
        </w:rPr>
      </w:pPr>
      <w:r>
        <w:rPr>
          <w:rFonts w:ascii="Arial" w:eastAsia="Arial" w:hAnsi="Arial" w:cs="Arial"/>
          <w:b/>
          <w:color w:val="FF0033"/>
          <w:sz w:val="22"/>
        </w:rPr>
        <w:t>Wydział Prawny i Nadzoru</w:t>
      </w:r>
    </w:p>
    <w:p w:rsidR="00A77B3E" w:rsidRDefault="00A77B3E">
      <w:pPr>
        <w:spacing w:before="540" w:after="270" w:line="432" w:lineRule="exact"/>
        <w:ind w:right="15" w:firstLine="4950"/>
        <w:jc w:val="center"/>
        <w:rPr>
          <w:rFonts w:ascii="Arial" w:eastAsia="Arial" w:hAnsi="Arial" w:cs="Arial"/>
          <w:b/>
          <w:color w:val="FF0033"/>
          <w:sz w:val="22"/>
        </w:rPr>
      </w:pPr>
    </w:p>
    <w:p w:rsidR="00A77B3E" w:rsidRDefault="000E2ECD">
      <w:pPr>
        <w:spacing w:before="1095" w:line="275" w:lineRule="exact"/>
        <w:ind w:right="15"/>
        <w:rPr>
          <w:rFonts w:ascii="Arial" w:eastAsia="Arial" w:hAnsi="Arial" w:cs="Arial"/>
          <w:color w:val="000000"/>
          <w:sz w:val="22"/>
        </w:rPr>
        <w:sectPr w:rsidR="00A77B3E">
          <w:headerReference w:type="default" r:id="rId7"/>
          <w:footerReference w:type="default" r:id="rId8"/>
          <w:headerReference w:type="first" r:id="rId9"/>
          <w:footerReference w:type="first" r:id="rId10"/>
          <w:endnotePr>
            <w:numFmt w:val="decimal"/>
          </w:endnotePr>
          <w:pgSz w:w="11906" w:h="16838"/>
          <w:pgMar w:top="1115" w:right="1060" w:bottom="1115" w:left="1060" w:header="0" w:footer="0" w:gutter="0"/>
          <w:cols w:space="708"/>
          <w:titlePg/>
          <w:docGrid w:linePitch="360"/>
        </w:sectPr>
      </w:pPr>
      <w:r>
        <w:rPr>
          <w:rFonts w:ascii="Arial" w:eastAsia="Arial" w:hAnsi="Arial" w:cs="Arial"/>
          <w:color w:val="000000"/>
          <w:sz w:val="22"/>
        </w:rPr>
        <w:t xml:space="preserve">Prowadzący </w:t>
      </w:r>
      <w:r>
        <w:rPr>
          <w:rFonts w:ascii="Arial" w:eastAsia="Arial" w:hAnsi="Arial" w:cs="Arial"/>
          <w:color w:val="000000"/>
          <w:sz w:val="22"/>
        </w:rPr>
        <w:t>sprawę: Alicja Radomska  Referent prawny, Wydział Prawny i Nadzoru, tel. 77 45 24 462</w:t>
      </w:r>
    </w:p>
    <w:p w:rsidR="00A77B3E" w:rsidRDefault="000E2ECD">
      <w:pPr>
        <w:spacing w:before="105" w:after="105" w:line="306" w:lineRule="atLeast"/>
        <w:rPr>
          <w:b/>
          <w:color w:val="000000"/>
          <w:sz w:val="22"/>
        </w:rPr>
      </w:pPr>
      <w:r>
        <w:rPr>
          <w:noProof/>
          <w:color w:val="000000"/>
          <w:lang w:bidi="ar-SA"/>
        </w:rPr>
        <w:lastRenderedPageBreak/>
        <w:drawing>
          <wp:inline distT="0" distB="0" distL="0" distR="0">
            <wp:extent cx="304800" cy="304800"/>
            <wp:effectExtent l="0" t="0" r="0" b="0"/>
            <wp:docPr id="867734643" name="Obraz 86773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34643" name=""/>
                    <pic:cNvPicPr>
                      <a:picLocks noChangeAspect="1"/>
                    </pic:cNvPicPr>
                  </pic:nvPicPr>
                  <pic:blipFill>
                    <a:blip r:embed="rId11"/>
                    <a:stretch>
                      <a:fillRect/>
                    </a:stretch>
                  </pic:blipFill>
                  <pic:spPr>
                    <a:xfrm>
                      <a:off x="0" y="0"/>
                      <a:ext cx="304800" cy="304800"/>
                    </a:xfrm>
                    <a:prstGeom prst="rect">
                      <a:avLst/>
                    </a:prstGeom>
                  </pic:spPr>
                </pic:pic>
              </a:graphicData>
            </a:graphic>
          </wp:inline>
        </w:drawing>
      </w:r>
      <w:r>
        <w:rPr>
          <w:b/>
          <w:color w:val="000000"/>
          <w:sz w:val="22"/>
        </w:rPr>
        <w:t>POTWIERDZENIE ZGODNOŚCI KOPII Z DOKUMENTEM ELEKTRONICZNYM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7155"/>
        <w:gridCol w:w="170"/>
      </w:tblGrid>
      <w:tr w:rsidR="00B3478C">
        <w:tc>
          <w:tcPr>
            <w:tcW w:w="2310" w:type="dxa"/>
            <w:tcBorders>
              <w:top w:val="single" w:sz="1" w:space="0" w:color="000000"/>
              <w:left w:val="single" w:sz="1" w:space="0" w:color="000000"/>
              <w:bottom w:val="single" w:sz="1" w:space="0" w:color="000000"/>
              <w:right w:val="single" w:sz="1" w:space="0" w:color="000000"/>
            </w:tcBorders>
            <w:shd w:val="clear" w:color="auto" w:fill="FFFFFF"/>
            <w:tcMar>
              <w:top w:w="0" w:type="dxa"/>
              <w:left w:w="75" w:type="dxa"/>
              <w:bottom w:w="0" w:type="dxa"/>
              <w:right w:w="75" w:type="dxa"/>
            </w:tcMar>
            <w:vAlign w:val="center"/>
          </w:tcPr>
          <w:p w:rsidR="00A77B3E" w:rsidRDefault="000E2ECD">
            <w:pPr>
              <w:spacing w:before="105" w:after="105" w:line="314" w:lineRule="exact"/>
              <w:ind w:left="45" w:right="45"/>
              <w:rPr>
                <w:color w:val="000000"/>
                <w:sz w:val="22"/>
              </w:rPr>
            </w:pPr>
            <w:r>
              <w:rPr>
                <w:color w:val="000000"/>
                <w:sz w:val="22"/>
              </w:rPr>
              <w:t>Typ dokumentu</w:t>
            </w:r>
          </w:p>
        </w:tc>
        <w:tc>
          <w:tcPr>
            <w:tcW w:w="7155" w:type="dxa"/>
            <w:tcBorders>
              <w:top w:val="single" w:sz="1" w:space="0" w:color="000000"/>
              <w:left w:val="single" w:sz="1" w:space="0" w:color="000000"/>
              <w:bottom w:val="single" w:sz="1" w:space="0" w:color="000000"/>
              <w:right w:val="single" w:sz="1" w:space="0" w:color="000000"/>
            </w:tcBorders>
            <w:shd w:val="clear" w:color="auto" w:fill="FFFFFF"/>
            <w:tcMar>
              <w:top w:w="0" w:type="dxa"/>
              <w:left w:w="75" w:type="dxa"/>
              <w:bottom w:w="0" w:type="dxa"/>
              <w:right w:w="75" w:type="dxa"/>
            </w:tcMar>
            <w:vAlign w:val="center"/>
          </w:tcPr>
          <w:p w:rsidR="00A77B3E" w:rsidRDefault="000E2ECD">
            <w:pPr>
              <w:spacing w:before="105" w:after="105" w:line="314" w:lineRule="exact"/>
              <w:ind w:left="45" w:right="45"/>
              <w:rPr>
                <w:color w:val="000000"/>
                <w:sz w:val="22"/>
              </w:rPr>
            </w:pPr>
            <w:r>
              <w:rPr>
                <w:color w:val="000000"/>
                <w:sz w:val="22"/>
              </w:rPr>
              <w:t>Rozstrzygnięcie nadzorcze w całości</w:t>
            </w:r>
          </w:p>
        </w:tc>
        <w:tc>
          <w:tcPr>
            <w:tcW w:w="20" w:type="dxa"/>
            <w:tcBorders>
              <w:top w:val="nil"/>
              <w:left w:val="nil"/>
              <w:bottom w:val="nil"/>
              <w:right w:val="nil"/>
            </w:tcBorders>
            <w:shd w:val="clear" w:color="auto" w:fill="FFFFFF"/>
            <w:tcMar>
              <w:top w:w="0" w:type="dxa"/>
              <w:left w:w="75" w:type="dxa"/>
              <w:bottom w:w="0" w:type="dxa"/>
              <w:right w:w="75" w:type="dxa"/>
            </w:tcMar>
            <w:vAlign w:val="center"/>
          </w:tcPr>
          <w:p w:rsidR="00A77B3E" w:rsidRDefault="00A77B3E">
            <w:pPr>
              <w:spacing w:line="314" w:lineRule="exact"/>
              <w:ind w:left="45" w:right="45"/>
              <w:rPr>
                <w:color w:val="000000"/>
                <w:sz w:val="22"/>
              </w:rPr>
            </w:pPr>
          </w:p>
        </w:tc>
      </w:tr>
      <w:tr w:rsidR="00B3478C">
        <w:tc>
          <w:tcPr>
            <w:tcW w:w="2310" w:type="dxa"/>
            <w:tcBorders>
              <w:top w:val="single" w:sz="1" w:space="0" w:color="000000"/>
              <w:left w:val="single" w:sz="1" w:space="0" w:color="000000"/>
              <w:bottom w:val="single" w:sz="1" w:space="0" w:color="000000"/>
              <w:right w:val="single" w:sz="1" w:space="0" w:color="000000"/>
            </w:tcBorders>
            <w:shd w:val="clear" w:color="auto" w:fill="FFFFFF"/>
            <w:tcMar>
              <w:top w:w="0" w:type="dxa"/>
              <w:left w:w="75" w:type="dxa"/>
              <w:bottom w:w="0" w:type="dxa"/>
              <w:right w:w="75" w:type="dxa"/>
            </w:tcMar>
            <w:vAlign w:val="center"/>
          </w:tcPr>
          <w:p w:rsidR="00A77B3E" w:rsidRDefault="000E2ECD">
            <w:pPr>
              <w:spacing w:before="105" w:after="105" w:line="314" w:lineRule="exact"/>
              <w:ind w:left="45" w:right="45"/>
              <w:rPr>
                <w:color w:val="000000"/>
                <w:sz w:val="22"/>
              </w:rPr>
            </w:pPr>
            <w:r>
              <w:rPr>
                <w:color w:val="000000"/>
                <w:sz w:val="22"/>
              </w:rPr>
              <w:t>Tytuł dokumentu</w:t>
            </w:r>
          </w:p>
        </w:tc>
        <w:tc>
          <w:tcPr>
            <w:tcW w:w="7155" w:type="dxa"/>
            <w:tcBorders>
              <w:top w:val="single" w:sz="1" w:space="0" w:color="000000"/>
              <w:left w:val="single" w:sz="1" w:space="0" w:color="000000"/>
              <w:bottom w:val="single" w:sz="1" w:space="0" w:color="000000"/>
              <w:right w:val="single" w:sz="1" w:space="0" w:color="000000"/>
            </w:tcBorders>
            <w:shd w:val="clear" w:color="auto" w:fill="FFFFFF"/>
            <w:tcMar>
              <w:top w:w="0" w:type="dxa"/>
              <w:left w:w="75" w:type="dxa"/>
              <w:bottom w:w="0" w:type="dxa"/>
              <w:right w:w="75" w:type="dxa"/>
            </w:tcMar>
            <w:vAlign w:val="center"/>
          </w:tcPr>
          <w:p w:rsidR="00A77B3E" w:rsidRDefault="00A77B3E">
            <w:pPr>
              <w:spacing w:before="105" w:after="105" w:line="343" w:lineRule="exact"/>
              <w:ind w:left="45" w:right="45"/>
              <w:rPr>
                <w:color w:val="000000"/>
                <w:sz w:val="22"/>
              </w:rPr>
            </w:pPr>
          </w:p>
        </w:tc>
        <w:tc>
          <w:tcPr>
            <w:tcW w:w="20" w:type="dxa"/>
            <w:tcBorders>
              <w:top w:val="nil"/>
              <w:left w:val="nil"/>
              <w:bottom w:val="nil"/>
              <w:right w:val="nil"/>
            </w:tcBorders>
            <w:shd w:val="clear" w:color="auto" w:fill="FFFFFF"/>
            <w:tcMar>
              <w:top w:w="0" w:type="dxa"/>
              <w:left w:w="75" w:type="dxa"/>
              <w:bottom w:w="0" w:type="dxa"/>
              <w:right w:w="75" w:type="dxa"/>
            </w:tcMar>
            <w:vAlign w:val="center"/>
          </w:tcPr>
          <w:p w:rsidR="00A77B3E" w:rsidRDefault="00A77B3E">
            <w:pPr>
              <w:spacing w:line="343" w:lineRule="exact"/>
              <w:ind w:left="45" w:right="45"/>
              <w:rPr>
                <w:color w:val="000000"/>
                <w:sz w:val="22"/>
              </w:rPr>
            </w:pPr>
          </w:p>
        </w:tc>
      </w:tr>
      <w:tr w:rsidR="00B3478C">
        <w:tc>
          <w:tcPr>
            <w:tcW w:w="2310" w:type="dxa"/>
            <w:tcBorders>
              <w:top w:val="single" w:sz="1" w:space="0" w:color="000000"/>
              <w:left w:val="single" w:sz="1" w:space="0" w:color="000000"/>
              <w:bottom w:val="single" w:sz="1" w:space="0" w:color="000000"/>
              <w:right w:val="single" w:sz="1" w:space="0" w:color="000000"/>
            </w:tcBorders>
            <w:shd w:val="clear" w:color="auto" w:fill="FFFFFF"/>
            <w:tcMar>
              <w:top w:w="0" w:type="dxa"/>
              <w:left w:w="75" w:type="dxa"/>
              <w:bottom w:w="0" w:type="dxa"/>
              <w:right w:w="75" w:type="dxa"/>
            </w:tcMar>
            <w:vAlign w:val="center"/>
          </w:tcPr>
          <w:p w:rsidR="00A77B3E" w:rsidRDefault="000E2ECD">
            <w:pPr>
              <w:spacing w:before="105" w:after="105" w:line="314" w:lineRule="exact"/>
              <w:ind w:left="45" w:right="45"/>
              <w:rPr>
                <w:color w:val="000000"/>
                <w:sz w:val="22"/>
              </w:rPr>
            </w:pPr>
            <w:r>
              <w:rPr>
                <w:color w:val="000000"/>
                <w:sz w:val="22"/>
              </w:rPr>
              <w:t>Sygnatura</w:t>
            </w:r>
          </w:p>
        </w:tc>
        <w:tc>
          <w:tcPr>
            <w:tcW w:w="7155" w:type="dxa"/>
            <w:tcBorders>
              <w:top w:val="single" w:sz="1" w:space="0" w:color="000000"/>
              <w:left w:val="single" w:sz="1" w:space="0" w:color="000000"/>
              <w:bottom w:val="single" w:sz="1" w:space="0" w:color="000000"/>
              <w:right w:val="single" w:sz="1" w:space="0" w:color="000000"/>
            </w:tcBorders>
            <w:shd w:val="clear" w:color="auto" w:fill="FFFFFF"/>
            <w:tcMar>
              <w:top w:w="0" w:type="dxa"/>
              <w:left w:w="75" w:type="dxa"/>
              <w:bottom w:w="0" w:type="dxa"/>
              <w:right w:w="75" w:type="dxa"/>
            </w:tcMar>
            <w:vAlign w:val="center"/>
          </w:tcPr>
          <w:p w:rsidR="00A77B3E" w:rsidRDefault="000E2ECD">
            <w:pPr>
              <w:spacing w:before="105" w:after="105" w:line="314" w:lineRule="exact"/>
              <w:ind w:left="45" w:right="45"/>
              <w:rPr>
                <w:color w:val="000000"/>
                <w:sz w:val="22"/>
              </w:rPr>
            </w:pPr>
            <w:r>
              <w:rPr>
                <w:color w:val="000000"/>
                <w:sz w:val="22"/>
              </w:rPr>
              <w:t>PN.III.4131.1.2022</w:t>
            </w:r>
          </w:p>
        </w:tc>
        <w:tc>
          <w:tcPr>
            <w:tcW w:w="20" w:type="dxa"/>
            <w:tcBorders>
              <w:top w:val="nil"/>
              <w:left w:val="nil"/>
              <w:bottom w:val="nil"/>
              <w:right w:val="nil"/>
            </w:tcBorders>
            <w:shd w:val="clear" w:color="auto" w:fill="FFFFFF"/>
            <w:tcMar>
              <w:top w:w="0" w:type="dxa"/>
              <w:left w:w="75" w:type="dxa"/>
              <w:bottom w:w="0" w:type="dxa"/>
              <w:right w:w="75" w:type="dxa"/>
            </w:tcMar>
            <w:vAlign w:val="center"/>
          </w:tcPr>
          <w:p w:rsidR="00A77B3E" w:rsidRDefault="00A77B3E">
            <w:pPr>
              <w:spacing w:line="314" w:lineRule="exact"/>
              <w:ind w:left="45" w:right="45"/>
              <w:rPr>
                <w:color w:val="000000"/>
                <w:sz w:val="22"/>
              </w:rPr>
            </w:pPr>
          </w:p>
        </w:tc>
      </w:tr>
      <w:tr w:rsidR="00B3478C">
        <w:tc>
          <w:tcPr>
            <w:tcW w:w="2310" w:type="dxa"/>
            <w:tcBorders>
              <w:top w:val="single" w:sz="1" w:space="0" w:color="000000"/>
              <w:left w:val="single" w:sz="1" w:space="0" w:color="000000"/>
              <w:bottom w:val="single" w:sz="1" w:space="0" w:color="000000"/>
              <w:right w:val="single" w:sz="1" w:space="0" w:color="000000"/>
            </w:tcBorders>
            <w:shd w:val="clear" w:color="auto" w:fill="FFFFFF"/>
            <w:tcMar>
              <w:top w:w="0" w:type="dxa"/>
              <w:left w:w="75" w:type="dxa"/>
              <w:bottom w:w="0" w:type="dxa"/>
              <w:right w:w="75" w:type="dxa"/>
            </w:tcMar>
            <w:vAlign w:val="center"/>
          </w:tcPr>
          <w:p w:rsidR="00A77B3E" w:rsidRDefault="000E2ECD">
            <w:pPr>
              <w:spacing w:before="105" w:after="105" w:line="314" w:lineRule="exact"/>
              <w:ind w:left="45" w:right="45"/>
              <w:rPr>
                <w:color w:val="000000"/>
                <w:sz w:val="22"/>
              </w:rPr>
            </w:pPr>
            <w:r>
              <w:rPr>
                <w:color w:val="000000"/>
                <w:sz w:val="22"/>
              </w:rPr>
              <w:t xml:space="preserve">Data </w:t>
            </w:r>
            <w:r>
              <w:rPr>
                <w:color w:val="000000"/>
                <w:sz w:val="22"/>
              </w:rPr>
              <w:t>dokumentu</w:t>
            </w:r>
          </w:p>
        </w:tc>
        <w:tc>
          <w:tcPr>
            <w:tcW w:w="7155" w:type="dxa"/>
            <w:tcBorders>
              <w:top w:val="single" w:sz="1" w:space="0" w:color="000000"/>
              <w:left w:val="single" w:sz="1" w:space="0" w:color="000000"/>
              <w:bottom w:val="single" w:sz="1" w:space="0" w:color="000000"/>
              <w:right w:val="single" w:sz="1" w:space="0" w:color="000000"/>
            </w:tcBorders>
            <w:shd w:val="clear" w:color="auto" w:fill="FFFFFF"/>
            <w:tcMar>
              <w:top w:w="0" w:type="dxa"/>
              <w:left w:w="75" w:type="dxa"/>
              <w:bottom w:w="0" w:type="dxa"/>
              <w:right w:w="75" w:type="dxa"/>
            </w:tcMar>
            <w:vAlign w:val="center"/>
          </w:tcPr>
          <w:p w:rsidR="00A77B3E" w:rsidRDefault="000E2ECD">
            <w:pPr>
              <w:spacing w:before="105" w:after="105" w:line="314" w:lineRule="exact"/>
              <w:ind w:left="45" w:right="45"/>
              <w:rPr>
                <w:color w:val="000000"/>
                <w:sz w:val="22"/>
              </w:rPr>
            </w:pPr>
            <w:r>
              <w:rPr>
                <w:color w:val="000000"/>
                <w:sz w:val="22"/>
              </w:rPr>
              <w:t>2022-01-11</w:t>
            </w:r>
          </w:p>
        </w:tc>
        <w:tc>
          <w:tcPr>
            <w:tcW w:w="20" w:type="dxa"/>
            <w:tcBorders>
              <w:top w:val="nil"/>
              <w:left w:val="nil"/>
              <w:bottom w:val="nil"/>
              <w:right w:val="nil"/>
            </w:tcBorders>
            <w:shd w:val="clear" w:color="auto" w:fill="FFFFFF"/>
            <w:tcMar>
              <w:top w:w="0" w:type="dxa"/>
              <w:left w:w="75" w:type="dxa"/>
              <w:bottom w:w="0" w:type="dxa"/>
              <w:right w:w="75" w:type="dxa"/>
            </w:tcMar>
            <w:vAlign w:val="center"/>
          </w:tcPr>
          <w:p w:rsidR="00A77B3E" w:rsidRDefault="00A77B3E">
            <w:pPr>
              <w:spacing w:line="314" w:lineRule="exact"/>
              <w:ind w:left="45" w:right="45"/>
              <w:rPr>
                <w:color w:val="000000"/>
                <w:sz w:val="22"/>
              </w:rPr>
            </w:pPr>
          </w:p>
        </w:tc>
      </w:tr>
      <w:tr w:rsidR="00B3478C">
        <w:tc>
          <w:tcPr>
            <w:tcW w:w="2310" w:type="dxa"/>
            <w:tcBorders>
              <w:top w:val="single" w:sz="1" w:space="0" w:color="000000"/>
              <w:left w:val="single" w:sz="1" w:space="0" w:color="000000"/>
              <w:bottom w:val="single" w:sz="1" w:space="0" w:color="000000"/>
              <w:right w:val="single" w:sz="1" w:space="0" w:color="000000"/>
            </w:tcBorders>
            <w:shd w:val="clear" w:color="auto" w:fill="FFFFFF"/>
            <w:tcMar>
              <w:top w:w="0" w:type="dxa"/>
              <w:left w:w="75" w:type="dxa"/>
              <w:bottom w:w="0" w:type="dxa"/>
              <w:right w:w="75" w:type="dxa"/>
            </w:tcMar>
            <w:vAlign w:val="center"/>
          </w:tcPr>
          <w:p w:rsidR="00A77B3E" w:rsidRDefault="000E2ECD">
            <w:pPr>
              <w:spacing w:before="105" w:after="105" w:line="314" w:lineRule="exact"/>
              <w:ind w:left="45" w:right="45"/>
              <w:rPr>
                <w:color w:val="000000"/>
                <w:sz w:val="22"/>
              </w:rPr>
            </w:pPr>
            <w:r>
              <w:rPr>
                <w:color w:val="000000"/>
                <w:sz w:val="22"/>
              </w:rPr>
              <w:t>Data złożenia podpisu</w:t>
            </w:r>
          </w:p>
        </w:tc>
        <w:tc>
          <w:tcPr>
            <w:tcW w:w="7155" w:type="dxa"/>
            <w:tcBorders>
              <w:top w:val="single" w:sz="1" w:space="0" w:color="000000"/>
              <w:left w:val="single" w:sz="1" w:space="0" w:color="000000"/>
              <w:bottom w:val="single" w:sz="1" w:space="0" w:color="000000"/>
              <w:right w:val="single" w:sz="1" w:space="0" w:color="000000"/>
            </w:tcBorders>
            <w:shd w:val="clear" w:color="auto" w:fill="FFFFFF"/>
            <w:tcMar>
              <w:top w:w="0" w:type="dxa"/>
              <w:left w:w="75" w:type="dxa"/>
              <w:bottom w:w="0" w:type="dxa"/>
              <w:right w:w="75" w:type="dxa"/>
            </w:tcMar>
            <w:vAlign w:val="center"/>
          </w:tcPr>
          <w:p w:rsidR="00A77B3E" w:rsidRDefault="000E2ECD">
            <w:pPr>
              <w:spacing w:before="105" w:after="105" w:line="314" w:lineRule="exact"/>
              <w:ind w:left="45" w:right="45"/>
              <w:rPr>
                <w:color w:val="000000"/>
                <w:sz w:val="22"/>
              </w:rPr>
            </w:pPr>
            <w:r>
              <w:rPr>
                <w:color w:val="000000"/>
                <w:sz w:val="22"/>
              </w:rPr>
              <w:t>2022-01-11 13:20:51</w:t>
            </w:r>
          </w:p>
        </w:tc>
        <w:tc>
          <w:tcPr>
            <w:tcW w:w="20" w:type="dxa"/>
            <w:tcBorders>
              <w:top w:val="nil"/>
              <w:left w:val="nil"/>
              <w:bottom w:val="nil"/>
              <w:right w:val="nil"/>
            </w:tcBorders>
            <w:shd w:val="clear" w:color="auto" w:fill="FFFFFF"/>
            <w:tcMar>
              <w:top w:w="0" w:type="dxa"/>
              <w:left w:w="75" w:type="dxa"/>
              <w:bottom w:w="0" w:type="dxa"/>
              <w:right w:w="75" w:type="dxa"/>
            </w:tcMar>
            <w:vAlign w:val="center"/>
          </w:tcPr>
          <w:p w:rsidR="00A77B3E" w:rsidRDefault="00A77B3E">
            <w:pPr>
              <w:spacing w:line="314" w:lineRule="exact"/>
              <w:ind w:left="45" w:right="45"/>
              <w:rPr>
                <w:color w:val="000000"/>
                <w:sz w:val="22"/>
              </w:rPr>
            </w:pPr>
          </w:p>
        </w:tc>
      </w:tr>
      <w:tr w:rsidR="00B3478C">
        <w:tc>
          <w:tcPr>
            <w:tcW w:w="2310" w:type="dxa"/>
            <w:tcBorders>
              <w:top w:val="single" w:sz="1" w:space="0" w:color="000000"/>
              <w:left w:val="single" w:sz="1" w:space="0" w:color="000000"/>
              <w:bottom w:val="single" w:sz="1" w:space="0" w:color="000000"/>
              <w:right w:val="single" w:sz="1" w:space="0" w:color="000000"/>
            </w:tcBorders>
            <w:shd w:val="clear" w:color="auto" w:fill="FFFFFF"/>
            <w:tcMar>
              <w:top w:w="0" w:type="dxa"/>
              <w:left w:w="75" w:type="dxa"/>
              <w:bottom w:w="0" w:type="dxa"/>
              <w:right w:w="75" w:type="dxa"/>
            </w:tcMar>
            <w:vAlign w:val="center"/>
          </w:tcPr>
          <w:p w:rsidR="00A77B3E" w:rsidRDefault="000E2ECD">
            <w:pPr>
              <w:spacing w:before="105" w:after="105" w:line="314" w:lineRule="exact"/>
              <w:ind w:left="45" w:right="45"/>
              <w:rPr>
                <w:color w:val="000000"/>
                <w:sz w:val="22"/>
              </w:rPr>
            </w:pPr>
            <w:r>
              <w:rPr>
                <w:color w:val="000000"/>
                <w:sz w:val="22"/>
              </w:rPr>
              <w:t>Osoba podpisująca</w:t>
            </w:r>
          </w:p>
        </w:tc>
        <w:tc>
          <w:tcPr>
            <w:tcW w:w="7155" w:type="dxa"/>
            <w:tcBorders>
              <w:top w:val="single" w:sz="1" w:space="0" w:color="000000"/>
              <w:left w:val="single" w:sz="1" w:space="0" w:color="000000"/>
              <w:bottom w:val="single" w:sz="1" w:space="0" w:color="000000"/>
              <w:right w:val="single" w:sz="1" w:space="0" w:color="000000"/>
            </w:tcBorders>
            <w:shd w:val="clear" w:color="auto" w:fill="FFFFFF"/>
            <w:tcMar>
              <w:top w:w="0" w:type="dxa"/>
              <w:left w:w="75" w:type="dxa"/>
              <w:bottom w:w="0" w:type="dxa"/>
              <w:right w:w="75" w:type="dxa"/>
            </w:tcMar>
            <w:vAlign w:val="center"/>
          </w:tcPr>
          <w:p w:rsidR="00A77B3E" w:rsidRDefault="000E2ECD">
            <w:pPr>
              <w:spacing w:before="105" w:after="105" w:line="314" w:lineRule="exact"/>
              <w:ind w:left="45" w:right="45"/>
              <w:rPr>
                <w:color w:val="000000"/>
                <w:sz w:val="22"/>
              </w:rPr>
            </w:pPr>
            <w:r>
              <w:rPr>
                <w:color w:val="000000"/>
                <w:sz w:val="22"/>
              </w:rPr>
              <w:t>Barbara Jadwiga Zwierzewicz</w:t>
            </w:r>
          </w:p>
        </w:tc>
        <w:tc>
          <w:tcPr>
            <w:tcW w:w="20" w:type="dxa"/>
            <w:tcBorders>
              <w:top w:val="nil"/>
              <w:left w:val="nil"/>
              <w:bottom w:val="nil"/>
              <w:right w:val="nil"/>
            </w:tcBorders>
            <w:shd w:val="clear" w:color="auto" w:fill="FFFFFF"/>
            <w:tcMar>
              <w:top w:w="0" w:type="dxa"/>
              <w:left w:w="75" w:type="dxa"/>
              <w:bottom w:w="0" w:type="dxa"/>
              <w:right w:w="75" w:type="dxa"/>
            </w:tcMar>
            <w:vAlign w:val="center"/>
          </w:tcPr>
          <w:p w:rsidR="00A77B3E" w:rsidRDefault="00A77B3E">
            <w:pPr>
              <w:spacing w:line="314" w:lineRule="exact"/>
              <w:ind w:left="45" w:right="45"/>
              <w:rPr>
                <w:color w:val="000000"/>
                <w:sz w:val="22"/>
              </w:rPr>
            </w:pPr>
          </w:p>
        </w:tc>
      </w:tr>
      <w:tr w:rsidR="00B3478C">
        <w:tc>
          <w:tcPr>
            <w:tcW w:w="2310" w:type="dxa"/>
            <w:tcBorders>
              <w:top w:val="single" w:sz="1" w:space="0" w:color="000000"/>
              <w:left w:val="single" w:sz="1" w:space="0" w:color="000000"/>
              <w:bottom w:val="single" w:sz="1" w:space="0" w:color="000000"/>
              <w:right w:val="single" w:sz="1" w:space="0" w:color="000000"/>
            </w:tcBorders>
            <w:shd w:val="clear" w:color="auto" w:fill="FFFFFF"/>
            <w:tcMar>
              <w:top w:w="0" w:type="dxa"/>
              <w:left w:w="75" w:type="dxa"/>
              <w:bottom w:w="0" w:type="dxa"/>
              <w:right w:w="75" w:type="dxa"/>
            </w:tcMar>
            <w:vAlign w:val="center"/>
          </w:tcPr>
          <w:p w:rsidR="00A77B3E" w:rsidRDefault="000E2ECD">
            <w:pPr>
              <w:spacing w:before="105" w:after="105" w:line="314" w:lineRule="exact"/>
              <w:ind w:left="45" w:right="45"/>
              <w:rPr>
                <w:color w:val="000000"/>
                <w:sz w:val="22"/>
              </w:rPr>
            </w:pPr>
            <w:r>
              <w:rPr>
                <w:color w:val="000000"/>
                <w:sz w:val="22"/>
              </w:rPr>
              <w:t>Wystawca certyfikatu</w:t>
            </w:r>
          </w:p>
        </w:tc>
        <w:tc>
          <w:tcPr>
            <w:tcW w:w="7155" w:type="dxa"/>
            <w:tcBorders>
              <w:top w:val="single" w:sz="1" w:space="0" w:color="000000"/>
              <w:left w:val="single" w:sz="1" w:space="0" w:color="000000"/>
              <w:bottom w:val="single" w:sz="1" w:space="0" w:color="000000"/>
              <w:right w:val="single" w:sz="1" w:space="0" w:color="000000"/>
            </w:tcBorders>
            <w:shd w:val="clear" w:color="auto" w:fill="FFFFFF"/>
            <w:tcMar>
              <w:top w:w="0" w:type="dxa"/>
              <w:left w:w="75" w:type="dxa"/>
              <w:bottom w:w="0" w:type="dxa"/>
              <w:right w:w="75" w:type="dxa"/>
            </w:tcMar>
            <w:vAlign w:val="center"/>
          </w:tcPr>
          <w:p w:rsidR="00A77B3E" w:rsidRDefault="000E2ECD">
            <w:pPr>
              <w:spacing w:before="105" w:after="105" w:line="314" w:lineRule="exact"/>
              <w:ind w:left="45" w:right="45"/>
              <w:rPr>
                <w:color w:val="000000"/>
                <w:sz w:val="22"/>
              </w:rPr>
            </w:pPr>
            <w:r>
              <w:rPr>
                <w:color w:val="000000"/>
                <w:sz w:val="22"/>
              </w:rPr>
              <w:t>2.5.4.97=VATPL-5260300517, CN=COPE SZAFIR - Kwalifikowany, O=Krajowa Izba Rozliczeniowa S.A., C=PL</w:t>
            </w:r>
          </w:p>
        </w:tc>
        <w:tc>
          <w:tcPr>
            <w:tcW w:w="20" w:type="dxa"/>
            <w:tcBorders>
              <w:top w:val="nil"/>
              <w:left w:val="nil"/>
              <w:bottom w:val="nil"/>
              <w:right w:val="nil"/>
            </w:tcBorders>
            <w:shd w:val="clear" w:color="auto" w:fill="FFFFFF"/>
            <w:tcMar>
              <w:top w:w="0" w:type="dxa"/>
              <w:left w:w="75" w:type="dxa"/>
              <w:bottom w:w="0" w:type="dxa"/>
              <w:right w:w="75" w:type="dxa"/>
            </w:tcMar>
            <w:vAlign w:val="center"/>
          </w:tcPr>
          <w:p w:rsidR="00A77B3E" w:rsidRDefault="00A77B3E">
            <w:pPr>
              <w:spacing w:line="314" w:lineRule="exact"/>
              <w:ind w:left="45" w:right="45"/>
              <w:rPr>
                <w:color w:val="000000"/>
                <w:sz w:val="22"/>
              </w:rPr>
            </w:pPr>
          </w:p>
        </w:tc>
      </w:tr>
      <w:tr w:rsidR="00B3478C">
        <w:tc>
          <w:tcPr>
            <w:tcW w:w="2310" w:type="dxa"/>
            <w:tcBorders>
              <w:top w:val="single" w:sz="1" w:space="0" w:color="000000"/>
              <w:left w:val="single" w:sz="1" w:space="0" w:color="000000"/>
              <w:bottom w:val="single" w:sz="1" w:space="0" w:color="000000"/>
              <w:right w:val="single" w:sz="1" w:space="0" w:color="000000"/>
            </w:tcBorders>
            <w:shd w:val="clear" w:color="auto" w:fill="FFFFFF"/>
            <w:tcMar>
              <w:top w:w="0" w:type="dxa"/>
              <w:left w:w="75" w:type="dxa"/>
              <w:bottom w:w="0" w:type="dxa"/>
              <w:right w:w="75" w:type="dxa"/>
            </w:tcMar>
            <w:vAlign w:val="center"/>
          </w:tcPr>
          <w:p w:rsidR="00A77B3E" w:rsidRDefault="000E2ECD">
            <w:pPr>
              <w:spacing w:before="105" w:after="105" w:line="314" w:lineRule="exact"/>
              <w:ind w:left="45" w:right="45"/>
              <w:rPr>
                <w:color w:val="000000"/>
                <w:sz w:val="22"/>
              </w:rPr>
            </w:pPr>
            <w:r>
              <w:rPr>
                <w:color w:val="000000"/>
                <w:sz w:val="22"/>
              </w:rPr>
              <w:t xml:space="preserve">Identyfikator </w:t>
            </w:r>
            <w:r>
              <w:rPr>
                <w:color w:val="000000"/>
                <w:sz w:val="22"/>
              </w:rPr>
              <w:t>dokumentu</w:t>
            </w:r>
          </w:p>
        </w:tc>
        <w:tc>
          <w:tcPr>
            <w:tcW w:w="7155" w:type="dxa"/>
            <w:tcBorders>
              <w:top w:val="single" w:sz="1" w:space="0" w:color="000000"/>
              <w:left w:val="single" w:sz="1" w:space="0" w:color="000000"/>
              <w:bottom w:val="single" w:sz="1" w:space="0" w:color="000000"/>
              <w:right w:val="single" w:sz="1" w:space="0" w:color="000000"/>
            </w:tcBorders>
            <w:shd w:val="clear" w:color="auto" w:fill="FFFFFF"/>
            <w:tcMar>
              <w:top w:w="0" w:type="dxa"/>
              <w:left w:w="75" w:type="dxa"/>
              <w:bottom w:w="0" w:type="dxa"/>
              <w:right w:w="75" w:type="dxa"/>
            </w:tcMar>
            <w:vAlign w:val="center"/>
          </w:tcPr>
          <w:p w:rsidR="00A77B3E" w:rsidRDefault="000E2ECD">
            <w:pPr>
              <w:spacing w:before="105" w:after="105" w:line="314" w:lineRule="exact"/>
              <w:ind w:left="45" w:right="45"/>
              <w:rPr>
                <w:color w:val="000000"/>
                <w:sz w:val="22"/>
              </w:rPr>
            </w:pPr>
            <w:r>
              <w:rPr>
                <w:color w:val="000000"/>
                <w:sz w:val="22"/>
              </w:rPr>
              <w:t>1CADC09D-182B-45A1-A2A4-FDA824927FF8</w:t>
            </w:r>
          </w:p>
        </w:tc>
        <w:tc>
          <w:tcPr>
            <w:tcW w:w="20" w:type="dxa"/>
            <w:tcBorders>
              <w:top w:val="nil"/>
              <w:left w:val="nil"/>
              <w:bottom w:val="nil"/>
              <w:right w:val="nil"/>
            </w:tcBorders>
            <w:shd w:val="clear" w:color="auto" w:fill="FFFFFF"/>
            <w:tcMar>
              <w:top w:w="0" w:type="dxa"/>
              <w:left w:w="75" w:type="dxa"/>
              <w:bottom w:w="0" w:type="dxa"/>
              <w:right w:w="75" w:type="dxa"/>
            </w:tcMar>
            <w:vAlign w:val="center"/>
          </w:tcPr>
          <w:p w:rsidR="00A77B3E" w:rsidRDefault="00A77B3E">
            <w:pPr>
              <w:spacing w:before="105" w:after="105" w:line="314" w:lineRule="exact"/>
              <w:ind w:left="45" w:right="45"/>
              <w:rPr>
                <w:color w:val="000000"/>
                <w:sz w:val="22"/>
              </w:rPr>
            </w:pPr>
          </w:p>
        </w:tc>
      </w:tr>
    </w:tbl>
    <w:p w:rsidR="00A77B3E" w:rsidRDefault="000E2ECD">
      <w:pPr>
        <w:spacing w:before="105" w:line="314" w:lineRule="exact"/>
        <w:rPr>
          <w:color w:val="000000"/>
          <w:sz w:val="22"/>
        </w:rPr>
      </w:pPr>
      <w:r>
        <w:rPr>
          <w:color w:val="000000"/>
          <w:sz w:val="22"/>
        </w:rPr>
        <w:t>Data wydruku: 8 marca 2022</w:t>
      </w:r>
    </w:p>
    <w:p w:rsidR="00A77B3E" w:rsidRDefault="000E2ECD">
      <w:pPr>
        <w:spacing w:line="314" w:lineRule="exact"/>
        <w:rPr>
          <w:color w:val="000000"/>
          <w:sz w:val="22"/>
        </w:rPr>
      </w:pPr>
      <w:r>
        <w:rPr>
          <w:color w:val="000000"/>
          <w:sz w:val="22"/>
        </w:rPr>
        <w:t>Autor wydruku: Alicja Radomska</w:t>
      </w:r>
    </w:p>
    <w:sectPr w:rsidR="00A77B3E">
      <w:headerReference w:type="default" r:id="rId12"/>
      <w:footerReference w:type="default" r:id="rId13"/>
      <w:headerReference w:type="first" r:id="rId14"/>
      <w:footerReference w:type="first" r:id="rId15"/>
      <w:endnotePr>
        <w:numFmt w:val="decimal"/>
      </w:endnotePr>
      <w:pgSz w:w="11906" w:h="16838"/>
      <w:pgMar w:top="1115" w:right="1060" w:bottom="1115" w:left="106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E2ECD">
      <w:r>
        <w:separator/>
      </w:r>
    </w:p>
  </w:endnote>
  <w:endnote w:type="continuationSeparator" w:id="0">
    <w:p w:rsidR="00000000" w:rsidRDefault="000E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8C" w:rsidRDefault="000E2ECD">
    <w:pPr>
      <w:spacing w:before="105" w:after="105" w:line="314" w:lineRule="exact"/>
      <w:jc w:val="right"/>
      <w:rPr>
        <w:color w:val="000000"/>
        <w:sz w:val="20"/>
      </w:rPr>
    </w:pPr>
    <w:r>
      <w:rPr>
        <w:rFonts w:ascii="Arial" w:eastAsia="Arial" w:hAnsi="Arial" w:cs="Arial"/>
        <w:color w:val="000000"/>
        <w:sz w:val="20"/>
      </w:rPr>
      <w:t>Strona </w:t>
    </w:r>
    <w:r>
      <w:rPr>
        <w:rFonts w:ascii="Arial" w:eastAsia="Arial" w:hAnsi="Arial" w:cs="Arial"/>
        <w:color w:val="000000"/>
        <w:sz w:val="20"/>
      </w:rPr>
      <w:fldChar w:fldCharType="begin"/>
    </w:r>
    <w:r>
      <w:rPr>
        <w:rFonts w:ascii="Arial" w:eastAsia="Arial" w:hAnsi="Arial" w:cs="Arial"/>
        <w:color w:val="000000"/>
        <w:sz w:val="20"/>
      </w:rPr>
      <w:instrText>PAGE</w:instrText>
    </w:r>
    <w:r>
      <w:rPr>
        <w:rFonts w:ascii="Arial" w:eastAsia="Arial" w:hAnsi="Arial" w:cs="Arial"/>
        <w:color w:val="000000"/>
        <w:sz w:val="20"/>
      </w:rPr>
      <w:fldChar w:fldCharType="separate"/>
    </w:r>
    <w:r>
      <w:rPr>
        <w:rFonts w:ascii="Arial" w:eastAsia="Arial" w:hAnsi="Arial" w:cs="Arial"/>
        <w:noProof/>
        <w:color w:val="000000"/>
        <w:sz w:val="20"/>
      </w:rPr>
      <w:t>2</w:t>
    </w:r>
    <w:r>
      <w:rPr>
        <w:rFonts w:ascii="Arial" w:eastAsia="Arial" w:hAnsi="Arial" w:cs="Arial"/>
        <w:color w:val="000000"/>
        <w:sz w:val="20"/>
      </w:rPr>
      <w:fldChar w:fldCharType="end"/>
    </w:r>
    <w:r>
      <w:rPr>
        <w:rFonts w:ascii="Arial" w:eastAsia="Arial" w:hAnsi="Arial" w:cs="Arial"/>
        <w:color w:val="000000"/>
        <w:sz w:val="20"/>
      </w:rPr>
      <w:t xml:space="preserve"> z </w:t>
    </w:r>
    <w:r>
      <w:rPr>
        <w:rFonts w:ascii="Arial" w:eastAsia="Arial" w:hAnsi="Arial" w:cs="Arial"/>
        <w:color w:val="000000"/>
        <w:sz w:val="20"/>
      </w:rPr>
      <w:fldChar w:fldCharType="begin"/>
    </w:r>
    <w:r>
      <w:rPr>
        <w:rFonts w:ascii="Arial" w:eastAsia="Arial" w:hAnsi="Arial" w:cs="Arial"/>
        <w:color w:val="000000"/>
        <w:sz w:val="20"/>
      </w:rPr>
      <w:instrText>NUMPAGES</w:instrText>
    </w:r>
    <w:r>
      <w:rPr>
        <w:rFonts w:ascii="Arial" w:eastAsia="Arial" w:hAnsi="Arial" w:cs="Arial"/>
        <w:color w:val="000000"/>
        <w:sz w:val="20"/>
      </w:rPr>
      <w:fldChar w:fldCharType="separate"/>
    </w:r>
    <w:r>
      <w:rPr>
        <w:rFonts w:ascii="Arial" w:eastAsia="Arial" w:hAnsi="Arial" w:cs="Arial"/>
        <w:noProof/>
        <w:color w:val="000000"/>
        <w:sz w:val="20"/>
      </w:rPr>
      <w:t>5</w:t>
    </w:r>
    <w:r>
      <w:rPr>
        <w:rFonts w:ascii="Arial" w:eastAsia="Arial" w:hAnsi="Arial" w:cs="Arial"/>
        <w:color w:val="000000"/>
        <w:sz w:val="20"/>
      </w:rPr>
      <w:fldChar w:fldCharType="end"/>
    </w:r>
  </w:p>
  <w:p w:rsidR="00B3478C" w:rsidRDefault="000E2ECD">
    <w:pPr>
      <w:spacing w:before="105" w:after="300" w:line="314" w:lineRule="exact"/>
      <w:rPr>
        <w:color w:val="000000"/>
        <w:sz w:val="18"/>
      </w:rPr>
    </w:pPr>
    <w:r>
      <w:rPr>
        <w:color w:val="000000"/>
        <w:sz w:val="18"/>
      </w:rPr>
      <w:t>Id: 1CADC09D-182B-45A1-A2A4-FDA824927FF8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8C" w:rsidRDefault="000E2ECD">
    <w:pPr>
      <w:spacing w:before="105" w:after="105" w:line="314" w:lineRule="exact"/>
      <w:jc w:val="right"/>
      <w:rPr>
        <w:color w:val="000000"/>
        <w:sz w:val="20"/>
      </w:rPr>
    </w:pPr>
    <w:r>
      <w:rPr>
        <w:rFonts w:ascii="Arial" w:eastAsia="Arial" w:hAnsi="Arial" w:cs="Arial"/>
        <w:color w:val="000000"/>
        <w:sz w:val="20"/>
      </w:rPr>
      <w:t>Strona </w:t>
    </w:r>
    <w:r>
      <w:rPr>
        <w:rFonts w:ascii="Arial" w:eastAsia="Arial" w:hAnsi="Arial" w:cs="Arial"/>
        <w:color w:val="000000"/>
        <w:sz w:val="20"/>
      </w:rPr>
      <w:fldChar w:fldCharType="begin"/>
    </w:r>
    <w:r>
      <w:rPr>
        <w:rFonts w:ascii="Arial" w:eastAsia="Arial" w:hAnsi="Arial" w:cs="Arial"/>
        <w:color w:val="000000"/>
        <w:sz w:val="20"/>
      </w:rPr>
      <w:instrText>PAGE</w:instrText>
    </w:r>
    <w:r>
      <w:rPr>
        <w:rFonts w:ascii="Arial" w:eastAsia="Arial" w:hAnsi="Arial" w:cs="Arial"/>
        <w:color w:val="000000"/>
        <w:sz w:val="20"/>
      </w:rPr>
      <w:fldChar w:fldCharType="separate"/>
    </w:r>
    <w:r>
      <w:rPr>
        <w:rFonts w:ascii="Arial" w:eastAsia="Arial" w:hAnsi="Arial" w:cs="Arial"/>
        <w:noProof/>
        <w:color w:val="000000"/>
        <w:sz w:val="20"/>
      </w:rPr>
      <w:t>1</w:t>
    </w:r>
    <w:r>
      <w:rPr>
        <w:rFonts w:ascii="Arial" w:eastAsia="Arial" w:hAnsi="Arial" w:cs="Arial"/>
        <w:color w:val="000000"/>
        <w:sz w:val="20"/>
      </w:rPr>
      <w:fldChar w:fldCharType="end"/>
    </w:r>
    <w:r>
      <w:rPr>
        <w:rFonts w:ascii="Arial" w:eastAsia="Arial" w:hAnsi="Arial" w:cs="Arial"/>
        <w:color w:val="000000"/>
        <w:sz w:val="20"/>
      </w:rPr>
      <w:t xml:space="preserve"> z </w:t>
    </w:r>
    <w:r>
      <w:rPr>
        <w:rFonts w:ascii="Arial" w:eastAsia="Arial" w:hAnsi="Arial" w:cs="Arial"/>
        <w:color w:val="000000"/>
        <w:sz w:val="20"/>
      </w:rPr>
      <w:fldChar w:fldCharType="begin"/>
    </w:r>
    <w:r>
      <w:rPr>
        <w:rFonts w:ascii="Arial" w:eastAsia="Arial" w:hAnsi="Arial" w:cs="Arial"/>
        <w:color w:val="000000"/>
        <w:sz w:val="20"/>
      </w:rPr>
      <w:instrText>NUMPAGES</w:instrText>
    </w:r>
    <w:r>
      <w:rPr>
        <w:rFonts w:ascii="Arial" w:eastAsia="Arial" w:hAnsi="Arial" w:cs="Arial"/>
        <w:color w:val="000000"/>
        <w:sz w:val="20"/>
      </w:rPr>
      <w:fldChar w:fldCharType="separate"/>
    </w:r>
    <w:r>
      <w:rPr>
        <w:rFonts w:ascii="Arial" w:eastAsia="Arial" w:hAnsi="Arial" w:cs="Arial"/>
        <w:noProof/>
        <w:color w:val="000000"/>
        <w:sz w:val="20"/>
      </w:rPr>
      <w:t>5</w:t>
    </w:r>
    <w:r>
      <w:rPr>
        <w:rFonts w:ascii="Arial" w:eastAsia="Arial" w:hAnsi="Arial" w:cs="Arial"/>
        <w:color w:val="000000"/>
        <w:sz w:val="20"/>
      </w:rPr>
      <w:fldChar w:fldCharType="end"/>
    </w:r>
  </w:p>
  <w:p w:rsidR="00B3478C" w:rsidRDefault="000E2ECD">
    <w:pPr>
      <w:spacing w:before="105" w:after="300" w:line="314" w:lineRule="exact"/>
      <w:rPr>
        <w:color w:val="000000"/>
        <w:sz w:val="18"/>
      </w:rPr>
    </w:pPr>
    <w:r>
      <w:rPr>
        <w:color w:val="000000"/>
        <w:sz w:val="18"/>
      </w:rPr>
      <w:t>Id: 1CADC09D-182B-45A1-A2A4-FDA824927FF8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8C" w:rsidRDefault="000E2ECD">
    <w:pPr>
      <w:spacing w:before="105" w:after="105" w:line="314" w:lineRule="exact"/>
      <w:jc w:val="right"/>
      <w:rPr>
        <w:color w:val="000000"/>
        <w:sz w:val="20"/>
      </w:rPr>
    </w:pPr>
    <w:r>
      <w:rPr>
        <w:rFonts w:ascii="Arial" w:eastAsia="Arial" w:hAnsi="Arial" w:cs="Arial"/>
        <w:color w:val="000000"/>
        <w:sz w:val="20"/>
      </w:rPr>
      <w:t>Strona </w:t>
    </w:r>
    <w:r>
      <w:rPr>
        <w:rFonts w:ascii="Arial" w:eastAsia="Arial" w:hAnsi="Arial" w:cs="Arial"/>
        <w:color w:val="000000"/>
        <w:sz w:val="20"/>
      </w:rPr>
      <w:fldChar w:fldCharType="begin"/>
    </w:r>
    <w:r>
      <w:rPr>
        <w:rFonts w:ascii="Arial" w:eastAsia="Arial" w:hAnsi="Arial" w:cs="Arial"/>
        <w:color w:val="000000"/>
        <w:sz w:val="20"/>
      </w:rPr>
      <w:instrText>PAGE</w:instrText>
    </w:r>
    <w:r>
      <w:rPr>
        <w:rFonts w:ascii="Arial" w:eastAsia="Arial" w:hAnsi="Arial" w:cs="Arial"/>
        <w:color w:val="000000"/>
        <w:sz w:val="20"/>
      </w:rPr>
      <w:fldChar w:fldCharType="end"/>
    </w:r>
    <w:r>
      <w:rPr>
        <w:rFonts w:ascii="Arial" w:eastAsia="Arial" w:hAnsi="Arial" w:cs="Arial"/>
        <w:color w:val="000000"/>
        <w:sz w:val="20"/>
      </w:rPr>
      <w:t xml:space="preserve"> z </w:t>
    </w:r>
    <w:r>
      <w:rPr>
        <w:rFonts w:ascii="Arial" w:eastAsia="Arial" w:hAnsi="Arial" w:cs="Arial"/>
        <w:color w:val="000000"/>
        <w:sz w:val="20"/>
      </w:rPr>
      <w:fldChar w:fldCharType="begin"/>
    </w:r>
    <w:r>
      <w:rPr>
        <w:rFonts w:ascii="Arial" w:eastAsia="Arial" w:hAnsi="Arial" w:cs="Arial"/>
        <w:color w:val="000000"/>
        <w:sz w:val="20"/>
      </w:rPr>
      <w:instrText>NUMPAGES</w:instrText>
    </w:r>
    <w:r>
      <w:rPr>
        <w:rFonts w:ascii="Arial" w:eastAsia="Arial" w:hAnsi="Arial" w:cs="Arial"/>
        <w:color w:val="000000"/>
        <w:sz w:val="20"/>
      </w:rPr>
      <w:fldChar w:fldCharType="end"/>
    </w:r>
  </w:p>
  <w:p w:rsidR="00B3478C" w:rsidRDefault="000E2ECD">
    <w:pPr>
      <w:spacing w:before="105" w:after="300" w:line="314" w:lineRule="exact"/>
      <w:rPr>
        <w:color w:val="000000"/>
        <w:sz w:val="18"/>
      </w:rPr>
    </w:pPr>
    <w:r>
      <w:rPr>
        <w:color w:val="000000"/>
        <w:sz w:val="18"/>
      </w:rPr>
      <w:t>Id: 1CADC09D-182B-45A1-A2A4-FDA824927FF8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8C" w:rsidRDefault="000E2ECD">
    <w:pPr>
      <w:spacing w:before="105" w:after="105" w:line="314" w:lineRule="exact"/>
      <w:jc w:val="right"/>
      <w:rPr>
        <w:color w:val="000000"/>
        <w:sz w:val="20"/>
      </w:rPr>
    </w:pPr>
    <w:r>
      <w:rPr>
        <w:rFonts w:ascii="Arial" w:eastAsia="Arial" w:hAnsi="Arial" w:cs="Arial"/>
        <w:color w:val="000000"/>
        <w:sz w:val="20"/>
      </w:rPr>
      <w:t>Strona </w:t>
    </w:r>
    <w:r>
      <w:rPr>
        <w:rFonts w:ascii="Arial" w:eastAsia="Arial" w:hAnsi="Arial" w:cs="Arial"/>
        <w:color w:val="000000"/>
        <w:sz w:val="20"/>
      </w:rPr>
      <w:fldChar w:fldCharType="begin"/>
    </w:r>
    <w:r>
      <w:rPr>
        <w:rFonts w:ascii="Arial" w:eastAsia="Arial" w:hAnsi="Arial" w:cs="Arial"/>
        <w:color w:val="000000"/>
        <w:sz w:val="20"/>
      </w:rPr>
      <w:instrText>PAGE</w:instrText>
    </w:r>
    <w:r>
      <w:rPr>
        <w:rFonts w:ascii="Arial" w:eastAsia="Arial" w:hAnsi="Arial" w:cs="Arial"/>
        <w:color w:val="000000"/>
        <w:sz w:val="20"/>
      </w:rPr>
      <w:fldChar w:fldCharType="separate"/>
    </w:r>
    <w:r>
      <w:rPr>
        <w:rFonts w:ascii="Arial" w:eastAsia="Arial" w:hAnsi="Arial" w:cs="Arial"/>
        <w:noProof/>
        <w:color w:val="000000"/>
        <w:sz w:val="20"/>
      </w:rPr>
      <w:t>5</w:t>
    </w:r>
    <w:r>
      <w:rPr>
        <w:rFonts w:ascii="Arial" w:eastAsia="Arial" w:hAnsi="Arial" w:cs="Arial"/>
        <w:color w:val="000000"/>
        <w:sz w:val="20"/>
      </w:rPr>
      <w:fldChar w:fldCharType="end"/>
    </w:r>
    <w:r>
      <w:rPr>
        <w:rFonts w:ascii="Arial" w:eastAsia="Arial" w:hAnsi="Arial" w:cs="Arial"/>
        <w:color w:val="000000"/>
        <w:sz w:val="20"/>
      </w:rPr>
      <w:t xml:space="preserve"> z </w:t>
    </w:r>
    <w:r>
      <w:rPr>
        <w:rFonts w:ascii="Arial" w:eastAsia="Arial" w:hAnsi="Arial" w:cs="Arial"/>
        <w:color w:val="000000"/>
        <w:sz w:val="20"/>
      </w:rPr>
      <w:fldChar w:fldCharType="begin"/>
    </w:r>
    <w:r>
      <w:rPr>
        <w:rFonts w:ascii="Arial" w:eastAsia="Arial" w:hAnsi="Arial" w:cs="Arial"/>
        <w:color w:val="000000"/>
        <w:sz w:val="20"/>
      </w:rPr>
      <w:instrText>NUMPAGES</w:instrText>
    </w:r>
    <w:r>
      <w:rPr>
        <w:rFonts w:ascii="Arial" w:eastAsia="Arial" w:hAnsi="Arial" w:cs="Arial"/>
        <w:color w:val="000000"/>
        <w:sz w:val="20"/>
      </w:rPr>
      <w:fldChar w:fldCharType="separate"/>
    </w:r>
    <w:r>
      <w:rPr>
        <w:rFonts w:ascii="Arial" w:eastAsia="Arial" w:hAnsi="Arial" w:cs="Arial"/>
        <w:noProof/>
        <w:color w:val="000000"/>
        <w:sz w:val="20"/>
      </w:rPr>
      <w:t>5</w:t>
    </w:r>
    <w:r>
      <w:rPr>
        <w:rFonts w:ascii="Arial" w:eastAsia="Arial" w:hAnsi="Arial" w:cs="Arial"/>
        <w:color w:val="000000"/>
        <w:sz w:val="20"/>
      </w:rPr>
      <w:fldChar w:fldCharType="end"/>
    </w:r>
  </w:p>
  <w:p w:rsidR="00B3478C" w:rsidRDefault="000E2ECD">
    <w:pPr>
      <w:spacing w:before="105" w:after="300" w:line="314" w:lineRule="exact"/>
      <w:rPr>
        <w:color w:val="000000"/>
        <w:sz w:val="18"/>
      </w:rPr>
    </w:pPr>
    <w:r>
      <w:rPr>
        <w:color w:val="000000"/>
        <w:sz w:val="18"/>
      </w:rPr>
      <w:t>Id: 1CADC09D-182B-45A1-A2A4-FDA824927FF8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E2ECD">
      <w:r>
        <w:separator/>
      </w:r>
    </w:p>
  </w:footnote>
  <w:footnote w:type="continuationSeparator" w:id="0">
    <w:p w:rsidR="00000000" w:rsidRDefault="000E2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8C" w:rsidRDefault="00B3478C">
    <w:pPr>
      <w:spacing w:before="105" w:after="105" w:line="343"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8C" w:rsidRDefault="00B3478C">
    <w:pPr>
      <w:spacing w:before="105" w:after="105" w:line="343"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8C" w:rsidRDefault="00B3478C">
    <w:pPr>
      <w:spacing w:before="105" w:after="105" w:line="343"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8C" w:rsidRDefault="00B3478C">
    <w:pPr>
      <w:spacing w:before="105" w:after="105" w:line="343"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E2ECD"/>
    <w:rsid w:val="00A77B3E"/>
    <w:rsid w:val="00B3478C"/>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0798F5-1D43-4B2B-A1E7-1F116C79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rsid w:val="000E2EC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2EC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1163</Words>
  <Characters>6980</Characters>
  <Application>Microsoft Office Word</Application>
  <DocSecurity>0</DocSecurity>
  <Lines>58</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rozstrzygniecie nadzorcze PN.III.4131.1.2022</dc:title>
  <dc:creator>aradomska@opole.uw.gov.pl</dc:creator>
  <cp:lastModifiedBy>Małgorzata Kozak-Sceplik</cp:lastModifiedBy>
  <cp:revision>2</cp:revision>
  <dcterms:created xsi:type="dcterms:W3CDTF">2022-03-17T09:04:00Z</dcterms:created>
  <dcterms:modified xsi:type="dcterms:W3CDTF">2022-03-17T09:09:00Z</dcterms:modified>
</cp:coreProperties>
</file>