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4E668232" w:rsidR="002C5784" w:rsidRPr="00751827" w:rsidRDefault="002C5784" w:rsidP="00BB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 xml:space="preserve">Powiatowy 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Państwowej Straży Pożarnej w 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>Oleśnicy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>Kopernika 4, 56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>tel. 71 3</w:t>
            </w:r>
            <w:r w:rsidR="00BB6159">
              <w:rPr>
                <w:rFonts w:ascii="Times New Roman" w:hAnsi="Times New Roman" w:cs="Times New Roman"/>
                <w:sz w:val="24"/>
                <w:szCs w:val="24"/>
              </w:rPr>
              <w:t>142091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 w:rsidR="00BB6159" w:rsidRPr="007A32A8">
                <w:rPr>
                  <w:rStyle w:val="Hipercze"/>
                </w:rPr>
                <w:t>sekretariat</w:t>
              </w:r>
              <w:r w:rsidR="00BB6159" w:rsidRPr="007A32A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@straz.olesnica.pl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7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2D9CD121" w:rsidR="006A065F" w:rsidRPr="00597A38" w:rsidRDefault="006A065F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A38">
              <w:rPr>
                <w:rFonts w:ascii="Times New Roman" w:hAnsi="Times New Roman"/>
                <w:sz w:val="24"/>
                <w:szCs w:val="24"/>
              </w:rPr>
              <w:t>Szanując prywatność Pani/Pana oraz innych osób, do których Pani/Pan może odwołać się podczas komunikacji z nami prosimy, aby w korespondencji przekazywanej do K</w:t>
            </w:r>
            <w:r w:rsidR="00597A38">
              <w:rPr>
                <w:rFonts w:ascii="Times New Roman" w:hAnsi="Times New Roman"/>
                <w:sz w:val="24"/>
                <w:szCs w:val="24"/>
              </w:rPr>
              <w:t>P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 xml:space="preserve"> PSP w </w:t>
            </w:r>
            <w:r w:rsidR="00597A38">
              <w:rPr>
                <w:rFonts w:ascii="Times New Roman" w:hAnsi="Times New Roman"/>
                <w:sz w:val="24"/>
                <w:szCs w:val="24"/>
              </w:rPr>
              <w:t>Oleśnicy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 xml:space="preserve"> podawać wyłącznie dane niezbędne do obsługi skargi/wniosku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. W szczególności jeżeli nie jest to konieczne i niezbędne do sporządzenia i rozpatrzenia skargi/wniosku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, nie należy wskazywać danych szczególnej kategorii, np. danych dotyczących zdrowia.</w:t>
            </w:r>
            <w:r w:rsidR="00024B56" w:rsidRPr="0059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B6D3F" w14:textId="2ACE4516" w:rsidR="006A065F" w:rsidRPr="00EB29B8" w:rsidRDefault="006A065F" w:rsidP="00597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A38">
              <w:rPr>
                <w:rFonts w:ascii="Times New Roman" w:hAnsi="Times New Roman"/>
                <w:sz w:val="24"/>
                <w:szCs w:val="24"/>
              </w:rPr>
              <w:t>Podanie przez Panią/Pana z własnej inicjatywy danych nadmiarowych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w tym danych szczególnej kategorii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oznacza, że ma Pani/Pan świadomość, że Administrator uzyskuje dostęp do tych danych. Dane takie przetwarzane są przez K</w:t>
            </w:r>
            <w:r w:rsidR="00597A38">
              <w:rPr>
                <w:rFonts w:ascii="Times New Roman" w:hAnsi="Times New Roman"/>
                <w:sz w:val="24"/>
                <w:szCs w:val="24"/>
              </w:rPr>
              <w:t>P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 xml:space="preserve"> PSP w </w:t>
            </w:r>
            <w:r w:rsidR="00597A38">
              <w:rPr>
                <w:rFonts w:ascii="Times New Roman" w:hAnsi="Times New Roman"/>
                <w:sz w:val="24"/>
                <w:szCs w:val="24"/>
              </w:rPr>
              <w:t>Oleśnicy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 xml:space="preserve"> 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597A38"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597A38">
              <w:rPr>
                <w:rFonts w:ascii="Times New Roman" w:hAnsi="Times New Roman"/>
                <w:sz w:val="24"/>
                <w:szCs w:val="24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463D1C75" w:rsidR="006A065F" w:rsidRPr="006A65B8" w:rsidRDefault="002149B4" w:rsidP="00597A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bookmarkStart w:id="2" w:name="_GoBack"/>
            <w:bookmarkEnd w:id="2"/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97A38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BB6159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oles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Andrzej Fischer</cp:lastModifiedBy>
  <cp:revision>3</cp:revision>
  <cp:lastPrinted>2023-06-30T07:00:00Z</cp:lastPrinted>
  <dcterms:created xsi:type="dcterms:W3CDTF">2024-02-19T09:03:00Z</dcterms:created>
  <dcterms:modified xsi:type="dcterms:W3CDTF">2024-02-19T11:05:00Z</dcterms:modified>
</cp:coreProperties>
</file>