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800" w:rsidRPr="00F412D2" w:rsidRDefault="00851800" w:rsidP="008C542B">
      <w:pPr>
        <w:spacing w:before="120" w:after="0" w:line="240" w:lineRule="exact"/>
        <w:jc w:val="center"/>
        <w:rPr>
          <w:rFonts w:ascii="Arial" w:hAnsi="Arial" w:cs="Arial"/>
          <w:b/>
        </w:rPr>
      </w:pPr>
      <w:r w:rsidRPr="00F412D2">
        <w:rPr>
          <w:rFonts w:ascii="Arial" w:hAnsi="Arial" w:cs="Arial"/>
          <w:b/>
        </w:rPr>
        <w:t xml:space="preserve">Uchwała Nr </w:t>
      </w:r>
      <w:r w:rsidR="00D66906">
        <w:rPr>
          <w:rFonts w:ascii="Arial" w:hAnsi="Arial" w:cs="Arial"/>
          <w:b/>
        </w:rPr>
        <w:t>12/2017</w:t>
      </w:r>
    </w:p>
    <w:p w:rsidR="00851800" w:rsidRPr="00F412D2" w:rsidRDefault="00851800" w:rsidP="008C542B">
      <w:pPr>
        <w:spacing w:before="120" w:after="0" w:line="240" w:lineRule="exact"/>
        <w:jc w:val="center"/>
        <w:rPr>
          <w:rFonts w:ascii="Arial" w:hAnsi="Arial" w:cs="Arial"/>
          <w:b/>
        </w:rPr>
      </w:pPr>
      <w:r w:rsidRPr="00F412D2">
        <w:rPr>
          <w:rFonts w:ascii="Arial" w:hAnsi="Arial" w:cs="Arial"/>
          <w:b/>
        </w:rPr>
        <w:t>Nadzwyczajnego Walnego Zgromadzenia</w:t>
      </w:r>
    </w:p>
    <w:p w:rsidR="00851800" w:rsidRPr="00F412D2" w:rsidRDefault="00807D83" w:rsidP="008C542B">
      <w:pPr>
        <w:spacing w:before="120" w:after="0" w:line="240" w:lineRule="exact"/>
        <w:jc w:val="center"/>
        <w:rPr>
          <w:rFonts w:ascii="Arial" w:hAnsi="Arial" w:cs="Arial"/>
          <w:b/>
        </w:rPr>
      </w:pPr>
      <w:r>
        <w:rPr>
          <w:rFonts w:ascii="Arial" w:hAnsi="Arial" w:cs="Arial"/>
          <w:b/>
        </w:rPr>
        <w:t>Spółki „Polskie Koleje Państwowe Spółka Akcyjna”</w:t>
      </w:r>
    </w:p>
    <w:p w:rsidR="00851800" w:rsidRPr="00F412D2" w:rsidRDefault="00851800" w:rsidP="008C542B">
      <w:pPr>
        <w:spacing w:before="120" w:after="0" w:line="240" w:lineRule="exact"/>
        <w:jc w:val="center"/>
        <w:rPr>
          <w:rFonts w:ascii="Arial" w:hAnsi="Arial" w:cs="Arial"/>
          <w:b/>
        </w:rPr>
      </w:pPr>
      <w:r w:rsidRPr="00F412D2">
        <w:rPr>
          <w:rFonts w:ascii="Arial" w:hAnsi="Arial" w:cs="Arial"/>
          <w:b/>
        </w:rPr>
        <w:t xml:space="preserve">z dnia </w:t>
      </w:r>
      <w:r w:rsidR="00D66906">
        <w:rPr>
          <w:rFonts w:ascii="Arial" w:hAnsi="Arial" w:cs="Arial"/>
          <w:b/>
        </w:rPr>
        <w:t>5 czerwca 2017 r.</w:t>
      </w:r>
    </w:p>
    <w:p w:rsidR="00D66906" w:rsidRDefault="00D66906" w:rsidP="008C542B">
      <w:pPr>
        <w:spacing w:before="120" w:after="0" w:line="240" w:lineRule="exact"/>
        <w:ind w:right="283"/>
        <w:jc w:val="center"/>
        <w:rPr>
          <w:rFonts w:ascii="Arial" w:hAnsi="Arial" w:cs="Arial"/>
          <w:b/>
        </w:rPr>
      </w:pPr>
      <w:r w:rsidRPr="00D66906">
        <w:rPr>
          <w:rFonts w:ascii="Arial" w:hAnsi="Arial" w:cs="Arial"/>
          <w:b/>
        </w:rPr>
        <w:t>w sprawie ustalenia za</w:t>
      </w:r>
      <w:r>
        <w:rPr>
          <w:rFonts w:ascii="Arial" w:hAnsi="Arial" w:cs="Arial"/>
          <w:b/>
        </w:rPr>
        <w:t>sad kształtowania wynagrodzenia</w:t>
      </w:r>
    </w:p>
    <w:p w:rsidR="00D66906" w:rsidRPr="00D66906" w:rsidRDefault="00D66906" w:rsidP="008C542B">
      <w:pPr>
        <w:spacing w:before="120" w:after="0" w:line="240" w:lineRule="exact"/>
        <w:ind w:right="283"/>
        <w:jc w:val="center"/>
        <w:rPr>
          <w:rFonts w:ascii="Arial" w:hAnsi="Arial" w:cs="Arial"/>
          <w:b/>
        </w:rPr>
      </w:pPr>
      <w:r w:rsidRPr="00D66906">
        <w:rPr>
          <w:rFonts w:ascii="Arial" w:hAnsi="Arial" w:cs="Arial"/>
          <w:b/>
        </w:rPr>
        <w:t>Prezesa i Członków Zarządu PKP SA</w:t>
      </w:r>
    </w:p>
    <w:p w:rsidR="00D66906" w:rsidRPr="00166566" w:rsidRDefault="00D66906" w:rsidP="00D66906">
      <w:pPr>
        <w:spacing w:before="60" w:line="240" w:lineRule="exact"/>
        <w:ind w:right="283"/>
        <w:jc w:val="both"/>
        <w:rPr>
          <w:rFonts w:ascii="Arial" w:hAnsi="Arial" w:cs="Arial"/>
        </w:rPr>
      </w:pPr>
    </w:p>
    <w:p w:rsidR="00D66906" w:rsidRPr="00166566" w:rsidRDefault="00D66906" w:rsidP="00D66906">
      <w:pPr>
        <w:spacing w:before="60" w:line="240" w:lineRule="exact"/>
        <w:ind w:right="283"/>
        <w:jc w:val="both"/>
        <w:rPr>
          <w:rFonts w:ascii="Arial" w:hAnsi="Arial" w:cs="Arial"/>
        </w:rPr>
      </w:pPr>
      <w:r w:rsidRPr="00166566">
        <w:rPr>
          <w:rFonts w:ascii="Arial" w:hAnsi="Arial" w:cs="Arial"/>
        </w:rPr>
        <w:t>Działając na podstawie art. 378 § 2 Kodeksu spółek handlowych (KSH) w związku z § 30 ust. 1 pkt 20 Statutu PKP S.A. oraz art. 379 § 1 KSH, a także zgodnie z postanowieniami ustawy z dnia 9 czerwca 2016 r. o zasadach kształtowania wynagrodzeń osób kierujących niektórymi spółkami - Dz.U. poz. 1202 i poz. 2260, (dalej jako: „</w:t>
      </w:r>
      <w:r w:rsidRPr="00166566">
        <w:rPr>
          <w:rFonts w:ascii="Arial" w:hAnsi="Arial" w:cs="Arial"/>
          <w:b/>
        </w:rPr>
        <w:t>Ustawa</w:t>
      </w:r>
      <w:r w:rsidRPr="00166566">
        <w:rPr>
          <w:rFonts w:ascii="Arial" w:hAnsi="Arial" w:cs="Arial"/>
        </w:rPr>
        <w:t>”), Nadzwyczajne Walne Zgromadzenie Spółki uchwala, co następuje:</w:t>
      </w:r>
    </w:p>
    <w:p w:rsidR="00D66906" w:rsidRPr="00166566" w:rsidRDefault="00D66906" w:rsidP="00D66906">
      <w:pPr>
        <w:spacing w:before="60" w:line="240" w:lineRule="exact"/>
        <w:ind w:right="283"/>
        <w:jc w:val="center"/>
        <w:rPr>
          <w:rFonts w:ascii="Arial" w:hAnsi="Arial" w:cs="Arial"/>
        </w:rPr>
      </w:pPr>
      <w:r w:rsidRPr="00166566">
        <w:rPr>
          <w:rFonts w:ascii="Arial" w:hAnsi="Arial" w:cs="Arial"/>
        </w:rPr>
        <w:t>§ 1.</w:t>
      </w:r>
    </w:p>
    <w:p w:rsidR="00D66906" w:rsidRPr="00166566" w:rsidRDefault="00D66906" w:rsidP="00D66906">
      <w:pPr>
        <w:pStyle w:val="Akapitzlist"/>
        <w:numPr>
          <w:ilvl w:val="0"/>
          <w:numId w:val="9"/>
        </w:numPr>
        <w:spacing w:before="60" w:line="240" w:lineRule="exact"/>
        <w:ind w:left="426" w:right="284" w:hanging="250"/>
        <w:jc w:val="both"/>
        <w:rPr>
          <w:rFonts w:ascii="Arial" w:hAnsi="Arial" w:cs="Arial"/>
          <w:sz w:val="20"/>
          <w:szCs w:val="20"/>
        </w:rPr>
      </w:pPr>
      <w:r w:rsidRPr="00166566">
        <w:rPr>
          <w:rFonts w:ascii="Arial" w:hAnsi="Arial" w:cs="Arial"/>
          <w:sz w:val="20"/>
          <w:szCs w:val="20"/>
        </w:rPr>
        <w:t>Z osobą powołaną uchwałą Walnego Zgromadzenia PKP Spółka Akcyjna (dalej jako „</w:t>
      </w:r>
      <w:r w:rsidRPr="00166566">
        <w:rPr>
          <w:rFonts w:ascii="Arial" w:hAnsi="Arial" w:cs="Arial"/>
          <w:b/>
          <w:sz w:val="20"/>
          <w:szCs w:val="20"/>
        </w:rPr>
        <w:t>Spółka</w:t>
      </w:r>
      <w:r w:rsidRPr="00166566">
        <w:rPr>
          <w:rFonts w:ascii="Arial" w:hAnsi="Arial" w:cs="Arial"/>
          <w:sz w:val="20"/>
          <w:szCs w:val="20"/>
        </w:rPr>
        <w:t>” lub „</w:t>
      </w:r>
      <w:r w:rsidRPr="00166566">
        <w:rPr>
          <w:rFonts w:ascii="Arial" w:hAnsi="Arial" w:cs="Arial"/>
          <w:b/>
          <w:sz w:val="20"/>
          <w:szCs w:val="20"/>
        </w:rPr>
        <w:t>PKP SA</w:t>
      </w:r>
      <w:r w:rsidRPr="00166566">
        <w:rPr>
          <w:rFonts w:ascii="Arial" w:hAnsi="Arial" w:cs="Arial"/>
          <w:sz w:val="20"/>
          <w:szCs w:val="20"/>
        </w:rPr>
        <w:t>”) do składu Zarządu Spółki zawierana jest na czas pełnienia funkcji, umowa o świadczenie usług zarządzania (dalej jako: „</w:t>
      </w:r>
      <w:r w:rsidRPr="00166566">
        <w:rPr>
          <w:rFonts w:ascii="Arial" w:hAnsi="Arial" w:cs="Arial"/>
          <w:b/>
          <w:sz w:val="20"/>
          <w:szCs w:val="20"/>
        </w:rPr>
        <w:t>Umowa</w:t>
      </w:r>
      <w:r w:rsidRPr="00166566">
        <w:rPr>
          <w:rFonts w:ascii="Arial" w:hAnsi="Arial" w:cs="Arial"/>
          <w:sz w:val="20"/>
          <w:szCs w:val="20"/>
        </w:rPr>
        <w:t>” lub „</w:t>
      </w:r>
      <w:r w:rsidRPr="00166566">
        <w:rPr>
          <w:rFonts w:ascii="Arial" w:hAnsi="Arial" w:cs="Arial"/>
          <w:b/>
          <w:sz w:val="20"/>
          <w:szCs w:val="20"/>
        </w:rPr>
        <w:t>Kontrakt</w:t>
      </w:r>
      <w:r w:rsidRPr="00166566">
        <w:rPr>
          <w:rFonts w:ascii="Arial" w:hAnsi="Arial" w:cs="Arial"/>
          <w:sz w:val="20"/>
          <w:szCs w:val="20"/>
        </w:rPr>
        <w:t>”), bez względu na to czy osoba ta działa w zakresie prowadzonej działalności gospodarczej.</w:t>
      </w:r>
    </w:p>
    <w:p w:rsidR="00D66906" w:rsidRPr="00166566" w:rsidRDefault="00D66906" w:rsidP="00D66906">
      <w:pPr>
        <w:pStyle w:val="Akapitzlist"/>
        <w:numPr>
          <w:ilvl w:val="0"/>
          <w:numId w:val="9"/>
        </w:numPr>
        <w:spacing w:before="60" w:line="240" w:lineRule="exact"/>
        <w:ind w:left="426" w:right="284" w:hanging="250"/>
        <w:jc w:val="both"/>
        <w:rPr>
          <w:rFonts w:ascii="Arial" w:hAnsi="Arial" w:cs="Arial"/>
          <w:sz w:val="20"/>
          <w:szCs w:val="20"/>
        </w:rPr>
      </w:pPr>
      <w:r w:rsidRPr="00166566">
        <w:rPr>
          <w:rFonts w:ascii="Arial" w:hAnsi="Arial" w:cs="Arial"/>
          <w:sz w:val="20"/>
          <w:szCs w:val="20"/>
        </w:rPr>
        <w:t>Treść Umowy określa Rada Nadzorcza Spółki na warunkach określonych w Ustawie oraz zgodnie z postanowieniami niniejszej uchwały.</w:t>
      </w:r>
    </w:p>
    <w:p w:rsidR="00D66906" w:rsidRPr="00166566" w:rsidRDefault="00D66906" w:rsidP="00D66906">
      <w:pPr>
        <w:spacing w:before="60" w:line="240" w:lineRule="exact"/>
        <w:ind w:right="284"/>
        <w:jc w:val="center"/>
        <w:rPr>
          <w:rFonts w:ascii="Arial" w:hAnsi="Arial" w:cs="Arial"/>
        </w:rPr>
      </w:pPr>
      <w:r w:rsidRPr="00166566">
        <w:rPr>
          <w:rFonts w:ascii="Arial" w:hAnsi="Arial" w:cs="Arial"/>
        </w:rPr>
        <w:t>§ 2.</w:t>
      </w:r>
    </w:p>
    <w:p w:rsidR="00D66906" w:rsidRPr="00166566" w:rsidRDefault="00D66906" w:rsidP="00D66906">
      <w:pPr>
        <w:pStyle w:val="Akapitzlist"/>
        <w:numPr>
          <w:ilvl w:val="0"/>
          <w:numId w:val="8"/>
        </w:numPr>
        <w:spacing w:before="60" w:line="240" w:lineRule="exact"/>
        <w:ind w:left="426" w:right="284" w:hanging="250"/>
        <w:jc w:val="both"/>
        <w:rPr>
          <w:rFonts w:ascii="Arial" w:hAnsi="Arial" w:cs="Arial"/>
          <w:sz w:val="20"/>
          <w:szCs w:val="20"/>
        </w:rPr>
      </w:pPr>
      <w:r w:rsidRPr="00166566">
        <w:rPr>
          <w:rFonts w:ascii="Arial" w:hAnsi="Arial" w:cs="Arial"/>
          <w:sz w:val="20"/>
          <w:szCs w:val="20"/>
        </w:rPr>
        <w:t>Prezesowi i Członkowi Zarządu Spółki (dalej każdy jako: „</w:t>
      </w:r>
      <w:r w:rsidRPr="00166566">
        <w:rPr>
          <w:rFonts w:ascii="Arial" w:hAnsi="Arial" w:cs="Arial"/>
          <w:b/>
          <w:sz w:val="20"/>
          <w:szCs w:val="20"/>
        </w:rPr>
        <w:t>Zarządzający</w:t>
      </w:r>
      <w:r w:rsidRPr="00166566">
        <w:rPr>
          <w:rFonts w:ascii="Arial" w:hAnsi="Arial" w:cs="Arial"/>
          <w:sz w:val="20"/>
          <w:szCs w:val="20"/>
        </w:rPr>
        <w:t>”) przysługuje wynagrodzenie składające się z części stałej, stanowiącej wynagrodzenie miesięczne podstawowe (dalej jako: „</w:t>
      </w:r>
      <w:r w:rsidRPr="00166566">
        <w:rPr>
          <w:rFonts w:ascii="Arial" w:hAnsi="Arial" w:cs="Arial"/>
          <w:b/>
          <w:sz w:val="20"/>
          <w:szCs w:val="20"/>
        </w:rPr>
        <w:t>Wynagrodzenie Podstawowe</w:t>
      </w:r>
      <w:r w:rsidRPr="00166566">
        <w:rPr>
          <w:rFonts w:ascii="Arial" w:hAnsi="Arial" w:cs="Arial"/>
          <w:sz w:val="20"/>
          <w:szCs w:val="20"/>
        </w:rPr>
        <w:t>”) oraz części zmiennej, stanowiącej wynagrodzenie uzupełniające za rok obrotowy (dalej jako: „</w:t>
      </w:r>
      <w:r w:rsidRPr="00166566">
        <w:rPr>
          <w:rFonts w:ascii="Arial" w:hAnsi="Arial" w:cs="Arial"/>
          <w:b/>
          <w:sz w:val="20"/>
          <w:szCs w:val="20"/>
        </w:rPr>
        <w:t>Premia</w:t>
      </w:r>
      <w:r w:rsidRPr="00166566">
        <w:rPr>
          <w:rFonts w:ascii="Arial" w:hAnsi="Arial" w:cs="Arial"/>
          <w:sz w:val="20"/>
          <w:szCs w:val="20"/>
        </w:rPr>
        <w:t>”).</w:t>
      </w:r>
    </w:p>
    <w:p w:rsidR="00D66906" w:rsidRPr="00166566" w:rsidRDefault="00D66906" w:rsidP="00D66906">
      <w:pPr>
        <w:pStyle w:val="Akapitzlist"/>
        <w:numPr>
          <w:ilvl w:val="0"/>
          <w:numId w:val="8"/>
        </w:numPr>
        <w:spacing w:before="60" w:line="240" w:lineRule="exact"/>
        <w:ind w:left="426" w:right="284" w:hanging="250"/>
        <w:jc w:val="both"/>
        <w:rPr>
          <w:rFonts w:ascii="Arial" w:hAnsi="Arial" w:cs="Arial"/>
          <w:sz w:val="20"/>
          <w:szCs w:val="20"/>
        </w:rPr>
      </w:pPr>
      <w:r w:rsidRPr="00166566">
        <w:rPr>
          <w:rFonts w:ascii="Arial" w:hAnsi="Arial" w:cs="Arial"/>
          <w:sz w:val="20"/>
          <w:szCs w:val="20"/>
        </w:rPr>
        <w:t>Wynagrodzenie Podstawowe ustala się odpowiednio dla:</w:t>
      </w:r>
    </w:p>
    <w:p w:rsidR="00D66906" w:rsidRPr="00166566" w:rsidRDefault="00D66906" w:rsidP="00D66906">
      <w:pPr>
        <w:pStyle w:val="Akapitzlist"/>
        <w:numPr>
          <w:ilvl w:val="0"/>
          <w:numId w:val="10"/>
        </w:numPr>
        <w:spacing w:before="60" w:line="240" w:lineRule="exact"/>
        <w:ind w:left="743" w:right="284" w:hanging="283"/>
        <w:jc w:val="both"/>
        <w:rPr>
          <w:rFonts w:ascii="Arial" w:hAnsi="Arial" w:cs="Arial"/>
          <w:sz w:val="20"/>
          <w:szCs w:val="20"/>
        </w:rPr>
      </w:pPr>
      <w:r w:rsidRPr="00166566">
        <w:rPr>
          <w:rFonts w:ascii="Arial" w:hAnsi="Arial" w:cs="Arial"/>
          <w:sz w:val="20"/>
          <w:szCs w:val="20"/>
        </w:rPr>
        <w:t xml:space="preserve">Prezesa Zarządu Spółki w wysokości </w:t>
      </w:r>
      <w:r w:rsidRPr="00166566">
        <w:rPr>
          <w:rFonts w:ascii="Arial" w:hAnsi="Arial" w:cs="Arial"/>
          <w:sz w:val="20"/>
          <w:szCs w:val="20"/>
          <w:lang w:val="pl-PL"/>
        </w:rPr>
        <w:t>4</w:t>
      </w:r>
      <w:r>
        <w:rPr>
          <w:rFonts w:ascii="Arial" w:hAnsi="Arial" w:cs="Arial"/>
          <w:sz w:val="20"/>
          <w:szCs w:val="20"/>
          <w:lang w:val="pl-PL"/>
        </w:rPr>
        <w:t>9</w:t>
      </w:r>
      <w:r w:rsidRPr="00166566">
        <w:rPr>
          <w:rFonts w:ascii="Arial" w:hAnsi="Arial" w:cs="Arial"/>
          <w:sz w:val="20"/>
          <w:szCs w:val="20"/>
          <w:lang w:val="pl-PL"/>
        </w:rPr>
        <w:t xml:space="preserve">.000,00 </w:t>
      </w:r>
      <w:r w:rsidRPr="00166566">
        <w:rPr>
          <w:rFonts w:ascii="Arial" w:hAnsi="Arial" w:cs="Arial"/>
          <w:sz w:val="20"/>
          <w:szCs w:val="20"/>
        </w:rPr>
        <w:t xml:space="preserve">(słownie: </w:t>
      </w:r>
      <w:r w:rsidRPr="00166566">
        <w:rPr>
          <w:rFonts w:ascii="Arial" w:hAnsi="Arial" w:cs="Arial"/>
          <w:sz w:val="20"/>
          <w:szCs w:val="20"/>
          <w:lang w:val="pl-PL"/>
        </w:rPr>
        <w:t xml:space="preserve">czterdzieści </w:t>
      </w:r>
      <w:r>
        <w:rPr>
          <w:rFonts w:ascii="Arial" w:hAnsi="Arial" w:cs="Arial"/>
          <w:sz w:val="20"/>
          <w:szCs w:val="20"/>
          <w:lang w:val="pl-PL"/>
        </w:rPr>
        <w:t xml:space="preserve">dziewięć </w:t>
      </w:r>
      <w:r w:rsidRPr="00166566">
        <w:rPr>
          <w:rFonts w:ascii="Arial" w:hAnsi="Arial" w:cs="Arial"/>
          <w:sz w:val="20"/>
          <w:szCs w:val="20"/>
          <w:lang w:val="pl-PL"/>
        </w:rPr>
        <w:t>tysięcy</w:t>
      </w:r>
      <w:r>
        <w:rPr>
          <w:rFonts w:ascii="Arial" w:hAnsi="Arial" w:cs="Arial"/>
          <w:sz w:val="20"/>
          <w:szCs w:val="20"/>
          <w:lang w:val="pl-PL"/>
        </w:rPr>
        <w:t>)</w:t>
      </w:r>
      <w:r w:rsidRPr="00166566">
        <w:rPr>
          <w:rFonts w:ascii="Arial" w:hAnsi="Arial" w:cs="Arial"/>
          <w:sz w:val="20"/>
          <w:szCs w:val="20"/>
          <w:lang w:val="pl-PL"/>
        </w:rPr>
        <w:t xml:space="preserve"> </w:t>
      </w:r>
      <w:r w:rsidRPr="00166566">
        <w:rPr>
          <w:rFonts w:ascii="Arial" w:hAnsi="Arial" w:cs="Arial"/>
          <w:sz w:val="20"/>
          <w:szCs w:val="20"/>
        </w:rPr>
        <w:t>złotych;</w:t>
      </w:r>
    </w:p>
    <w:p w:rsidR="00D66906" w:rsidRPr="00166566" w:rsidRDefault="00D66906" w:rsidP="00D66906">
      <w:pPr>
        <w:pStyle w:val="Akapitzlist"/>
        <w:numPr>
          <w:ilvl w:val="0"/>
          <w:numId w:val="10"/>
        </w:numPr>
        <w:spacing w:before="60" w:line="240" w:lineRule="exact"/>
        <w:ind w:left="743" w:right="284" w:hanging="283"/>
        <w:jc w:val="both"/>
        <w:rPr>
          <w:rFonts w:ascii="Arial" w:hAnsi="Arial" w:cs="Arial"/>
          <w:sz w:val="20"/>
          <w:szCs w:val="20"/>
        </w:rPr>
      </w:pPr>
      <w:r w:rsidRPr="00166566">
        <w:rPr>
          <w:rFonts w:ascii="Arial" w:hAnsi="Arial" w:cs="Arial"/>
          <w:sz w:val="20"/>
          <w:szCs w:val="20"/>
        </w:rPr>
        <w:t xml:space="preserve">Członka Zarządu Spółki w wysokości </w:t>
      </w:r>
      <w:r>
        <w:rPr>
          <w:rFonts w:ascii="Arial" w:hAnsi="Arial" w:cs="Arial"/>
          <w:sz w:val="20"/>
          <w:szCs w:val="20"/>
          <w:lang w:val="pl-PL"/>
        </w:rPr>
        <w:t>47.</w:t>
      </w:r>
      <w:r w:rsidRPr="00166566">
        <w:rPr>
          <w:rFonts w:ascii="Arial" w:hAnsi="Arial" w:cs="Arial"/>
          <w:sz w:val="20"/>
          <w:szCs w:val="20"/>
          <w:lang w:val="pl-PL"/>
        </w:rPr>
        <w:t xml:space="preserve">000,00 </w:t>
      </w:r>
      <w:r w:rsidRPr="00166566">
        <w:rPr>
          <w:rFonts w:ascii="Arial" w:hAnsi="Arial" w:cs="Arial"/>
          <w:sz w:val="20"/>
          <w:szCs w:val="20"/>
        </w:rPr>
        <w:t xml:space="preserve">(słownie: </w:t>
      </w:r>
      <w:r>
        <w:rPr>
          <w:rFonts w:ascii="Arial" w:hAnsi="Arial" w:cs="Arial"/>
          <w:sz w:val="20"/>
          <w:szCs w:val="20"/>
          <w:lang w:val="pl-PL"/>
        </w:rPr>
        <w:t xml:space="preserve">czterdzieści siedem </w:t>
      </w:r>
      <w:r w:rsidRPr="00166566">
        <w:rPr>
          <w:rFonts w:ascii="Arial" w:hAnsi="Arial" w:cs="Arial"/>
          <w:sz w:val="20"/>
          <w:szCs w:val="20"/>
          <w:lang w:val="pl-PL"/>
        </w:rPr>
        <w:t xml:space="preserve">tysięcy) </w:t>
      </w:r>
      <w:r w:rsidRPr="00166566">
        <w:rPr>
          <w:rFonts w:ascii="Arial" w:hAnsi="Arial" w:cs="Arial"/>
          <w:sz w:val="20"/>
          <w:szCs w:val="20"/>
        </w:rPr>
        <w:t>złotych.</w:t>
      </w:r>
    </w:p>
    <w:p w:rsidR="00D66906" w:rsidRPr="00166566" w:rsidRDefault="00D66906" w:rsidP="00D66906">
      <w:pPr>
        <w:spacing w:before="60" w:line="240" w:lineRule="exact"/>
        <w:ind w:right="284"/>
        <w:jc w:val="center"/>
        <w:rPr>
          <w:rFonts w:ascii="Arial" w:hAnsi="Arial" w:cs="Arial"/>
        </w:rPr>
      </w:pPr>
      <w:r w:rsidRPr="00166566">
        <w:rPr>
          <w:rFonts w:ascii="Arial" w:hAnsi="Arial" w:cs="Arial"/>
        </w:rPr>
        <w:t>§ 3.</w:t>
      </w:r>
    </w:p>
    <w:p w:rsidR="00D66906" w:rsidRPr="00166566" w:rsidRDefault="00D66906" w:rsidP="00D66906">
      <w:pPr>
        <w:pStyle w:val="Akapitzlist"/>
        <w:numPr>
          <w:ilvl w:val="0"/>
          <w:numId w:val="11"/>
        </w:numPr>
        <w:spacing w:before="60" w:line="240" w:lineRule="exact"/>
        <w:ind w:left="426" w:right="284" w:hanging="250"/>
        <w:jc w:val="both"/>
        <w:rPr>
          <w:rFonts w:ascii="Arial" w:hAnsi="Arial" w:cs="Arial"/>
          <w:sz w:val="20"/>
          <w:szCs w:val="20"/>
        </w:rPr>
      </w:pPr>
      <w:r w:rsidRPr="00166566">
        <w:rPr>
          <w:rFonts w:ascii="Arial" w:hAnsi="Arial" w:cs="Arial"/>
          <w:sz w:val="20"/>
          <w:szCs w:val="20"/>
        </w:rPr>
        <w:t>Premia przysługuje Zarządzającemu w związku z realizacją celów zarządczych o szczególnym znaczeniu dla Spółki oraz jej Grupy Kapitałowej (dalej jako „</w:t>
      </w:r>
      <w:r w:rsidRPr="00166566">
        <w:rPr>
          <w:rFonts w:ascii="Arial" w:hAnsi="Arial" w:cs="Arial"/>
          <w:b/>
          <w:sz w:val="20"/>
          <w:szCs w:val="20"/>
        </w:rPr>
        <w:t>Cele</w:t>
      </w:r>
      <w:r w:rsidRPr="00166566">
        <w:rPr>
          <w:rFonts w:ascii="Arial" w:hAnsi="Arial" w:cs="Arial"/>
          <w:sz w:val="20"/>
          <w:szCs w:val="20"/>
        </w:rPr>
        <w:t>”), wyznaczonych dla każdego Zarządzającego osobno, za rok obrotowy, na które zostały ustalone.</w:t>
      </w:r>
    </w:p>
    <w:p w:rsidR="00D66906" w:rsidRPr="00166566" w:rsidRDefault="00D66906" w:rsidP="00D66906">
      <w:pPr>
        <w:pStyle w:val="Akapitzlist"/>
        <w:numPr>
          <w:ilvl w:val="0"/>
          <w:numId w:val="11"/>
        </w:numPr>
        <w:spacing w:before="60" w:line="240" w:lineRule="exact"/>
        <w:ind w:left="426" w:right="284" w:hanging="250"/>
        <w:jc w:val="both"/>
        <w:rPr>
          <w:rFonts w:ascii="Arial" w:hAnsi="Arial" w:cs="Arial"/>
          <w:sz w:val="20"/>
          <w:szCs w:val="20"/>
        </w:rPr>
      </w:pPr>
      <w:r w:rsidRPr="00166566">
        <w:rPr>
          <w:rFonts w:ascii="Arial" w:hAnsi="Arial" w:cs="Arial"/>
          <w:sz w:val="20"/>
          <w:szCs w:val="20"/>
        </w:rPr>
        <w:t>Zasady przyznawania Premii, w związku z realizacją Celów, wraz z wzorem Karty Celów, stanowią załącznik do niniejszej uchwały</w:t>
      </w:r>
      <w:r w:rsidRPr="00166566">
        <w:rPr>
          <w:rFonts w:ascii="Arial" w:hAnsi="Arial" w:cs="Arial"/>
          <w:sz w:val="20"/>
          <w:szCs w:val="20"/>
          <w:lang w:val="pl-PL"/>
        </w:rPr>
        <w:t>.</w:t>
      </w:r>
    </w:p>
    <w:p w:rsidR="00D66906" w:rsidRPr="00166566" w:rsidRDefault="00D66906" w:rsidP="00D66906">
      <w:pPr>
        <w:pStyle w:val="Akapitzlist"/>
        <w:numPr>
          <w:ilvl w:val="0"/>
          <w:numId w:val="11"/>
        </w:numPr>
        <w:spacing w:before="60" w:line="240" w:lineRule="exact"/>
        <w:ind w:left="426" w:right="284" w:hanging="250"/>
        <w:jc w:val="both"/>
        <w:rPr>
          <w:rFonts w:ascii="Arial" w:hAnsi="Arial" w:cs="Arial"/>
          <w:sz w:val="20"/>
          <w:szCs w:val="20"/>
        </w:rPr>
      </w:pPr>
      <w:r w:rsidRPr="00166566">
        <w:rPr>
          <w:rFonts w:ascii="Arial" w:hAnsi="Arial" w:cs="Arial"/>
          <w:sz w:val="20"/>
          <w:szCs w:val="20"/>
        </w:rPr>
        <w:t>Rada Nadzorcza Spółki przedstawia Walnemu Zgromadzeniu Spółki do końca marca roku obrotowego, za który Premia przysługuje propozycję Celów, miary wielkości ich realizacji, zakładane rezultaty oraz wskaźniki oceny znaczenia poszczególnych Celów. Propozycje Celów na rok obrotowy 2017, o których mowa w zdaniu poprzedzającym, Rada Nadzorcza Spółki przedstawi Walnemu Zgromadzeniu Spółki w terminie do 21 dni od dnia podjęcia niniejszej uchwały. Walne Zgromadzenie Spółki wyznacza i zatwierdza Cele w terminie do 30 dni od dnia przedstawienia przez Radę Nadzorczą propozycji Celów, uwzględniając potrzebę realizacji misji publicznej Spółki.</w:t>
      </w:r>
    </w:p>
    <w:p w:rsidR="00D66906" w:rsidRPr="00132884" w:rsidRDefault="00D66906" w:rsidP="00D66906">
      <w:pPr>
        <w:spacing w:before="60" w:line="240" w:lineRule="exact"/>
        <w:ind w:left="426" w:right="284"/>
        <w:jc w:val="both"/>
        <w:rPr>
          <w:rFonts w:ascii="Arial" w:hAnsi="Arial" w:cs="Arial"/>
          <w:sz w:val="20"/>
          <w:szCs w:val="20"/>
        </w:rPr>
      </w:pPr>
      <w:r w:rsidRPr="00132884">
        <w:rPr>
          <w:rFonts w:ascii="Arial" w:hAnsi="Arial" w:cs="Arial"/>
          <w:sz w:val="20"/>
          <w:szCs w:val="20"/>
        </w:rPr>
        <w:t>W przypadku powołania Zarządzającego do składu Zarządu Spółki w trakcie roku obrotowego, obowiązują go Cele wyznaczone przez Walne Zgromadzenie Spółki dla stanowiska, na które został powołany.</w:t>
      </w:r>
    </w:p>
    <w:p w:rsidR="00D66906" w:rsidRPr="00F7534D" w:rsidRDefault="00D66906" w:rsidP="00D66906">
      <w:pPr>
        <w:pStyle w:val="Akapitzlist"/>
        <w:numPr>
          <w:ilvl w:val="0"/>
          <w:numId w:val="11"/>
        </w:numPr>
        <w:spacing w:before="60" w:line="240" w:lineRule="exact"/>
        <w:ind w:left="426" w:right="284" w:hanging="250"/>
        <w:jc w:val="both"/>
        <w:rPr>
          <w:rFonts w:ascii="Arial" w:hAnsi="Arial" w:cs="Arial"/>
          <w:sz w:val="20"/>
          <w:szCs w:val="20"/>
        </w:rPr>
      </w:pPr>
      <w:r w:rsidRPr="00166566">
        <w:rPr>
          <w:rFonts w:ascii="Arial" w:hAnsi="Arial" w:cs="Arial"/>
          <w:sz w:val="20"/>
          <w:szCs w:val="20"/>
        </w:rPr>
        <w:lastRenderedPageBreak/>
        <w:t>Wysokość premii nie może przekroczyć 25% wynagrodzenia podstawowego, należnego Zarządzającemu w roku obrotowym, którego Premia dotyczy.</w:t>
      </w:r>
    </w:p>
    <w:p w:rsidR="00D66906" w:rsidRPr="00F7534D" w:rsidRDefault="00D66906" w:rsidP="00D66906">
      <w:pPr>
        <w:pStyle w:val="Akapitzlist"/>
        <w:numPr>
          <w:ilvl w:val="0"/>
          <w:numId w:val="11"/>
        </w:numPr>
        <w:spacing w:before="60" w:line="240" w:lineRule="exact"/>
        <w:ind w:left="426" w:right="284" w:hanging="250"/>
        <w:jc w:val="both"/>
        <w:rPr>
          <w:rFonts w:ascii="Arial" w:hAnsi="Arial" w:cs="Arial"/>
          <w:sz w:val="20"/>
          <w:szCs w:val="20"/>
        </w:rPr>
      </w:pPr>
      <w:r w:rsidRPr="00F7534D">
        <w:rPr>
          <w:rFonts w:ascii="Arial" w:hAnsi="Arial" w:cs="Arial"/>
          <w:sz w:val="20"/>
          <w:szCs w:val="20"/>
        </w:rPr>
        <w:t xml:space="preserve">Warunkiem nabycia przez Zarządzającego prawa do Premii jest podjęcie przez </w:t>
      </w:r>
      <w:r w:rsidRPr="00F7534D">
        <w:rPr>
          <w:rFonts w:ascii="Arial" w:hAnsi="Arial" w:cs="Arial"/>
          <w:sz w:val="20"/>
          <w:szCs w:val="20"/>
          <w:lang w:val="pl-PL"/>
        </w:rPr>
        <w:t xml:space="preserve">Walne Zgromadzenie </w:t>
      </w:r>
      <w:r w:rsidRPr="00F7534D">
        <w:rPr>
          <w:rFonts w:ascii="Arial" w:hAnsi="Arial" w:cs="Arial"/>
          <w:sz w:val="20"/>
          <w:szCs w:val="20"/>
        </w:rPr>
        <w:t xml:space="preserve">Spółki uchwały o jej przyznaniu i wypłaceniu, </w:t>
      </w:r>
      <w:r w:rsidRPr="00F7534D">
        <w:rPr>
          <w:rFonts w:ascii="Arial" w:hAnsi="Arial" w:cs="Arial"/>
          <w:sz w:val="20"/>
          <w:szCs w:val="20"/>
          <w:lang w:val="pl-PL"/>
        </w:rPr>
        <w:t xml:space="preserve">po uprzednim podjęciu przez ten organ </w:t>
      </w:r>
      <w:r w:rsidRPr="00F7534D">
        <w:rPr>
          <w:rFonts w:ascii="Arial" w:hAnsi="Arial" w:cs="Arial"/>
          <w:sz w:val="20"/>
          <w:szCs w:val="20"/>
        </w:rPr>
        <w:t>uchwał w sprawach:</w:t>
      </w:r>
    </w:p>
    <w:p w:rsidR="00D66906" w:rsidRPr="00166566" w:rsidRDefault="00D66906" w:rsidP="00D66906">
      <w:pPr>
        <w:pStyle w:val="Akapitzlist"/>
        <w:numPr>
          <w:ilvl w:val="0"/>
          <w:numId w:val="14"/>
        </w:numPr>
        <w:spacing w:before="60" w:line="240" w:lineRule="exact"/>
        <w:ind w:left="851" w:right="284" w:hanging="425"/>
        <w:jc w:val="both"/>
        <w:rPr>
          <w:rFonts w:ascii="Arial" w:hAnsi="Arial" w:cs="Arial"/>
          <w:sz w:val="20"/>
          <w:szCs w:val="20"/>
        </w:rPr>
      </w:pPr>
      <w:r w:rsidRPr="00166566">
        <w:rPr>
          <w:rFonts w:ascii="Arial" w:hAnsi="Arial" w:cs="Arial"/>
          <w:sz w:val="20"/>
          <w:szCs w:val="20"/>
        </w:rPr>
        <w:t>zatwierdzenia sprawozdania Zarządu z działalności Spółki oraz jej Grupy Kapitałowej;</w:t>
      </w:r>
    </w:p>
    <w:p w:rsidR="00D66906" w:rsidRPr="00166566" w:rsidRDefault="00D66906" w:rsidP="00D66906">
      <w:pPr>
        <w:pStyle w:val="Akapitzlist"/>
        <w:numPr>
          <w:ilvl w:val="0"/>
          <w:numId w:val="14"/>
        </w:numPr>
        <w:spacing w:before="60" w:line="240" w:lineRule="exact"/>
        <w:ind w:left="851" w:right="284" w:hanging="425"/>
        <w:jc w:val="both"/>
        <w:rPr>
          <w:rFonts w:ascii="Arial" w:hAnsi="Arial" w:cs="Arial"/>
          <w:sz w:val="20"/>
          <w:szCs w:val="20"/>
        </w:rPr>
      </w:pPr>
      <w:r w:rsidRPr="00166566">
        <w:rPr>
          <w:rFonts w:ascii="Arial" w:hAnsi="Arial" w:cs="Arial"/>
          <w:sz w:val="20"/>
          <w:szCs w:val="20"/>
        </w:rPr>
        <w:t xml:space="preserve">zatwierdzenia sprawozdania finansowego Spółki oraz jej Grupy Kapitałowej oraz </w:t>
      </w:r>
    </w:p>
    <w:p w:rsidR="00D66906" w:rsidRPr="00166566" w:rsidRDefault="00D66906" w:rsidP="00D66906">
      <w:pPr>
        <w:pStyle w:val="Akapitzlist"/>
        <w:numPr>
          <w:ilvl w:val="0"/>
          <w:numId w:val="14"/>
        </w:numPr>
        <w:spacing w:before="60" w:line="240" w:lineRule="exact"/>
        <w:ind w:left="851" w:right="284" w:hanging="425"/>
        <w:jc w:val="both"/>
        <w:rPr>
          <w:rFonts w:ascii="Arial" w:hAnsi="Arial" w:cs="Arial"/>
          <w:sz w:val="20"/>
          <w:szCs w:val="20"/>
        </w:rPr>
      </w:pPr>
      <w:r w:rsidRPr="00166566">
        <w:rPr>
          <w:rFonts w:ascii="Arial" w:hAnsi="Arial" w:cs="Arial"/>
          <w:sz w:val="20"/>
          <w:szCs w:val="20"/>
        </w:rPr>
        <w:t>udzielenia absolutorium z wykonywania przez Zarządzającego obowiązków,</w:t>
      </w:r>
    </w:p>
    <w:p w:rsidR="00D66906" w:rsidRDefault="00D66906" w:rsidP="00D66906">
      <w:pPr>
        <w:spacing w:before="60" w:line="240" w:lineRule="exact"/>
        <w:ind w:left="426" w:right="284"/>
        <w:jc w:val="both"/>
        <w:rPr>
          <w:rFonts w:ascii="Arial" w:hAnsi="Arial" w:cs="Arial"/>
        </w:rPr>
      </w:pPr>
      <w:r w:rsidRPr="00166566">
        <w:rPr>
          <w:rFonts w:ascii="Arial" w:hAnsi="Arial" w:cs="Arial"/>
        </w:rPr>
        <w:t>dotyczących roku obrotowego, którego Premia dotyczy.</w:t>
      </w:r>
    </w:p>
    <w:p w:rsidR="00D66906" w:rsidRPr="00132884" w:rsidRDefault="00D66906" w:rsidP="00D66906">
      <w:pPr>
        <w:spacing w:before="60" w:line="240" w:lineRule="exact"/>
        <w:ind w:left="426" w:right="284"/>
        <w:jc w:val="both"/>
        <w:rPr>
          <w:rFonts w:ascii="Arial" w:hAnsi="Arial" w:cs="Arial"/>
          <w:sz w:val="20"/>
          <w:szCs w:val="20"/>
        </w:rPr>
      </w:pPr>
      <w:r w:rsidRPr="00132884">
        <w:rPr>
          <w:rFonts w:ascii="Arial" w:hAnsi="Arial" w:cs="Arial"/>
          <w:sz w:val="20"/>
          <w:szCs w:val="20"/>
        </w:rPr>
        <w:t>Uchwała Walnego Zgromadzenia PKP SA o przyznaniu i wypłaceniu Premii podejmowana jest na wniosek Rady Nadzorczej zawierający w szczególności wskazanie: stopnia realizacji Celów i wysokości Premii.</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W przypadku, gdy z przepisów prawa podatkowego wynikać będzie obowiązek po stronie Zarządzającego do wystawienia faktury VAT lub innego dokumentu rozliczeniowego z tytułu świadczonych na rzecz Spółki usług, wówczas do kwoty Wynagrodzenia Podstawowego oraz Premii doliczony zostanie podatek VAT w wysokości zgodnej z aktualnie obowiązującymi przepisami prawa.</w:t>
      </w:r>
    </w:p>
    <w:p w:rsidR="00D66906" w:rsidRPr="00166566" w:rsidRDefault="00D66906" w:rsidP="00D66906">
      <w:pPr>
        <w:pStyle w:val="Akapitzlist"/>
        <w:spacing w:before="60" w:line="240" w:lineRule="exact"/>
        <w:ind w:left="426" w:right="284"/>
        <w:jc w:val="both"/>
        <w:rPr>
          <w:rFonts w:ascii="Arial" w:hAnsi="Arial" w:cs="Arial"/>
          <w:sz w:val="20"/>
          <w:szCs w:val="20"/>
        </w:rPr>
      </w:pPr>
      <w:r w:rsidRPr="00166566">
        <w:rPr>
          <w:rFonts w:ascii="Arial" w:hAnsi="Arial" w:cs="Arial"/>
          <w:sz w:val="20"/>
          <w:szCs w:val="20"/>
        </w:rPr>
        <w:t>Od kwoty Wynagrodzenia Podstawowego oraz Premii zostanie odprowadzona zaliczka na podatek dochodowy od osób fizycznych oraz składki na ubezpieczenie społeczne, zgodnie z obowiązującymi przepisami prawa.</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Wynagrodzenie podstawowe płatne jest po zakończeniu danego miesiąca kalendarzowego, w terminie 7 dni od dnia doręczenia Spółce przez Zarządzającego dokumentu rozliczeniowego z tym, że taki dokument powinien zostać doręczony Spółce do 10 dnia miesiąca kalendarzowego następującego po miesiącu, którego dotyczy.</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Premia, płatna jest proporcjonalnie do okresu pełnienia przez Zarządzającego funkcji w Zarządzie Spółki, w wysokości i w terminie określonych w uchwale Walnego Zgromadzenia Spółki o jej przyznaniu i wypłaceniu.</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Świadczenia należne Zarządzającemu, o których mowa w niniejszym paragrafie, płatne będą przez Spółkę na rachunek bankowy wskazany przez Zarządzającego.</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Za dzień zapłaty strony Umowy uznają datę obciążenia rachunku bankowego Spółki.</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Zarządzający zobowiązany jest do świadczenia osobistego Umowy oraz zachowania należytej staranności przy jej wykonywaniu.</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 xml:space="preserve">Zarządzający zobowiązany jest do zachowania tajemnicy przedsiębiorstwa Spółki, w rozumieniu ustawy z dnia 16 kwietnia 1993 r. o zwalczaniu nieuczciwej konkurencji (Dz.U. z 2003 r. poz. 1503, z </w:t>
      </w:r>
      <w:proofErr w:type="spellStart"/>
      <w:r w:rsidRPr="00166566">
        <w:rPr>
          <w:rFonts w:ascii="Arial" w:hAnsi="Arial" w:cs="Arial"/>
          <w:sz w:val="20"/>
          <w:szCs w:val="20"/>
        </w:rPr>
        <w:t>późn</w:t>
      </w:r>
      <w:proofErr w:type="spellEnd"/>
      <w:r w:rsidRPr="00166566">
        <w:rPr>
          <w:rFonts w:ascii="Arial" w:hAnsi="Arial" w:cs="Arial"/>
          <w:sz w:val="20"/>
          <w:szCs w:val="20"/>
        </w:rPr>
        <w:t>. zm.).</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Zarządzający zobowiązany jest do zachowania w tajemnicy informacji stanowiących tajemnicę przedsiębiorstwa Spółki w trakcie oraz przez okres 5 lat po ustaniu stosunku prawnego wiążącego Zarządzającego i Spółkę na podstawie Umowy, z zastrzeżeniem postanowień zawartych w powszechnie obowiązujących przepisach prawa przewidujących dłuższe okresy obowiązku zachowania tajemnicy.</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W trakcie trwania Umowy Zarządzający będzie podlegał zakazowi konkurencji wobec Spółki i podmiotów należących do Grupy Kapitałowej Spółki (dalej jako: „</w:t>
      </w:r>
      <w:r w:rsidRPr="00166566">
        <w:rPr>
          <w:rFonts w:ascii="Arial" w:hAnsi="Arial" w:cs="Arial"/>
          <w:b/>
          <w:sz w:val="20"/>
          <w:szCs w:val="20"/>
        </w:rPr>
        <w:t>Zakaz Konkurencji</w:t>
      </w:r>
      <w:r w:rsidRPr="00166566">
        <w:rPr>
          <w:rFonts w:ascii="Arial" w:hAnsi="Arial" w:cs="Arial"/>
          <w:sz w:val="20"/>
          <w:szCs w:val="20"/>
        </w:rPr>
        <w:t>”), i zobowiązany jest do zawarcia ze Spółką Umowy o zakazie konkurencji.</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W czasie trwania Umowy, Zarządzający może zasiadać w organach podmiotów wchodzących w skład Grupy Kapitałowej Spółki. Z tytułu zasiadania w organach podmiotów Grupy Kapitałowej Spółki Zarządzającemu nie przysługuje wynagrodzenie.</w:t>
      </w:r>
    </w:p>
    <w:p w:rsidR="00D66906" w:rsidRPr="00166566" w:rsidRDefault="00D66906" w:rsidP="00D66906">
      <w:pPr>
        <w:pStyle w:val="Akapitzlist"/>
        <w:spacing w:before="60" w:line="240" w:lineRule="exact"/>
        <w:ind w:left="426" w:right="284"/>
        <w:jc w:val="both"/>
        <w:rPr>
          <w:rFonts w:ascii="Arial" w:hAnsi="Arial" w:cs="Arial"/>
          <w:sz w:val="20"/>
          <w:szCs w:val="20"/>
        </w:rPr>
      </w:pPr>
      <w:r w:rsidRPr="00166566">
        <w:rPr>
          <w:rFonts w:ascii="Arial" w:hAnsi="Arial" w:cs="Arial"/>
          <w:sz w:val="20"/>
          <w:szCs w:val="20"/>
        </w:rPr>
        <w:t>O zamiarze pełnienia funkcji w organach innej spółki handlowej, nabyciu w niej akcji lub udziałów, Zarządzający zobowiązany jest do poinformowania Rady Nadzorczej oraz Walnego Zgromadzenia Spółki.</w:t>
      </w:r>
    </w:p>
    <w:p w:rsidR="00D66906" w:rsidRPr="00166566" w:rsidRDefault="00D66906" w:rsidP="00D66906">
      <w:pPr>
        <w:pStyle w:val="Akapitzlist"/>
        <w:spacing w:before="60" w:line="240" w:lineRule="exact"/>
        <w:ind w:left="426" w:right="284"/>
        <w:jc w:val="both"/>
        <w:rPr>
          <w:rFonts w:ascii="Arial" w:hAnsi="Arial" w:cs="Arial"/>
          <w:sz w:val="20"/>
          <w:szCs w:val="20"/>
        </w:rPr>
      </w:pPr>
      <w:r w:rsidRPr="00166566">
        <w:rPr>
          <w:rFonts w:ascii="Arial" w:hAnsi="Arial" w:cs="Arial"/>
          <w:sz w:val="20"/>
          <w:szCs w:val="20"/>
        </w:rPr>
        <w:t>Do pełnienia funkcji w organach spółek prawa handlowego oraz posiadania akcji lub udziałów, stosuje się zakazy wynikające z przepisów prawa powszechnie obowiązującego.</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lastRenderedPageBreak/>
        <w:t>Zakaz Konkurencji, o którym mowa w ust. 14 obowiązuje również w okresie 6 (słownie: sześć) miesięcy po ustaniu pełnienia funkcji przez Zarządzającego (dalej jako „</w:t>
      </w:r>
      <w:r w:rsidRPr="00166566">
        <w:rPr>
          <w:rFonts w:ascii="Arial" w:hAnsi="Arial" w:cs="Arial"/>
          <w:b/>
          <w:sz w:val="20"/>
          <w:szCs w:val="20"/>
        </w:rPr>
        <w:t>Przedłużony Zakaz Konkurencji</w:t>
      </w:r>
      <w:r w:rsidRPr="00166566">
        <w:rPr>
          <w:rFonts w:ascii="Arial" w:hAnsi="Arial" w:cs="Arial"/>
          <w:sz w:val="20"/>
          <w:szCs w:val="20"/>
        </w:rPr>
        <w:t>”), w przypadku pełnienia funkcji w Zarządzie Spółki przez okres co najmniej 3 miesięcy.</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Przedłużony Zakaz Konkurencji nie obowiązuje w przypadku zaprzestania przez Zarządzającego pełnienia funkcji w Zarządzie Spółki, jeżeli Zarządzający podejmie zatrudnienie lub pełnić będzie funkcję w urzędzie obsługującym ministra właściwego ds. transportu lub Urzędzie Transportu Kolejowego, a także jeżeli podejmie zatrudnienie lub pełnić będzie funkcję w zarządzie innej spółki z Grupy Kapitałowej Spółki lub będzie wykonywał jakąkolwiek działalność zawodową w spółce Grupy Kapitałowej Spółki.</w:t>
      </w:r>
    </w:p>
    <w:p w:rsidR="00D66906" w:rsidRPr="00166566" w:rsidRDefault="00D66906" w:rsidP="00D66906">
      <w:pPr>
        <w:pStyle w:val="Akapitzlist"/>
        <w:spacing w:before="60" w:line="240" w:lineRule="exact"/>
        <w:ind w:left="426" w:right="284"/>
        <w:jc w:val="both"/>
        <w:rPr>
          <w:rFonts w:ascii="Arial" w:hAnsi="Arial" w:cs="Arial"/>
          <w:sz w:val="20"/>
          <w:szCs w:val="20"/>
        </w:rPr>
      </w:pPr>
      <w:r w:rsidRPr="00166566">
        <w:rPr>
          <w:rFonts w:ascii="Arial" w:hAnsi="Arial" w:cs="Arial"/>
          <w:sz w:val="20"/>
          <w:szCs w:val="20"/>
        </w:rPr>
        <w:t>Przedłużony zakaz konkurencji przestaje obowiązywać przed upływem terminu, wskazanym w ust. 16, w razie podjęcia się pełnienia przez Zarządzającego funkcji w innej spółce, o której mowa w art. 1 ust. 3 pkt 7 Ustawy.</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Po rozwiązaniu lub wypowiedzeniu Umowy, nie jest dopuszczalne zawarcie z Zarządzającym Umowy o zakazie konkurencji.</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W przypadku niewykonania lub nienależytego wykonania przez Zarządzającego Umowy o zakazie konkurencji będzie on zobowiązany do zapłaty kary umownej na rzecz Spółki, nie niższej niż wysokość odszkodowania przysługującego mu za cały okres Przedłużonego Zakazu Konkurencji.</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Z tytułu objęcia Zarządzającego Przedłużonym Zakazem Konkurencji, w Kontrakcie zostanie przewidziane wypłacenie Zarządzającemu odszkodowanie do 100% kwoty Wynagrodzenia Podstawowego, otrzymywanego przez Zarządzającego przed ustaniem pełnienia funkcji, za każdy miesiąc objęcia Zarządzającego Przedłużonym Zakazem Konkurencji, płatnej do 10 dnia każdego miesiąca począwszy od miesiąca następującego po miesiącu, w którym nastąpiło rozwiązanie lub wygaśnięcie Umowy. Przy określaniu kwoty, o której mowa w zdaniu poprzednim, uwzględniony zostanie okres pełnienia przez Zarządzającego funkcji Członka Zarządu Spółki, tj.:</w:t>
      </w:r>
    </w:p>
    <w:p w:rsidR="00D66906" w:rsidRPr="00166566" w:rsidRDefault="00D66906" w:rsidP="00D66906">
      <w:pPr>
        <w:pStyle w:val="Akapitzlist"/>
        <w:numPr>
          <w:ilvl w:val="0"/>
          <w:numId w:val="12"/>
        </w:numPr>
        <w:spacing w:before="60" w:line="240" w:lineRule="exact"/>
        <w:ind w:left="709" w:right="283" w:hanging="283"/>
        <w:jc w:val="both"/>
        <w:rPr>
          <w:rFonts w:ascii="Arial" w:hAnsi="Arial" w:cs="Arial"/>
          <w:sz w:val="20"/>
          <w:szCs w:val="20"/>
        </w:rPr>
      </w:pPr>
      <w:r w:rsidRPr="00166566">
        <w:rPr>
          <w:rFonts w:ascii="Arial" w:hAnsi="Arial" w:cs="Arial"/>
          <w:sz w:val="20"/>
          <w:szCs w:val="20"/>
        </w:rPr>
        <w:t>25% kwoty Wynagrodzenia Podstawowego, w przypadku rozwiązania Umowy po upływie 3 miesięcy ale przed upływem 6 miesięcy od dnia powołania do składu Zarządu Spółki, albo</w:t>
      </w:r>
    </w:p>
    <w:p w:rsidR="00D66906" w:rsidRPr="00166566" w:rsidRDefault="00D66906" w:rsidP="00D66906">
      <w:pPr>
        <w:pStyle w:val="Akapitzlist"/>
        <w:numPr>
          <w:ilvl w:val="0"/>
          <w:numId w:val="12"/>
        </w:numPr>
        <w:spacing w:before="60" w:line="240" w:lineRule="exact"/>
        <w:ind w:left="709" w:right="283" w:hanging="283"/>
        <w:jc w:val="both"/>
        <w:rPr>
          <w:rFonts w:ascii="Arial" w:hAnsi="Arial" w:cs="Arial"/>
          <w:sz w:val="20"/>
          <w:szCs w:val="20"/>
        </w:rPr>
      </w:pPr>
      <w:r w:rsidRPr="00166566">
        <w:rPr>
          <w:rFonts w:ascii="Arial" w:hAnsi="Arial" w:cs="Arial"/>
          <w:sz w:val="20"/>
          <w:szCs w:val="20"/>
        </w:rPr>
        <w:t>50% kwoty Wynagrodzenia Podstawowego, w przypadku rozwiązania Umowy po upływie 6 miesięcy, ale przed upływem 9 miesięcy od dnia powołania do składu Zarządu Spółki, albo</w:t>
      </w:r>
    </w:p>
    <w:p w:rsidR="00D66906" w:rsidRPr="00166566" w:rsidRDefault="00D66906" w:rsidP="00D66906">
      <w:pPr>
        <w:pStyle w:val="Akapitzlist"/>
        <w:numPr>
          <w:ilvl w:val="0"/>
          <w:numId w:val="12"/>
        </w:numPr>
        <w:spacing w:before="60" w:line="240" w:lineRule="exact"/>
        <w:ind w:left="709" w:right="283" w:hanging="283"/>
        <w:jc w:val="both"/>
        <w:rPr>
          <w:rFonts w:ascii="Arial" w:hAnsi="Arial" w:cs="Arial"/>
          <w:sz w:val="20"/>
          <w:szCs w:val="20"/>
        </w:rPr>
      </w:pPr>
      <w:r w:rsidRPr="00166566">
        <w:rPr>
          <w:rFonts w:ascii="Arial" w:hAnsi="Arial" w:cs="Arial"/>
          <w:sz w:val="20"/>
          <w:szCs w:val="20"/>
        </w:rPr>
        <w:t>75% kwoty Wynagrodzenia Podstawowego, w przypadku rozwiązania Umowy po upływie 9 miesięcy, ale przed upływem 12 miesięcy od dnia powołania do składu Zarządu Spółki, albo</w:t>
      </w:r>
    </w:p>
    <w:p w:rsidR="00D66906" w:rsidRPr="00166566" w:rsidRDefault="00D66906" w:rsidP="00D66906">
      <w:pPr>
        <w:pStyle w:val="Akapitzlist"/>
        <w:numPr>
          <w:ilvl w:val="0"/>
          <w:numId w:val="12"/>
        </w:numPr>
        <w:spacing w:before="60" w:line="240" w:lineRule="exact"/>
        <w:ind w:left="709" w:right="283" w:hanging="283"/>
        <w:jc w:val="both"/>
        <w:rPr>
          <w:rFonts w:ascii="Arial" w:hAnsi="Arial" w:cs="Arial"/>
          <w:sz w:val="20"/>
          <w:szCs w:val="20"/>
        </w:rPr>
      </w:pPr>
      <w:r w:rsidRPr="00166566">
        <w:rPr>
          <w:rFonts w:ascii="Arial" w:hAnsi="Arial" w:cs="Arial"/>
          <w:sz w:val="20"/>
          <w:szCs w:val="20"/>
        </w:rPr>
        <w:t>100% kwoty Wynagrodzenia Podstawowego, w przypadku rozwiązania Umowy po upływie 12 miesięcy od dnia powołania do składu Zarządu Spółki.</w:t>
      </w:r>
    </w:p>
    <w:p w:rsidR="00D66906" w:rsidRPr="00132884" w:rsidRDefault="00D66906" w:rsidP="00D66906">
      <w:pPr>
        <w:spacing w:before="60" w:line="240" w:lineRule="exact"/>
        <w:ind w:left="426" w:right="284"/>
        <w:jc w:val="both"/>
        <w:rPr>
          <w:rFonts w:ascii="Arial" w:hAnsi="Arial" w:cs="Arial"/>
          <w:sz w:val="20"/>
          <w:szCs w:val="20"/>
        </w:rPr>
      </w:pPr>
      <w:r w:rsidRPr="00132884">
        <w:rPr>
          <w:rFonts w:ascii="Arial" w:hAnsi="Arial" w:cs="Arial"/>
          <w:sz w:val="20"/>
          <w:szCs w:val="20"/>
        </w:rPr>
        <w:t>Odszkodowanie każdorazowo wypłacane będzie na podstawie przedłożonego Spółce przez Zarządzającego dokumentu rozliczeniowego oraz złożeniu Spółce pisemnego oświadczenia o niepodejmowaniu zajęć konkurencyjnych stosownie do postanowień Umowy o zakazie konkurencji, o której mowa w ust. 14.</w:t>
      </w:r>
    </w:p>
    <w:p w:rsidR="00D66906" w:rsidRPr="00132884" w:rsidRDefault="00D66906" w:rsidP="00D66906">
      <w:pPr>
        <w:spacing w:before="60" w:line="240" w:lineRule="exact"/>
        <w:ind w:left="426" w:right="284"/>
        <w:jc w:val="both"/>
        <w:rPr>
          <w:rFonts w:ascii="Arial" w:hAnsi="Arial" w:cs="Arial"/>
          <w:sz w:val="20"/>
          <w:szCs w:val="20"/>
        </w:rPr>
      </w:pPr>
      <w:r w:rsidRPr="00132884">
        <w:rPr>
          <w:rFonts w:ascii="Arial" w:hAnsi="Arial" w:cs="Arial"/>
          <w:sz w:val="20"/>
          <w:szCs w:val="20"/>
        </w:rPr>
        <w:t>W przypadku naruszenia Przedłużonego Zakazu Konkurencji, Spółka nie będzie zobowiązana do wypłaty odszkodowania zgodnie z niniejszym punktem, od momentu naruszenia tego zakazu przez Zarządzającego. Spółka nie będzie zobowiązana do wypłaty odszkodowania zgodnie z niniejszym punktem w przypadkach wskazanych w ust. 17.</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Walne Zgromadzenie Spółki, może - w formie uchwały – na wniosek Zarządzającego, zwolnić go z Zakazu Konkurencji lub z Przedłużonego Zakazu Konkurencji. W każdym przypadku Walne Zgromadzenie określa w uchwale zakres zwolnienia, wskazując jakich czynności, podmiotów lub funkcji on dotyczył. W takim wypadku Zarządzającemu nie przysługuje prawo do świadczenia, o którym mowa w ust. 20.</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Zarządzający ponosi odpowiedzialność wobec Spółki lub osób trzecich za szkody wyrządzone w czasie wykonywania przez niego przedmiotu Kontraktu, będące następstwem niewykonania lub nienależytego wykonania obowiązków Zarządzającego wynikających z Umowy, z zastrzeżeniem treści ust. 23.</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lastRenderedPageBreak/>
        <w:t>Odpowiedzialność, o której mowa w ust. 22 jest niezależna od odpowiedzialności Zarządzającego, którą ponosi on z tytułu pełnienia funkcji Członka Zarządu Spółki, określonej przepisami Kodeksu spółek handlowych i innymi przepisami.</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W związku z odpowiedzialnością odszkodowawczą Zarządzającego, o której mowa w ust. 22 i 23, Zarządzający zawrze na własny koszt umowę ubezpieczenia odpowiedzialności cywilnej (dalej jako „</w:t>
      </w:r>
      <w:r w:rsidRPr="00166566">
        <w:rPr>
          <w:rFonts w:ascii="Arial" w:hAnsi="Arial" w:cs="Arial"/>
          <w:b/>
          <w:sz w:val="20"/>
          <w:szCs w:val="20"/>
        </w:rPr>
        <w:t>Umowa Ubezpieczenia</w:t>
      </w:r>
      <w:r w:rsidRPr="00166566">
        <w:rPr>
          <w:rFonts w:ascii="Arial" w:hAnsi="Arial" w:cs="Arial"/>
          <w:sz w:val="20"/>
          <w:szCs w:val="20"/>
        </w:rPr>
        <w:t>”) na jedno i wszystkie roszczenia w okresie ubezpieczenia, na sumę 1.000.000,00 (słownie: jeden milion) złotych i dokona jej cesji na rzecz Spółki. Kopię Umowy Ubezpieczenia, wraz z ogólnymi warunkami ubezpieczenia, Zarządzający przekaże Spółce, w dacie zawarcia Umowy. W przypadku zaistnienia konieczności wypłacenia odszkodowania, Zarządzający zobowiązany jest niezwłocznie podjąć działania, aby suma ubezpieczenia została uzupełniona do kwoty, o której mowa w niniejszym punkcie, na dowód czego przedstawi Spółce dokumenty to potwierdzające.</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Zarządzający zobowiązany jest w kolejnych latach obowiązywania Umowy do zawierania analogicznych Umów Ubezpieczenia i przedstawiania ich Spółce niezwłocznie po zawarciu.</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Obowiązek ubezpieczenia odpowiedzialności cywilnej Zarządzającego trwa przez okres obowiązywania Kontraktu. Jeżeli Zarządzający nie przedłoży Umowy Ubezpieczenia, Spółka może wypowiedzieć Umowę z terminem wypowiedzenia określonym w ust. 27.</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Umowa z Zarządzającym może zostać wypowiedziana przez Spółkę z zachowaniem 3- dniowego terminu wypowiedzenia.</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W przypadku, o którym mowa w ust. 27 lub w przypadkach rozwiązania Umowy z powodu wygaśnięcia mandatu, z przyczyn określonych w przepisach Kodeksu spółek handlowych lub Statutu Spółki, Zarządzającemu będzie przysługiwała odprawa w wysokości do trzykrotności Wynagrodzenia Podstawowego, za wyjątkiem sytuacji, gdy rozwiązanie Umowy nastąpi wskutek naruszenia podstawowych obowiązków wynikających z Umowy lub popełnienia przez Zarządzającego stwierdzonego prawomocnym wyrokiem przestępstwa lub wykroczenia przeciwko Spółce lub umyślnego przestępstwa przeciwko mieniu, dokumentom, ochronie obrotu gospodarczego, zdrowiu lub życiu lub orzeczenia zakazu zajmowania stanowisk w spółkach prawa handlowego wpisanego w Krajowym Rejestrze Karnym. Odprawa, o której mowa w zdaniu poprzedzającym, zostaje przyznana, pod warunkiem pełnienia przez Zarządzającego funkcji w Zarządzie Spółki, co najmniej przez dwanaście miesięcy przed rozwiązaniem lub wypowiedzeniem Umowy.</w:t>
      </w:r>
    </w:p>
    <w:p w:rsidR="00D66906" w:rsidRPr="00166566" w:rsidRDefault="00D66906" w:rsidP="00D66906">
      <w:pPr>
        <w:pStyle w:val="Akapitzlist"/>
        <w:numPr>
          <w:ilvl w:val="0"/>
          <w:numId w:val="17"/>
        </w:numPr>
        <w:spacing w:before="60" w:line="240" w:lineRule="exact"/>
        <w:ind w:left="426" w:right="284" w:hanging="250"/>
        <w:jc w:val="both"/>
        <w:rPr>
          <w:rFonts w:ascii="Arial" w:hAnsi="Arial" w:cs="Arial"/>
          <w:sz w:val="20"/>
          <w:szCs w:val="20"/>
        </w:rPr>
      </w:pPr>
      <w:r w:rsidRPr="00166566">
        <w:rPr>
          <w:rFonts w:ascii="Arial" w:hAnsi="Arial" w:cs="Arial"/>
          <w:sz w:val="20"/>
          <w:szCs w:val="20"/>
        </w:rPr>
        <w:t>Przerwy w wykonywaniu Umowy, niezależnie od ich przyczyn, skutkują obniżeniem wynagrodzenia podstawowego, proporcjonalnie do liczby dni, w których Zarządzający nie wykonywał Kontraktu.</w:t>
      </w:r>
    </w:p>
    <w:p w:rsidR="00D66906" w:rsidRDefault="00D66906" w:rsidP="00D66906">
      <w:pPr>
        <w:spacing w:before="60" w:line="240" w:lineRule="exact"/>
        <w:ind w:right="283"/>
        <w:jc w:val="center"/>
        <w:rPr>
          <w:rFonts w:ascii="Arial" w:hAnsi="Arial" w:cs="Arial"/>
        </w:rPr>
      </w:pPr>
      <w:r w:rsidRPr="00166566">
        <w:rPr>
          <w:rFonts w:ascii="Arial" w:hAnsi="Arial" w:cs="Arial"/>
        </w:rPr>
        <w:t>§ 4.</w:t>
      </w:r>
    </w:p>
    <w:p w:rsidR="00D66906" w:rsidRPr="000678FB" w:rsidRDefault="00D66906" w:rsidP="00D66906">
      <w:pPr>
        <w:pStyle w:val="Akapitzlist"/>
        <w:numPr>
          <w:ilvl w:val="0"/>
          <w:numId w:val="18"/>
        </w:numPr>
        <w:spacing w:before="60" w:line="240" w:lineRule="exact"/>
        <w:ind w:left="426" w:right="284" w:hanging="250"/>
        <w:jc w:val="both"/>
        <w:rPr>
          <w:rFonts w:ascii="Arial" w:hAnsi="Arial" w:cs="Arial"/>
          <w:sz w:val="20"/>
          <w:szCs w:val="20"/>
        </w:rPr>
      </w:pPr>
      <w:r w:rsidRPr="000678FB">
        <w:rPr>
          <w:rFonts w:ascii="Arial" w:hAnsi="Arial" w:cs="Arial"/>
          <w:sz w:val="20"/>
          <w:szCs w:val="20"/>
        </w:rPr>
        <w:t xml:space="preserve">Rada Nadzorcza określi w Umowie zasady korzystania przez Zarządzającego z urządzeń technicznych oraz zasobów stanowiących mienie Spółki w celu należytego wykonywania obowiązków wynikających z </w:t>
      </w:r>
      <w:r w:rsidRPr="000678FB">
        <w:rPr>
          <w:rFonts w:ascii="Arial" w:hAnsi="Arial" w:cs="Arial"/>
          <w:sz w:val="20"/>
          <w:szCs w:val="20"/>
          <w:lang w:val="pl-PL"/>
        </w:rPr>
        <w:t>Kontraktu</w:t>
      </w:r>
      <w:r w:rsidRPr="000678FB">
        <w:rPr>
          <w:rFonts w:ascii="Arial" w:hAnsi="Arial" w:cs="Arial"/>
          <w:sz w:val="20"/>
          <w:szCs w:val="20"/>
        </w:rPr>
        <w:t>.</w:t>
      </w:r>
    </w:p>
    <w:p w:rsidR="00D66906" w:rsidRPr="000678FB" w:rsidRDefault="00D66906" w:rsidP="00D66906">
      <w:pPr>
        <w:pStyle w:val="Akapitzlist"/>
        <w:numPr>
          <w:ilvl w:val="0"/>
          <w:numId w:val="18"/>
        </w:numPr>
        <w:spacing w:before="60" w:line="240" w:lineRule="exact"/>
        <w:ind w:left="426" w:right="284" w:hanging="250"/>
        <w:jc w:val="both"/>
        <w:rPr>
          <w:rFonts w:ascii="Arial" w:hAnsi="Arial" w:cs="Arial"/>
          <w:sz w:val="20"/>
          <w:szCs w:val="20"/>
        </w:rPr>
      </w:pPr>
      <w:r w:rsidRPr="000678FB">
        <w:rPr>
          <w:rFonts w:ascii="Arial" w:hAnsi="Arial" w:cs="Arial"/>
          <w:sz w:val="20"/>
          <w:szCs w:val="20"/>
        </w:rPr>
        <w:t xml:space="preserve">Rada Nadzorcza w Umowie może określić także zasady zwrotu kosztów poniesionych w związku z reprezentacją Spółki oraz uczestnictwem w konferencjach, seminariach lub spotkaniach, a także zasady zwrotu kosztów związanych z dochodzeniem i obroną praw Zarządzającego (koszty pomocy prawnej) w przypadku zaistnienia sporu Zarządzającego z osobą trzecią związanego z wykonywaniem </w:t>
      </w:r>
      <w:r w:rsidRPr="000678FB">
        <w:rPr>
          <w:rFonts w:ascii="Arial" w:hAnsi="Arial" w:cs="Arial"/>
          <w:sz w:val="20"/>
          <w:szCs w:val="20"/>
          <w:lang w:val="pl-PL"/>
        </w:rPr>
        <w:t>Kontraktu</w:t>
      </w:r>
      <w:r w:rsidRPr="000678FB">
        <w:rPr>
          <w:rFonts w:ascii="Arial" w:hAnsi="Arial" w:cs="Arial"/>
          <w:sz w:val="20"/>
          <w:szCs w:val="20"/>
        </w:rPr>
        <w:t>, w przypadku zawarcia takiej umowy przez Spółkę.</w:t>
      </w:r>
    </w:p>
    <w:p w:rsidR="00D66906" w:rsidRPr="000678FB" w:rsidRDefault="00D66906" w:rsidP="00D66906">
      <w:pPr>
        <w:spacing w:before="60" w:line="240" w:lineRule="exact"/>
        <w:ind w:right="283"/>
        <w:jc w:val="center"/>
        <w:rPr>
          <w:rFonts w:ascii="Arial" w:hAnsi="Arial" w:cs="Arial"/>
        </w:rPr>
      </w:pPr>
      <w:r w:rsidRPr="000678FB">
        <w:rPr>
          <w:rFonts w:ascii="Arial" w:hAnsi="Arial" w:cs="Arial"/>
        </w:rPr>
        <w:t>§ 5.</w:t>
      </w:r>
    </w:p>
    <w:p w:rsidR="00D66906" w:rsidRPr="00166566" w:rsidRDefault="00D66906" w:rsidP="00D66906">
      <w:pPr>
        <w:pStyle w:val="Akapitzlist"/>
        <w:numPr>
          <w:ilvl w:val="0"/>
          <w:numId w:val="15"/>
        </w:numPr>
        <w:spacing w:before="60" w:line="240" w:lineRule="exact"/>
        <w:ind w:left="460" w:right="284" w:hanging="284"/>
        <w:jc w:val="both"/>
        <w:rPr>
          <w:rFonts w:ascii="Arial" w:hAnsi="Arial" w:cs="Arial"/>
          <w:sz w:val="20"/>
          <w:szCs w:val="20"/>
        </w:rPr>
      </w:pPr>
      <w:r w:rsidRPr="00166566">
        <w:rPr>
          <w:rFonts w:ascii="Arial" w:hAnsi="Arial" w:cs="Arial"/>
          <w:sz w:val="20"/>
          <w:szCs w:val="20"/>
        </w:rPr>
        <w:t>Radzie Nadzorczej Spółki powierza się określenie szczegółowych warunków Kontraktu, dotyczących w szczególności:</w:t>
      </w:r>
    </w:p>
    <w:p w:rsidR="00D66906" w:rsidRPr="00166566" w:rsidRDefault="00D66906" w:rsidP="00D66906">
      <w:pPr>
        <w:pStyle w:val="Akapitzlist"/>
        <w:numPr>
          <w:ilvl w:val="0"/>
          <w:numId w:val="13"/>
        </w:numPr>
        <w:tabs>
          <w:tab w:val="left" w:pos="885"/>
        </w:tabs>
        <w:spacing w:before="60" w:line="240" w:lineRule="exact"/>
        <w:ind w:left="602" w:right="283" w:hanging="142"/>
        <w:jc w:val="both"/>
        <w:rPr>
          <w:rFonts w:ascii="Arial" w:hAnsi="Arial" w:cs="Arial"/>
          <w:sz w:val="20"/>
          <w:szCs w:val="20"/>
        </w:rPr>
      </w:pPr>
      <w:r w:rsidRPr="00166566">
        <w:rPr>
          <w:rFonts w:ascii="Arial" w:hAnsi="Arial" w:cs="Arial"/>
          <w:sz w:val="20"/>
          <w:szCs w:val="20"/>
        </w:rPr>
        <w:t>zakazu prowadzenia działalności konkurencyjnej;</w:t>
      </w:r>
    </w:p>
    <w:p w:rsidR="00D66906" w:rsidRPr="00166566" w:rsidRDefault="00D66906" w:rsidP="00D66906">
      <w:pPr>
        <w:pStyle w:val="Akapitzlist"/>
        <w:numPr>
          <w:ilvl w:val="0"/>
          <w:numId w:val="13"/>
        </w:numPr>
        <w:tabs>
          <w:tab w:val="left" w:pos="885"/>
        </w:tabs>
        <w:spacing w:before="60" w:line="240" w:lineRule="exact"/>
        <w:ind w:left="602" w:right="283" w:hanging="142"/>
        <w:jc w:val="both"/>
        <w:rPr>
          <w:rFonts w:ascii="Arial" w:hAnsi="Arial" w:cs="Arial"/>
          <w:sz w:val="20"/>
          <w:szCs w:val="20"/>
        </w:rPr>
      </w:pPr>
      <w:r w:rsidRPr="00166566">
        <w:rPr>
          <w:rFonts w:ascii="Arial" w:hAnsi="Arial" w:cs="Arial"/>
          <w:sz w:val="20"/>
          <w:szCs w:val="20"/>
        </w:rPr>
        <w:t>Przedłużonego Zakazu Konkurencji;</w:t>
      </w:r>
    </w:p>
    <w:p w:rsidR="00D66906" w:rsidRPr="00166566" w:rsidRDefault="00D66906" w:rsidP="00D66906">
      <w:pPr>
        <w:pStyle w:val="Akapitzlist"/>
        <w:numPr>
          <w:ilvl w:val="0"/>
          <w:numId w:val="13"/>
        </w:numPr>
        <w:tabs>
          <w:tab w:val="left" w:pos="885"/>
        </w:tabs>
        <w:spacing w:before="60" w:line="240" w:lineRule="exact"/>
        <w:ind w:left="602" w:right="283" w:hanging="142"/>
        <w:jc w:val="both"/>
        <w:rPr>
          <w:rFonts w:ascii="Arial" w:hAnsi="Arial" w:cs="Arial"/>
          <w:sz w:val="20"/>
          <w:szCs w:val="20"/>
        </w:rPr>
      </w:pPr>
      <w:r w:rsidRPr="00166566">
        <w:rPr>
          <w:rFonts w:ascii="Arial" w:hAnsi="Arial" w:cs="Arial"/>
          <w:sz w:val="20"/>
          <w:szCs w:val="20"/>
        </w:rPr>
        <w:t>wysokości odprawy, o której mowa w § 3 ust. 28 oraz</w:t>
      </w:r>
    </w:p>
    <w:p w:rsidR="00D66906" w:rsidRPr="00166566" w:rsidRDefault="00D66906" w:rsidP="00D66906">
      <w:pPr>
        <w:pStyle w:val="Akapitzlist"/>
        <w:numPr>
          <w:ilvl w:val="0"/>
          <w:numId w:val="13"/>
        </w:numPr>
        <w:tabs>
          <w:tab w:val="left" w:pos="885"/>
        </w:tabs>
        <w:spacing w:before="60" w:line="240" w:lineRule="exact"/>
        <w:ind w:left="851" w:right="283" w:hanging="425"/>
        <w:jc w:val="both"/>
        <w:rPr>
          <w:rFonts w:ascii="Arial" w:hAnsi="Arial" w:cs="Arial"/>
          <w:sz w:val="20"/>
          <w:szCs w:val="20"/>
        </w:rPr>
      </w:pPr>
      <w:r w:rsidRPr="00166566">
        <w:rPr>
          <w:rFonts w:ascii="Arial" w:hAnsi="Arial" w:cs="Arial"/>
          <w:sz w:val="20"/>
          <w:szCs w:val="20"/>
        </w:rPr>
        <w:t>świadczeń dodatkowych przyznawanych Zarządzającemu, o których mowa w § 4 niniejszej uchwały.</w:t>
      </w:r>
    </w:p>
    <w:p w:rsidR="00D66906" w:rsidRPr="00166566" w:rsidRDefault="00D66906" w:rsidP="00D66906">
      <w:pPr>
        <w:pStyle w:val="Akapitzlist"/>
        <w:numPr>
          <w:ilvl w:val="0"/>
          <w:numId w:val="15"/>
        </w:numPr>
        <w:spacing w:before="60" w:line="240" w:lineRule="exact"/>
        <w:ind w:left="426" w:right="284" w:hanging="284"/>
        <w:jc w:val="both"/>
        <w:rPr>
          <w:rFonts w:ascii="Arial" w:hAnsi="Arial" w:cs="Arial"/>
          <w:sz w:val="20"/>
          <w:szCs w:val="20"/>
        </w:rPr>
      </w:pPr>
      <w:r w:rsidRPr="00166566">
        <w:rPr>
          <w:rFonts w:ascii="Arial" w:hAnsi="Arial" w:cs="Arial"/>
          <w:sz w:val="20"/>
          <w:szCs w:val="20"/>
        </w:rPr>
        <w:t>Radzie Nadzorczej Spółki powierza się:</w:t>
      </w:r>
    </w:p>
    <w:p w:rsidR="00D66906" w:rsidRPr="00166566" w:rsidRDefault="00D66906" w:rsidP="00D66906">
      <w:pPr>
        <w:pStyle w:val="Akapitzlist"/>
        <w:numPr>
          <w:ilvl w:val="0"/>
          <w:numId w:val="16"/>
        </w:numPr>
        <w:tabs>
          <w:tab w:val="left" w:pos="885"/>
        </w:tabs>
        <w:spacing w:before="60" w:line="240" w:lineRule="exact"/>
        <w:ind w:left="885" w:right="283" w:hanging="425"/>
        <w:jc w:val="both"/>
        <w:rPr>
          <w:rFonts w:ascii="Arial" w:hAnsi="Arial" w:cs="Arial"/>
          <w:sz w:val="20"/>
          <w:szCs w:val="20"/>
        </w:rPr>
      </w:pPr>
      <w:r w:rsidRPr="00166566">
        <w:rPr>
          <w:rFonts w:ascii="Arial" w:hAnsi="Arial" w:cs="Arial"/>
          <w:sz w:val="20"/>
          <w:szCs w:val="20"/>
        </w:rPr>
        <w:lastRenderedPageBreak/>
        <w:t>zawarcie z Zarządzającym Umowy o zakazie konkurencji, o której mowa w § 3 ust. 14 niniejszej uchwały, uszczegóławiającej m.in. kary umowne, o których mowa w § 3 ust. 19 niniejszej uchwały;</w:t>
      </w:r>
    </w:p>
    <w:p w:rsidR="00D66906" w:rsidRPr="00166566" w:rsidRDefault="00D66906" w:rsidP="00D66906">
      <w:pPr>
        <w:pStyle w:val="Akapitzlist"/>
        <w:numPr>
          <w:ilvl w:val="0"/>
          <w:numId w:val="16"/>
        </w:numPr>
        <w:tabs>
          <w:tab w:val="left" w:pos="885"/>
        </w:tabs>
        <w:spacing w:before="60" w:line="240" w:lineRule="exact"/>
        <w:ind w:left="885" w:right="283" w:hanging="425"/>
        <w:jc w:val="both"/>
        <w:rPr>
          <w:rFonts w:ascii="Arial" w:hAnsi="Arial" w:cs="Arial"/>
          <w:sz w:val="20"/>
          <w:szCs w:val="20"/>
        </w:rPr>
      </w:pPr>
      <w:r w:rsidRPr="00166566">
        <w:rPr>
          <w:rFonts w:ascii="Arial" w:hAnsi="Arial" w:cs="Arial"/>
          <w:sz w:val="20"/>
          <w:szCs w:val="20"/>
        </w:rPr>
        <w:t>składanie w imieniu Spółki oświadczeń o zawarciu Umów i Aneksów do Umów z uwzględnieniem postanowień § 16 ust. 3 Statutu Spółki;</w:t>
      </w:r>
    </w:p>
    <w:p w:rsidR="00D66906" w:rsidRPr="00166566" w:rsidRDefault="00D66906" w:rsidP="00D66906">
      <w:pPr>
        <w:pStyle w:val="Akapitzlist"/>
        <w:numPr>
          <w:ilvl w:val="0"/>
          <w:numId w:val="16"/>
        </w:numPr>
        <w:tabs>
          <w:tab w:val="left" w:pos="885"/>
        </w:tabs>
        <w:spacing w:before="60" w:line="240" w:lineRule="exact"/>
        <w:ind w:left="885" w:right="283" w:hanging="425"/>
        <w:jc w:val="both"/>
        <w:rPr>
          <w:rFonts w:ascii="Arial" w:hAnsi="Arial" w:cs="Arial"/>
          <w:sz w:val="20"/>
          <w:szCs w:val="20"/>
        </w:rPr>
      </w:pPr>
      <w:r w:rsidRPr="00166566">
        <w:rPr>
          <w:rFonts w:ascii="Arial" w:hAnsi="Arial" w:cs="Arial"/>
          <w:sz w:val="20"/>
          <w:szCs w:val="20"/>
        </w:rPr>
        <w:t>dostosowanie Kontraktów obowiązujących w dniu powzięcia niniejszej uchwały, do jej postanowień, w terminie 60 dni od dnia jej powzięcia.</w:t>
      </w:r>
    </w:p>
    <w:p w:rsidR="00D66906" w:rsidRPr="00166566" w:rsidRDefault="00D66906" w:rsidP="00D66906">
      <w:pPr>
        <w:pStyle w:val="Akapitzlist"/>
        <w:numPr>
          <w:ilvl w:val="0"/>
          <w:numId w:val="15"/>
        </w:numPr>
        <w:spacing w:before="60" w:line="240" w:lineRule="exact"/>
        <w:ind w:left="426" w:right="284" w:hanging="284"/>
        <w:jc w:val="both"/>
        <w:rPr>
          <w:rFonts w:ascii="Arial" w:hAnsi="Arial" w:cs="Arial"/>
          <w:sz w:val="20"/>
          <w:szCs w:val="20"/>
        </w:rPr>
      </w:pPr>
      <w:bookmarkStart w:id="0" w:name="_GoBack"/>
      <w:r w:rsidRPr="00166566">
        <w:rPr>
          <w:rFonts w:ascii="Arial" w:hAnsi="Arial" w:cs="Arial"/>
          <w:sz w:val="20"/>
          <w:szCs w:val="20"/>
        </w:rPr>
        <w:t xml:space="preserve">Rada Nadzorcza PKP SA przekazuje niezwłocznie akcjonariuszom Spółki kopie umów, o </w:t>
      </w:r>
      <w:bookmarkEnd w:id="0"/>
      <w:r w:rsidRPr="00166566">
        <w:rPr>
          <w:rFonts w:ascii="Arial" w:hAnsi="Arial" w:cs="Arial"/>
          <w:sz w:val="20"/>
          <w:szCs w:val="20"/>
        </w:rPr>
        <w:t>których mowa w ust. 2.</w:t>
      </w:r>
    </w:p>
    <w:p w:rsidR="00D66906" w:rsidRDefault="00D66906" w:rsidP="00D66906">
      <w:pPr>
        <w:spacing w:before="60" w:line="240" w:lineRule="exact"/>
        <w:ind w:right="283"/>
        <w:jc w:val="center"/>
        <w:rPr>
          <w:rFonts w:ascii="Arial" w:hAnsi="Arial" w:cs="Arial"/>
        </w:rPr>
      </w:pPr>
      <w:r w:rsidRPr="00166566">
        <w:rPr>
          <w:rFonts w:ascii="Arial" w:hAnsi="Arial" w:cs="Arial"/>
        </w:rPr>
        <w:t>§ 6.</w:t>
      </w:r>
    </w:p>
    <w:p w:rsidR="00D66906" w:rsidRPr="00132884" w:rsidRDefault="00D66906" w:rsidP="00D66906">
      <w:pPr>
        <w:spacing w:before="60" w:line="240" w:lineRule="exact"/>
        <w:ind w:right="283"/>
        <w:jc w:val="both"/>
        <w:rPr>
          <w:rFonts w:ascii="Arial" w:hAnsi="Arial" w:cs="Arial"/>
          <w:sz w:val="20"/>
          <w:szCs w:val="20"/>
        </w:rPr>
      </w:pPr>
      <w:r w:rsidRPr="00132884">
        <w:rPr>
          <w:rFonts w:ascii="Arial" w:hAnsi="Arial" w:cs="Arial"/>
          <w:sz w:val="20"/>
          <w:szCs w:val="20"/>
        </w:rPr>
        <w:t>Przyznanie i wypłacenie Zarządzającemu Premii w związku z realizacją Celów wyznaczonych na rok obrotowy 2016 nastąpi na zasadach określonych w dotychczas podjętych uchwałach Walnego Zgromadzenia Spółki w sprawie ustalenia zasad i wysokości wynagrodzenia Zarządzającego.</w:t>
      </w:r>
    </w:p>
    <w:p w:rsidR="00D66906" w:rsidRDefault="00D66906" w:rsidP="00D66906">
      <w:pPr>
        <w:spacing w:before="60" w:line="240" w:lineRule="exact"/>
        <w:ind w:right="283"/>
        <w:jc w:val="center"/>
        <w:rPr>
          <w:rFonts w:ascii="Arial" w:hAnsi="Arial" w:cs="Arial"/>
        </w:rPr>
      </w:pPr>
      <w:r>
        <w:rPr>
          <w:rFonts w:ascii="Arial" w:hAnsi="Arial" w:cs="Arial"/>
        </w:rPr>
        <w:t>§ 7.</w:t>
      </w:r>
    </w:p>
    <w:p w:rsidR="008D0B68" w:rsidRPr="00D66906" w:rsidRDefault="00D66906" w:rsidP="00D66906">
      <w:pPr>
        <w:spacing w:before="60" w:line="240" w:lineRule="exact"/>
        <w:rPr>
          <w:rFonts w:ascii="Arial" w:hAnsi="Arial" w:cs="Arial"/>
        </w:rPr>
      </w:pPr>
      <w:r w:rsidRPr="00166566">
        <w:rPr>
          <w:rFonts w:ascii="Arial" w:hAnsi="Arial" w:cs="Arial"/>
        </w:rPr>
        <w:t>Niniejsza uchwała obowiązuje od dnia jej powzięcia.</w:t>
      </w:r>
    </w:p>
    <w:sectPr w:rsidR="008D0B68" w:rsidRPr="00D66906" w:rsidSect="0095540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729" w:rsidRDefault="009D2729" w:rsidP="00851800">
      <w:pPr>
        <w:spacing w:after="0" w:line="240" w:lineRule="auto"/>
      </w:pPr>
      <w:r>
        <w:separator/>
      </w:r>
    </w:p>
  </w:endnote>
  <w:endnote w:type="continuationSeparator" w:id="0">
    <w:p w:rsidR="009D2729" w:rsidRDefault="009D2729" w:rsidP="0085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729" w:rsidRDefault="009D2729" w:rsidP="00851800">
      <w:pPr>
        <w:spacing w:after="0" w:line="240" w:lineRule="auto"/>
      </w:pPr>
      <w:r>
        <w:separator/>
      </w:r>
    </w:p>
  </w:footnote>
  <w:footnote w:type="continuationSeparator" w:id="0">
    <w:p w:rsidR="009D2729" w:rsidRDefault="009D2729" w:rsidP="008518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E02FB"/>
    <w:multiLevelType w:val="hybridMultilevel"/>
    <w:tmpl w:val="312E0A64"/>
    <w:lvl w:ilvl="0" w:tplc="BD608DD2">
      <w:start w:val="6"/>
      <w:numFmt w:val="decimal"/>
      <w:lvlText w:val="%1."/>
      <w:lvlJc w:val="right"/>
      <w:pPr>
        <w:ind w:left="11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27523D"/>
    <w:multiLevelType w:val="hybridMultilevel"/>
    <w:tmpl w:val="C492CD3A"/>
    <w:lvl w:ilvl="0" w:tplc="4F5E3A98">
      <w:start w:val="1"/>
      <w:numFmt w:val="decimal"/>
      <w:lvlText w:val="%1."/>
      <w:lvlJc w:val="right"/>
      <w:pPr>
        <w:ind w:left="1100" w:hanging="360"/>
      </w:pPr>
      <w:rPr>
        <w:rFonts w:hint="default"/>
        <w:lang w:val="pl-PL"/>
      </w:rPr>
    </w:lvl>
    <w:lvl w:ilvl="1" w:tplc="04150019">
      <w:start w:val="1"/>
      <w:numFmt w:val="lowerLetter"/>
      <w:lvlText w:val="%2."/>
      <w:lvlJc w:val="left"/>
      <w:pPr>
        <w:ind w:left="182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23F471D0"/>
    <w:multiLevelType w:val="hybridMultilevel"/>
    <w:tmpl w:val="52C0E48A"/>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
    <w:nsid w:val="2AE1467D"/>
    <w:multiLevelType w:val="hybridMultilevel"/>
    <w:tmpl w:val="A4E0CC92"/>
    <w:lvl w:ilvl="0" w:tplc="04150011">
      <w:start w:val="1"/>
      <w:numFmt w:val="decimal"/>
      <w:lvlText w:val="%1)"/>
      <w:lvlJc w:val="left"/>
      <w:pPr>
        <w:ind w:left="1146" w:hanging="360"/>
      </w:pPr>
    </w:lvl>
    <w:lvl w:ilvl="1" w:tplc="492EFBE8">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2B2614B6"/>
    <w:multiLevelType w:val="hybridMultilevel"/>
    <w:tmpl w:val="9274E0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2DCC202A"/>
    <w:multiLevelType w:val="hybridMultilevel"/>
    <w:tmpl w:val="11AE8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0429BE"/>
    <w:multiLevelType w:val="hybridMultilevel"/>
    <w:tmpl w:val="901E44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3AB85E49"/>
    <w:multiLevelType w:val="hybridMultilevel"/>
    <w:tmpl w:val="BDF288C8"/>
    <w:lvl w:ilvl="0" w:tplc="4F5E3A9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0251B7F"/>
    <w:multiLevelType w:val="hybridMultilevel"/>
    <w:tmpl w:val="F46C6C7E"/>
    <w:lvl w:ilvl="0" w:tplc="4F5E3A9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707268"/>
    <w:multiLevelType w:val="hybridMultilevel"/>
    <w:tmpl w:val="8056F7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03D7DB3"/>
    <w:multiLevelType w:val="hybridMultilevel"/>
    <w:tmpl w:val="210AE910"/>
    <w:lvl w:ilvl="0" w:tplc="254A0928">
      <w:start w:val="1"/>
      <w:numFmt w:val="decimal"/>
      <w:lvlText w:val="%1."/>
      <w:lvlJc w:val="right"/>
      <w:pPr>
        <w:ind w:left="11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7C30CD9"/>
    <w:multiLevelType w:val="hybridMultilevel"/>
    <w:tmpl w:val="52C0E48A"/>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
    <w:nsid w:val="5E006ABA"/>
    <w:multiLevelType w:val="hybridMultilevel"/>
    <w:tmpl w:val="52C0E48A"/>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3">
    <w:nsid w:val="66603B90"/>
    <w:multiLevelType w:val="hybridMultilevel"/>
    <w:tmpl w:val="C492CD3A"/>
    <w:lvl w:ilvl="0" w:tplc="4F5E3A98">
      <w:start w:val="1"/>
      <w:numFmt w:val="decimal"/>
      <w:lvlText w:val="%1."/>
      <w:lvlJc w:val="right"/>
      <w:pPr>
        <w:ind w:left="1100" w:hanging="360"/>
      </w:pPr>
      <w:rPr>
        <w:rFonts w:hint="default"/>
        <w:lang w:val="pl-PL"/>
      </w:rPr>
    </w:lvl>
    <w:lvl w:ilvl="1" w:tplc="04150019">
      <w:start w:val="1"/>
      <w:numFmt w:val="lowerLetter"/>
      <w:lvlText w:val="%2."/>
      <w:lvlJc w:val="left"/>
      <w:pPr>
        <w:ind w:left="182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68AC5683"/>
    <w:multiLevelType w:val="hybridMultilevel"/>
    <w:tmpl w:val="52C0E48A"/>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
    <w:nsid w:val="76E805F1"/>
    <w:multiLevelType w:val="hybridMultilevel"/>
    <w:tmpl w:val="E1C6E30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7842580E"/>
    <w:multiLevelType w:val="hybridMultilevel"/>
    <w:tmpl w:val="57C0CD34"/>
    <w:lvl w:ilvl="0" w:tplc="C16CC5F6">
      <w:start w:val="1"/>
      <w:numFmt w:val="decimal"/>
      <w:lvlText w:val="%1)"/>
      <w:lvlJc w:val="left"/>
      <w:pPr>
        <w:ind w:left="1100" w:hanging="360"/>
      </w:pPr>
      <w:rPr>
        <w:rFonts w:ascii="Arial" w:eastAsia="Times New Roman" w:hAnsi="Arial" w:cs="Arial" w:hint="default"/>
      </w:rPr>
    </w:lvl>
    <w:lvl w:ilvl="1" w:tplc="04150019">
      <w:start w:val="1"/>
      <w:numFmt w:val="lowerLetter"/>
      <w:lvlText w:val="%2."/>
      <w:lvlJc w:val="left"/>
      <w:pPr>
        <w:ind w:left="182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7D630947"/>
    <w:multiLevelType w:val="hybridMultilevel"/>
    <w:tmpl w:val="F39EB41C"/>
    <w:lvl w:ilvl="0" w:tplc="4F5E3A9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15"/>
  </w:num>
  <w:num w:numId="5">
    <w:abstractNumId w:val="14"/>
  </w:num>
  <w:num w:numId="6">
    <w:abstractNumId w:val="7"/>
  </w:num>
  <w:num w:numId="7">
    <w:abstractNumId w:val="2"/>
  </w:num>
  <w:num w:numId="8">
    <w:abstractNumId w:val="13"/>
  </w:num>
  <w:num w:numId="9">
    <w:abstractNumId w:val="8"/>
  </w:num>
  <w:num w:numId="10">
    <w:abstractNumId w:val="3"/>
  </w:num>
  <w:num w:numId="11">
    <w:abstractNumId w:val="1"/>
  </w:num>
  <w:num w:numId="12">
    <w:abstractNumId w:val="5"/>
  </w:num>
  <w:num w:numId="13">
    <w:abstractNumId w:val="12"/>
  </w:num>
  <w:num w:numId="14">
    <w:abstractNumId w:val="6"/>
  </w:num>
  <w:num w:numId="15">
    <w:abstractNumId w:val="1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800"/>
    <w:rsid w:val="0006105F"/>
    <w:rsid w:val="00132884"/>
    <w:rsid w:val="001A3B06"/>
    <w:rsid w:val="00227FC8"/>
    <w:rsid w:val="002A0AEF"/>
    <w:rsid w:val="003645B5"/>
    <w:rsid w:val="00807D83"/>
    <w:rsid w:val="00851800"/>
    <w:rsid w:val="008C542B"/>
    <w:rsid w:val="008D0B68"/>
    <w:rsid w:val="009D2729"/>
    <w:rsid w:val="00D66906"/>
    <w:rsid w:val="00D70CAC"/>
    <w:rsid w:val="00F41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180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518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1800"/>
  </w:style>
  <w:style w:type="paragraph" w:styleId="Akapitzlist">
    <w:name w:val="List Paragraph"/>
    <w:aliases w:val="BulletC,Obiekt,List Paragraph1,List Paragraph,Akapit z listą1,Wyliczanie,Akapit z listą31"/>
    <w:basedOn w:val="Normalny"/>
    <w:link w:val="AkapitzlistZnak"/>
    <w:uiPriority w:val="34"/>
    <w:qFormat/>
    <w:rsid w:val="00851800"/>
    <w:pPr>
      <w:spacing w:after="0" w:line="240" w:lineRule="auto"/>
      <w:ind w:left="720"/>
    </w:pPr>
    <w:rPr>
      <w:rFonts w:ascii="Times New Roman" w:eastAsia="Times New Roman" w:hAnsi="Times New Roman" w:cs="Times New Roman"/>
      <w:sz w:val="24"/>
      <w:szCs w:val="24"/>
      <w:lang w:val="x-none" w:eastAsia="x-none"/>
    </w:rPr>
  </w:style>
  <w:style w:type="character" w:customStyle="1" w:styleId="AkapitzlistZnak">
    <w:name w:val="Akapit z listą Znak"/>
    <w:aliases w:val="BulletC Znak,Obiekt Znak,List Paragraph1 Znak,List Paragraph Znak,Akapit z listą1 Znak,Wyliczanie Znak,Akapit z listą31 Znak"/>
    <w:link w:val="Akapitzlist"/>
    <w:uiPriority w:val="34"/>
    <w:locked/>
    <w:rsid w:val="00851800"/>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unhideWhenUsed/>
    <w:rsid w:val="008518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1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180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518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1800"/>
  </w:style>
  <w:style w:type="paragraph" w:styleId="Akapitzlist">
    <w:name w:val="List Paragraph"/>
    <w:aliases w:val="BulletC,Obiekt,List Paragraph1,List Paragraph,Akapit z listą1,Wyliczanie,Akapit z listą31"/>
    <w:basedOn w:val="Normalny"/>
    <w:link w:val="AkapitzlistZnak"/>
    <w:uiPriority w:val="34"/>
    <w:qFormat/>
    <w:rsid w:val="00851800"/>
    <w:pPr>
      <w:spacing w:after="0" w:line="240" w:lineRule="auto"/>
      <w:ind w:left="720"/>
    </w:pPr>
    <w:rPr>
      <w:rFonts w:ascii="Times New Roman" w:eastAsia="Times New Roman" w:hAnsi="Times New Roman" w:cs="Times New Roman"/>
      <w:sz w:val="24"/>
      <w:szCs w:val="24"/>
      <w:lang w:val="x-none" w:eastAsia="x-none"/>
    </w:rPr>
  </w:style>
  <w:style w:type="character" w:customStyle="1" w:styleId="AkapitzlistZnak">
    <w:name w:val="Akapit z listą Znak"/>
    <w:aliases w:val="BulletC Znak,Obiekt Znak,List Paragraph1 Znak,List Paragraph Znak,Akapit z listą1 Znak,Wyliczanie Znak,Akapit z listą31 Znak"/>
    <w:link w:val="Akapitzlist"/>
    <w:uiPriority w:val="34"/>
    <w:locked/>
    <w:rsid w:val="00851800"/>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unhideWhenUsed/>
    <w:rsid w:val="008518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2144</Words>
  <Characters>12867</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Groszkowski Andrzej</dc:creator>
  <cp:lastModifiedBy>Orzel Krzysztof</cp:lastModifiedBy>
  <cp:revision>7</cp:revision>
  <dcterms:created xsi:type="dcterms:W3CDTF">2016-11-28T07:52:00Z</dcterms:created>
  <dcterms:modified xsi:type="dcterms:W3CDTF">2019-11-21T13:10:00Z</dcterms:modified>
</cp:coreProperties>
</file>