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B" w:rsidRDefault="00B760DB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  <w:r>
        <w:rPr>
          <w:rFonts w:ascii="Roboto-Medium" w:hAnsi="Roboto-Medium" w:cs="Roboto-Medium"/>
          <w:sz w:val="36"/>
          <w:szCs w:val="36"/>
        </w:rPr>
        <w:t>4.1. Koszty ogólne projektu wraz ze sposobem finansowania</w:t>
      </w:r>
    </w:p>
    <w:p w:rsidR="00B760DB" w:rsidRDefault="00B760DB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0DB" w:rsidTr="00A506F2">
        <w:tc>
          <w:tcPr>
            <w:tcW w:w="3070" w:type="dxa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Całkowity koszt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projektu (netto oraz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brutto), w tym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Netto 25 973 026,63 zł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Brutto 30 985 923,57 zł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320BC7">
        <w:tc>
          <w:tcPr>
            <w:tcW w:w="3070" w:type="dxa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Procent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dofinansowania ze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środków UE (brutto)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84,63%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352866">
        <w:tc>
          <w:tcPr>
            <w:tcW w:w="3070" w:type="dxa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Procent środków z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budżetu państwa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(brutto)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15,37%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B760DB">
        <w:tc>
          <w:tcPr>
            <w:tcW w:w="3070" w:type="dxa"/>
            <w:vMerge w:val="restart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Podział całkowitego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kosztu projektu na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poszczególna lata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(netto oraz brutto)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3071" w:type="dxa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2019</w:t>
            </w:r>
          </w:p>
        </w:tc>
        <w:tc>
          <w:tcPr>
            <w:tcW w:w="3071" w:type="dxa"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Netto 56 504,07 zł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Brutto 69 500,01 zł</w:t>
            </w:r>
          </w:p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B760DB">
        <w:tc>
          <w:tcPr>
            <w:tcW w:w="3070" w:type="dxa"/>
            <w:vMerge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2021</w:t>
            </w: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Netto 1 562 647,52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Brutto 1 601 756,72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B760DB">
        <w:tc>
          <w:tcPr>
            <w:tcW w:w="3070" w:type="dxa"/>
            <w:vMerge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2021</w:t>
            </w: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Netto 1 562 647,52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Brutto 1 601 756,72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  <w:tr w:rsidR="00B760DB" w:rsidTr="00B760DB">
        <w:tc>
          <w:tcPr>
            <w:tcW w:w="3070" w:type="dxa"/>
            <w:vMerge/>
          </w:tcPr>
          <w:p w:rsidR="00B760DB" w:rsidRDefault="00B760D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2022</w:t>
            </w:r>
          </w:p>
        </w:tc>
        <w:tc>
          <w:tcPr>
            <w:tcW w:w="3071" w:type="dxa"/>
          </w:tcPr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Netto 22 628 940,85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Brutto 27 513 297,52 zł</w:t>
            </w:r>
          </w:p>
          <w:p w:rsidR="00B760DB" w:rsidRDefault="00B760DB" w:rsidP="009626FE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</w:tr>
    </w:tbl>
    <w:p w:rsidR="00B760DB" w:rsidRDefault="00B760DB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6"/>
          <w:szCs w:val="26"/>
        </w:rPr>
      </w:pPr>
    </w:p>
    <w:p w:rsidR="00B760DB" w:rsidRDefault="00B760DB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  <w:r>
        <w:rPr>
          <w:rFonts w:ascii="Roboto-Medium" w:hAnsi="Roboto-Medium" w:cs="Roboto-Medium"/>
          <w:sz w:val="36"/>
          <w:szCs w:val="36"/>
        </w:rPr>
        <w:t>4.2. Wykaz poszczególnych pozycji kosztowych</w:t>
      </w:r>
    </w:p>
    <w:p w:rsidR="00AB1F27" w:rsidRDefault="00AB1F27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808"/>
        <w:gridCol w:w="3119"/>
      </w:tblGrid>
      <w:tr w:rsidR="00AB1F27" w:rsidTr="00267F56">
        <w:tc>
          <w:tcPr>
            <w:tcW w:w="4361" w:type="dxa"/>
            <w:gridSpan w:val="2"/>
          </w:tcPr>
          <w:p w:rsidR="00AF15BB" w:rsidRPr="00AB1F27" w:rsidRDefault="00AB1F27" w:rsidP="00AF15B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 xml:space="preserve">Nazwa pozycji kosztowej </w:t>
            </w:r>
          </w:p>
          <w:p w:rsidR="00AB1F27" w:rsidRP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</w:p>
        </w:tc>
        <w:tc>
          <w:tcPr>
            <w:tcW w:w="180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Przewidywany</w:t>
            </w:r>
          </w:p>
          <w:p w:rsidR="00AB1F27" w:rsidRPr="00AB1F27" w:rsidRDefault="00AF15BB" w:rsidP="00AF15B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koszt brutto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26"/>
                <w:szCs w:val="2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Uzasadnienie pozycji</w:t>
            </w:r>
          </w:p>
          <w:p w:rsidR="00AB1F27" w:rsidRDefault="00AF15BB" w:rsidP="00AF15B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Medium" w:hAnsi="Roboto-Medium" w:cs="Roboto-Medium"/>
                <w:sz w:val="26"/>
                <w:szCs w:val="26"/>
              </w:rPr>
              <w:t>kosztowej (przeznaczenie)</w:t>
            </w:r>
          </w:p>
        </w:tc>
      </w:tr>
      <w:tr w:rsidR="00AB1F27" w:rsidTr="00267F56">
        <w:tc>
          <w:tcPr>
            <w:tcW w:w="2093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Oprogramowanie</w:t>
            </w: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Wytworzenie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oprogramowania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niezbędnego do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świadczenia e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>-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usług</w:t>
            </w:r>
          </w:p>
        </w:tc>
        <w:tc>
          <w:tcPr>
            <w:tcW w:w="180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18 523 800,00 zł 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Niezbędne nakłady inwestycyjne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 wytworzenie i wdrożenie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systemu ZONE stanowiącego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platformę do świadczenia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eusług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>,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będących produktami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projektu. Pozycja ta obejmuje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również koszty zakupu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oprogramowania biurowego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narzędziowego dla zespołu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projektowego.</w:t>
            </w:r>
          </w:p>
        </w:tc>
      </w:tr>
      <w:tr w:rsidR="00AB1F27" w:rsidTr="00267F56">
        <w:tc>
          <w:tcPr>
            <w:tcW w:w="2093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Infrastruktura</w:t>
            </w: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Zakup 3500 sztuk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tabletów do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inwentaryzacji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budynków (4 305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000,00 zł), koszty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usługi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PaaS</w:t>
            </w:r>
            <w:proofErr w:type="spellEnd"/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zasobów IT 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chmurze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obliczeniowej (246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000) oraz zakup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sprzętu</w:t>
            </w: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5 508 555,00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Niezbędne nakłady na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wyposażenie pracowników jednostek administracji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publicznej w przenośne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 xml:space="preserve">urządzenia z dostępem do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internetu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 xml:space="preserve"> poprzez sieć GSM, wyposażone w aplikację mobilną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do wprowadzania on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line</w:t>
            </w:r>
            <w:proofErr w:type="spellEnd"/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wyników inwentaryzacji do CEB wraz z kosztem dostępu do Internetu (tablet w każdej gminie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organie Inspekcji Ochrony Środowiska). Koszty usł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ugi </w:t>
            </w:r>
            <w:proofErr w:type="spellStart"/>
            <w:r w:rsidR="00267F56">
              <w:rPr>
                <w:rFonts w:ascii="Roboto-Regular" w:hAnsi="Roboto-Regular" w:cs="Roboto-Regular"/>
                <w:sz w:val="24"/>
                <w:szCs w:val="24"/>
              </w:rPr>
              <w:t>PaaS</w:t>
            </w:r>
            <w:proofErr w:type="spellEnd"/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wynikają z wyboru takiego wariantu rozwią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zania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sprzętowego dla systemu. Docelowo system zostanie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zmigrowany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 xml:space="preserve"> do chmury rządowej utrzymywanej w ramach Wspólnej Infrastruktury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Informatycznej Państwa (WIIP).</w:t>
            </w:r>
          </w:p>
        </w:tc>
      </w:tr>
      <w:tr w:rsidR="00AB1F27" w:rsidTr="00267F56">
        <w:tc>
          <w:tcPr>
            <w:tcW w:w="2093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Koszty UX i grafiki</w:t>
            </w: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Projektowanie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badanie interfejsu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systemowego dla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użytkownika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eusług</w:t>
            </w:r>
            <w:proofErr w:type="spellEnd"/>
          </w:p>
        </w:tc>
        <w:tc>
          <w:tcPr>
            <w:tcW w:w="180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0,00 zł 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Nakłady uwzględnione w koszcie wytworzenia systemu. Zakłada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się przeprowadzenie ankiet wśród użytkownikó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w w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kontekście oceny użyteczności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dostarczonych funkcji, sposobu obsługi i elementów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wizualizacyjnych systemu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(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bezkosztowo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>); testowanie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prototypów i pilotaż rozwiązania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testowego w celu zebrania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doświadczeń do wytworzenia i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wdrożenia wersji produkcyjnej.</w:t>
            </w:r>
          </w:p>
        </w:tc>
      </w:tr>
      <w:tr w:rsidR="00AB1F27" w:rsidTr="00267F56">
        <w:tc>
          <w:tcPr>
            <w:tcW w:w="2093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Bezpieczeństwo</w:t>
            </w: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Audyt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bezpieczeństwa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systemu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246 000,00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Nakład niezbędny do weryfikacji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poziomu bezpieczeństwa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systemu oraz ochrony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przetwarzanych danych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osobowych (niezależnie od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wymagań w zakresie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bezpieczeństwa sformuł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owanych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wobec dostawcy usługi</w:t>
            </w:r>
          </w:p>
          <w:p w:rsidR="00AB1F27" w:rsidRPr="00AF15BB" w:rsidRDefault="00267F56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 xml:space="preserve">chmurowej). Zadanie zostanie </w:t>
            </w: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 xml:space="preserve">zlecone profesjonalnej firmie </w:t>
            </w:r>
            <w:r w:rsidR="00AF15BB">
              <w:rPr>
                <w:rFonts w:ascii="Roboto-Regular" w:hAnsi="Roboto-Regular" w:cs="Roboto-Regular"/>
                <w:sz w:val="24"/>
                <w:szCs w:val="24"/>
              </w:rPr>
              <w:t>świadczącej usł</w:t>
            </w:r>
            <w:r>
              <w:rPr>
                <w:rFonts w:ascii="Roboto-Regular" w:hAnsi="Roboto-Regular" w:cs="Roboto-Regular"/>
                <w:sz w:val="24"/>
                <w:szCs w:val="24"/>
              </w:rPr>
              <w:t xml:space="preserve">ugi 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audytowe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 xml:space="preserve"> w </w:t>
            </w:r>
            <w:r w:rsidR="00AF15BB">
              <w:rPr>
                <w:rFonts w:ascii="Roboto-Regular" w:hAnsi="Roboto-Regular" w:cs="Roboto-Regular"/>
                <w:sz w:val="24"/>
                <w:szCs w:val="24"/>
              </w:rPr>
              <w:t>zakresie IT.</w:t>
            </w:r>
          </w:p>
        </w:tc>
      </w:tr>
      <w:tr w:rsidR="00AB1F27" w:rsidTr="00267F56">
        <w:tc>
          <w:tcPr>
            <w:tcW w:w="2093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Wydajność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rozwiązań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Testowanie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systemu ( w tym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testy WCAG 2.0)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246 000,00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Osiągnięcie celów projektu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wymaga wdrożenia efektywnego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środowiska teleinformatycznego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wydajnie działającego systemu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umożliwiających świadczenie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usług o odpowiedniej jakości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.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Przeprowadzenie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kompleksowych testów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wydajnoś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ciowych wersji testowej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pozwoli na ocenę dział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ania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systemu, w tym wykrycie błędó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w i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problemów oraz sformułowanie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wniosków o zmianę.</w:t>
            </w:r>
          </w:p>
        </w:tc>
      </w:tr>
      <w:tr w:rsidR="00AB1F27" w:rsidTr="00267F56">
        <w:tc>
          <w:tcPr>
            <w:tcW w:w="2093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Szkolenia</w:t>
            </w: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Szkolenia dla użytkowników (ok.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100 edycji w całej Polsce). Przygotowanie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udostępnienie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materiałów e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>-</w:t>
            </w: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learningowych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>.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Szkolenia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specjalistyczne dla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członków zespołu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projektowego.</w:t>
            </w: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922 746,00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Szkolenie użytkowników, w formie bezpośredniej jak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pośredniej (w postaci materiałów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dostę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>pnych on-</w:t>
            </w:r>
            <w:proofErr w:type="spellStart"/>
            <w:r w:rsidR="00267F56">
              <w:rPr>
                <w:rFonts w:ascii="Roboto-Regular" w:hAnsi="Roboto-Regular" w:cs="Roboto-Regular"/>
                <w:sz w:val="24"/>
                <w:szCs w:val="24"/>
              </w:rPr>
              <w:t>line</w:t>
            </w:r>
            <w:proofErr w:type="spellEnd"/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) zapewni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możliwość korzystania z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oferowanych e-usług w sposó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b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prawidłowy i efektywny. W celu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zapewnienia efektywnej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współpracy przy wytwarzaniu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oprogramowania z wykonawcą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przewidywane są takż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e szkolenia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specjalistyczne członków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zespołu projektowego.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</w:tr>
      <w:tr w:rsidR="00AB1F27" w:rsidTr="00267F56">
        <w:tc>
          <w:tcPr>
            <w:tcW w:w="2093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Działania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informacyjnopromocyjne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Opracowanie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produktów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promocji w postaci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ulotek, plakatów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innych materiałów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promocyjnych oraz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prezentacji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multimedialnych.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Działania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informacyjno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promocyjne 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Internecie z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uwzględnieniem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mediów</w:t>
            </w:r>
          </w:p>
          <w:p w:rsidR="00267F56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społecznoś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>cio</w:t>
            </w:r>
            <w:proofErr w:type="spellEnd"/>
            <w:r w:rsidR="00267F56">
              <w:rPr>
                <w:rFonts w:ascii="Roboto-Regular" w:hAnsi="Roboto-Regular" w:cs="Roboto-Regular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AF15BB" w:rsidRDefault="00267F56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proofErr w:type="spellStart"/>
            <w:r>
              <w:rPr>
                <w:rFonts w:ascii="Roboto-Regular" w:hAnsi="Roboto-Regular" w:cs="Roboto-Regular"/>
                <w:sz w:val="24"/>
                <w:szCs w:val="24"/>
              </w:rPr>
              <w:t>wych</w:t>
            </w:r>
            <w:proofErr w:type="spellEnd"/>
            <w:r>
              <w:rPr>
                <w:rFonts w:ascii="Roboto-Regular" w:hAnsi="Roboto-Regular" w:cs="Roboto-Regular"/>
                <w:sz w:val="24"/>
                <w:szCs w:val="24"/>
              </w:rPr>
              <w:t xml:space="preserve">. </w:t>
            </w:r>
            <w:r w:rsidR="00AF15BB">
              <w:rPr>
                <w:rFonts w:ascii="Roboto-Regular" w:hAnsi="Roboto-Regular" w:cs="Roboto-Regular"/>
                <w:sz w:val="24"/>
                <w:szCs w:val="24"/>
              </w:rPr>
              <w:t>Organizacja</w:t>
            </w:r>
          </w:p>
          <w:p w:rsidR="00AB1F27" w:rsidRPr="00267F56" w:rsidRDefault="00267F56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konferencji.</w:t>
            </w: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922 500,00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Upowszechnienie produktów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Projektu wymaga szerokiego 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skutecznego poinformowania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potencjalnych odbiorców 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wprowadzeniu nowych e-usł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ug i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ich zaletach.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</w:tr>
      <w:tr w:rsidR="00AB1F27" w:rsidTr="00267F56">
        <w:tc>
          <w:tcPr>
            <w:tcW w:w="2093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lastRenderedPageBreak/>
              <w:t>Koszty zarządzania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 wsparcia (w tym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wynagrodzenia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personelu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wspomagającego)</w:t>
            </w:r>
          </w:p>
          <w:p w:rsidR="00AB1F27" w:rsidRDefault="00AB1F27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</w:p>
        </w:tc>
        <w:tc>
          <w:tcPr>
            <w:tcW w:w="2268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Koszty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wynagrodzeń: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- Kierownika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Projektu,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- zespołu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projektowego,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wykonującego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merytoryczne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zadania w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Projekcie;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- koszty usługi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wsparcia realizacji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projektu, koszt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przygotowania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studium</w:t>
            </w:r>
          </w:p>
          <w:p w:rsidR="00AB1F27" w:rsidRPr="00AF15BB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wykonalności</w:t>
            </w:r>
          </w:p>
        </w:tc>
        <w:tc>
          <w:tcPr>
            <w:tcW w:w="1808" w:type="dxa"/>
          </w:tcPr>
          <w:p w:rsidR="00AB1F27" w:rsidRDefault="00AF15BB" w:rsidP="00B760DB">
            <w:pPr>
              <w:autoSpaceDE w:val="0"/>
              <w:autoSpaceDN w:val="0"/>
              <w:adjustRightInd w:val="0"/>
              <w:rPr>
                <w:rFonts w:ascii="Roboto-Medium" w:hAnsi="Roboto-Medium" w:cs="Roboto-Medium"/>
                <w:sz w:val="36"/>
                <w:szCs w:val="36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4 616 322,57 zł</w:t>
            </w:r>
          </w:p>
        </w:tc>
        <w:tc>
          <w:tcPr>
            <w:tcW w:w="3119" w:type="dxa"/>
          </w:tcPr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Nakłady niezbędne do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prowadzenia tak złożonego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informatycznego,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 xml:space="preserve">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obejmującego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pełny cykl wytwarzania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oprogramowania, przy założeniu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ścisłej współpracy beneficjenta z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wykonawcą systemu.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Jednocześnie z udziałem w procesie wytwarzania zespół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projektowy musi sprawować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nadzór nad projektem, kontrolę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postępów prac, prowadzić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odbiory i rozliczenia co wymaga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znaczącego zaangażowania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osobowego.</w:t>
            </w:r>
            <w:r w:rsidR="007C2ECC">
              <w:rPr>
                <w:rFonts w:ascii="Roboto-Regular" w:hAnsi="Roboto-Regular" w:cs="Roboto-Regular"/>
                <w:sz w:val="24"/>
                <w:szCs w:val="24"/>
              </w:rPr>
              <w:t xml:space="preserve"> </w:t>
            </w:r>
            <w:r>
              <w:rPr>
                <w:rFonts w:ascii="Roboto-Regular" w:hAnsi="Roboto-Regular" w:cs="Roboto-Regular"/>
                <w:sz w:val="24"/>
                <w:szCs w:val="24"/>
              </w:rPr>
              <w:t>Przewidywane jest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też niezbędne wsparcie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eksperckie ze strony podmiotu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zewnętrznego w obszarach</w:t>
            </w:r>
          </w:p>
          <w:p w:rsidR="00AF15BB" w:rsidRDefault="00AF15BB" w:rsidP="00AF15B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wymagających wiedzy</w:t>
            </w:r>
          </w:p>
          <w:p w:rsidR="00AB1F27" w:rsidRPr="00267F56" w:rsidRDefault="00AF15BB" w:rsidP="00B760DB">
            <w:pPr>
              <w:autoSpaceDE w:val="0"/>
              <w:autoSpaceDN w:val="0"/>
              <w:adjustRightInd w:val="0"/>
              <w:rPr>
                <w:rFonts w:ascii="Roboto-Regular" w:hAnsi="Roboto-Regular" w:cs="Roboto-Regular"/>
                <w:sz w:val="24"/>
                <w:szCs w:val="24"/>
              </w:rPr>
            </w:pPr>
            <w:r>
              <w:rPr>
                <w:rFonts w:ascii="Roboto-Regular" w:hAnsi="Roboto-Regular" w:cs="Roboto-Regular"/>
                <w:sz w:val="24"/>
                <w:szCs w:val="24"/>
              </w:rPr>
              <w:t>wykraczającej poza kompetencje zespoł</w:t>
            </w:r>
            <w:r w:rsidR="00267F56">
              <w:rPr>
                <w:rFonts w:ascii="Roboto-Regular" w:hAnsi="Roboto-Regular" w:cs="Roboto-Regular"/>
                <w:sz w:val="24"/>
                <w:szCs w:val="24"/>
              </w:rPr>
              <w:t>u projektowego.</w:t>
            </w:r>
          </w:p>
        </w:tc>
      </w:tr>
    </w:tbl>
    <w:p w:rsidR="00AB1F27" w:rsidRDefault="00AB1F27" w:rsidP="00B760DB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36"/>
          <w:szCs w:val="36"/>
        </w:rPr>
      </w:pPr>
    </w:p>
    <w:sectPr w:rsidR="00AB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Medium">
    <w:altName w:val="Times New Roman"/>
    <w:charset w:val="00"/>
    <w:family w:val="roman"/>
    <w:pitch w:val="default"/>
  </w:font>
  <w:font w:name="Roboto-Regular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B"/>
    <w:rsid w:val="000648EB"/>
    <w:rsid w:val="00267F56"/>
    <w:rsid w:val="007C2ECC"/>
    <w:rsid w:val="00AB1F27"/>
    <w:rsid w:val="00AF15BB"/>
    <w:rsid w:val="00B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Cabańska</dc:creator>
  <cp:lastModifiedBy>Barbara Oskwarek</cp:lastModifiedBy>
  <cp:revision>4</cp:revision>
  <dcterms:created xsi:type="dcterms:W3CDTF">2020-04-29T12:02:00Z</dcterms:created>
  <dcterms:modified xsi:type="dcterms:W3CDTF">2020-04-29T13:38:00Z</dcterms:modified>
</cp:coreProperties>
</file>