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CF11D4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486E30" w:rsidRPr="009A221A" w:rsidRDefault="00CF11D4" w:rsidP="00E34B1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65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bookmarkStart w:id="0" w:name="ezdDataPodpisu"/>
      <w:r w:rsidRPr="009A221A">
        <w:rPr>
          <w:rFonts w:ascii="Arial" w:hAnsi="Arial" w:cs="Arial"/>
          <w:sz w:val="20"/>
          <w:szCs w:val="20"/>
        </w:rPr>
        <w:t>02 marca 2020</w:t>
      </w:r>
      <w:bookmarkEnd w:id="0"/>
    </w:p>
    <w:p w:rsidR="00420AC6" w:rsidRDefault="00CF11D4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bookmarkStart w:id="1" w:name="ezdSprawaZnak"/>
      <w:r>
        <w:rPr>
          <w:rFonts w:ascii="Arial" w:hAnsi="Arial" w:cs="Arial"/>
          <w:sz w:val="20"/>
          <w:szCs w:val="20"/>
        </w:rPr>
        <w:t>DAB-Ia.053.1.2019</w:t>
      </w:r>
      <w:bookmarkEnd w:id="1"/>
      <w:r>
        <w:rPr>
          <w:rFonts w:ascii="Arial" w:hAnsi="Arial" w:cs="Arial"/>
          <w:sz w:val="20"/>
          <w:szCs w:val="20"/>
        </w:rPr>
        <w:t>.SM</w:t>
      </w:r>
    </w:p>
    <w:p w:rsidR="00AC6F29" w:rsidRDefault="00CF11D4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CF11D4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CF11D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5B492B" w:rsidRDefault="00CF11D4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970839" w:rsidRPr="001E13F0" w:rsidRDefault="00CF11D4" w:rsidP="00C639FC">
      <w:pPr>
        <w:tabs>
          <w:tab w:val="center" w:pos="1470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  <w:r w:rsidRPr="001E13F0">
        <w:rPr>
          <w:rFonts w:ascii="Arial" w:hAnsi="Arial" w:cs="Arial"/>
          <w:spacing w:val="4"/>
          <w:sz w:val="20"/>
          <w:szCs w:val="20"/>
        </w:rPr>
        <w:t>Pan</w:t>
      </w:r>
    </w:p>
    <w:p w:rsidR="00290E66" w:rsidRPr="008C3BB7" w:rsidRDefault="00CF11D4" w:rsidP="008C3BB7">
      <w:pPr>
        <w:tabs>
          <w:tab w:val="center" w:pos="1470"/>
        </w:tabs>
        <w:spacing w:after="120" w:line="240" w:lineRule="exact"/>
        <w:ind w:left="5670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Paweł Drożdżal</w:t>
      </w:r>
    </w:p>
    <w:p w:rsidR="002D2733" w:rsidRPr="002D2733" w:rsidRDefault="00CF11D4" w:rsidP="001E13F0">
      <w:pPr>
        <w:tabs>
          <w:tab w:val="center" w:pos="1848"/>
          <w:tab w:val="left" w:pos="5273"/>
        </w:tabs>
        <w:spacing w:before="600" w:after="600" w:line="36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ZAWIADOMIENIE O SPOSOBIE ZAŁATWIENIA PETYCJI</w:t>
      </w:r>
    </w:p>
    <w:p w:rsidR="00BC0D8D" w:rsidRDefault="00CF11D4" w:rsidP="00B430EC">
      <w:pPr>
        <w:spacing w:before="120" w:after="6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Minister Rozwoju działając na podstawie art. 13 ust. 1 ustawy z dnia 11 lipca 2014 o petycjach, w związku z Pana petycjami z 21 oraz 30 listopada 2019 r., w sprawie uwzględnienia w aktualnych lub przyszłych pracach nad projektem rozporządzenia </w:t>
      </w:r>
      <w:r>
        <w:rPr>
          <w:rFonts w:ascii="Arial" w:hAnsi="Arial" w:cs="Arial"/>
          <w:sz w:val="20"/>
          <w:szCs w:val="20"/>
        </w:rPr>
        <w:t>Ministra Inf</w:t>
      </w:r>
      <w:r>
        <w:rPr>
          <w:rFonts w:ascii="Arial" w:hAnsi="Arial" w:cs="Arial"/>
          <w:sz w:val="20"/>
          <w:szCs w:val="20"/>
        </w:rPr>
        <w:t>rastruktury z dnia 12 kwietnia 2002 r. w sprawie warunków technicznych, jakim powinny odpowiadać budynki i ich usytuowanie (Dz. U. z 2019 r. poz. 1065)</w:t>
      </w:r>
      <w:r>
        <w:rPr>
          <w:rFonts w:ascii="Arial" w:hAnsi="Arial" w:cs="Arial"/>
          <w:sz w:val="20"/>
          <w:szCs w:val="20"/>
        </w:rPr>
        <w:t>, zwanego dalej rozporządzeniem Wt,</w:t>
      </w:r>
      <w:r>
        <w:rPr>
          <w:rFonts w:ascii="Arial" w:hAnsi="Arial" w:cs="Arial"/>
          <w:sz w:val="20"/>
          <w:szCs w:val="20"/>
        </w:rPr>
        <w:t xml:space="preserve"> odpo</w:t>
      </w:r>
      <w:r>
        <w:rPr>
          <w:rFonts w:ascii="Arial" w:hAnsi="Arial" w:cs="Arial"/>
          <w:sz w:val="20"/>
          <w:szCs w:val="20"/>
        </w:rPr>
        <w:t>wiedniego zapisu w § 293 ust. 6, który dotyczyłby przeciwdziałani</w:t>
      </w:r>
      <w:r>
        <w:rPr>
          <w:rFonts w:ascii="Arial" w:hAnsi="Arial" w:cs="Arial"/>
          <w:sz w:val="20"/>
          <w:szCs w:val="20"/>
        </w:rPr>
        <w:t>a zanieczyszczeniu sztucznym światłem spowodowanym przez nieprawidłowo zainstalowane i użytkowane urządzenia oświetleniowe na zewnątrz budynków lub w ich otoczeniu oraz zapisu, który obligowałby do stosowania inteligentnych rozwiązań zawartych w wytycznych</w:t>
      </w:r>
      <w:r>
        <w:rPr>
          <w:rFonts w:ascii="Arial" w:hAnsi="Arial" w:cs="Arial"/>
          <w:sz w:val="20"/>
          <w:szCs w:val="20"/>
        </w:rPr>
        <w:t xml:space="preserve"> normy PN-EN 12464-2:2014-05 dla urządzeń oświetleniowych na zewnątrz budynków lub w ich otoczeniu, informuje, że petycje zostały rozpatrzone.</w:t>
      </w:r>
    </w:p>
    <w:p w:rsidR="00121875" w:rsidRDefault="00CF11D4" w:rsidP="0045089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Pismem z 21 listopada 2019 r. (data wpływu 22 listopada 2019 r.) wniósł Pan petycję w sprawie uwzględnienia w akt</w:t>
      </w:r>
      <w:r>
        <w:rPr>
          <w:rFonts w:ascii="Arial" w:hAnsi="Arial" w:cs="Arial"/>
          <w:sz w:val="20"/>
          <w:szCs w:val="20"/>
        </w:rPr>
        <w:t xml:space="preserve">ualnych lub przyszłych pracach nad projektem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ozporządzenia </w:t>
      </w:r>
      <w:r>
        <w:rPr>
          <w:rFonts w:ascii="Arial" w:hAnsi="Arial" w:cs="Arial"/>
          <w:sz w:val="20"/>
          <w:szCs w:val="20"/>
        </w:rPr>
        <w:t>Wt</w:t>
      </w:r>
      <w:r>
        <w:rPr>
          <w:rFonts w:ascii="Arial" w:hAnsi="Arial" w:cs="Arial"/>
          <w:sz w:val="20"/>
          <w:szCs w:val="20"/>
        </w:rPr>
        <w:t xml:space="preserve">, odpowiedniego zapisu w § 293 ust. 6, który dotyczyłby przeciwdziałania zanieczyszczeniu sztucznym światłem spowodowanym przez nieprawidłowo zainstalowane i użytkowane urządzenia oświetleniowe </w:t>
      </w:r>
      <w:r>
        <w:rPr>
          <w:rFonts w:ascii="Arial" w:hAnsi="Arial" w:cs="Arial"/>
          <w:sz w:val="20"/>
          <w:szCs w:val="20"/>
        </w:rPr>
        <w:t xml:space="preserve">na zewnątrz budynków lub w ich otoczeniu. Następnie 30 listopada 2019 r. (data wpływu 2 grudnia 2019 r.) złożył Pan petycję w sprawie uwzględnienia w aktualnych lub przyszłych pracach nad projektem rozporządzenia </w:t>
      </w:r>
      <w:r>
        <w:rPr>
          <w:rFonts w:ascii="Arial" w:hAnsi="Arial" w:cs="Arial"/>
          <w:sz w:val="20"/>
          <w:szCs w:val="20"/>
        </w:rPr>
        <w:t>Wt</w:t>
      </w:r>
      <w:r>
        <w:rPr>
          <w:rFonts w:ascii="Arial" w:hAnsi="Arial" w:cs="Arial"/>
          <w:sz w:val="20"/>
          <w:szCs w:val="20"/>
        </w:rPr>
        <w:t>, odpowiedniego zapisu w § 293 ust. 6, kt</w:t>
      </w:r>
      <w:r>
        <w:rPr>
          <w:rFonts w:ascii="Arial" w:hAnsi="Arial" w:cs="Arial"/>
          <w:sz w:val="20"/>
          <w:szCs w:val="20"/>
        </w:rPr>
        <w:t>óry obligowałby do stosowania inteligentnych rozwiązań zawartych w wytycznych normy PN-EN 12464-2:2014-05 dla urządzeń oświetlenio</w:t>
      </w:r>
      <w:r>
        <w:rPr>
          <w:rFonts w:ascii="Arial" w:hAnsi="Arial" w:cs="Arial"/>
          <w:sz w:val="20"/>
          <w:szCs w:val="20"/>
        </w:rPr>
        <w:t>wych na zewnątrz budynków lub w </w:t>
      </w:r>
      <w:r>
        <w:rPr>
          <w:rFonts w:ascii="Arial" w:hAnsi="Arial" w:cs="Arial"/>
          <w:sz w:val="20"/>
          <w:szCs w:val="20"/>
        </w:rPr>
        <w:t>ich otoczeniu.</w:t>
      </w:r>
    </w:p>
    <w:p w:rsidR="00651EA8" w:rsidRDefault="00CF11D4" w:rsidP="0045089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przedmiotowej sprawie zwrócił Pan uwagę, iż obecnie w Polsce wiele urządzeń o</w:t>
      </w:r>
      <w:r>
        <w:rPr>
          <w:rFonts w:ascii="Arial" w:hAnsi="Arial" w:cs="Arial"/>
          <w:sz w:val="20"/>
          <w:szCs w:val="20"/>
        </w:rPr>
        <w:t>świetleniowych</w:t>
      </w:r>
      <w:r>
        <w:rPr>
          <w:rFonts w:ascii="Arial" w:hAnsi="Arial" w:cs="Arial"/>
          <w:sz w:val="20"/>
          <w:szCs w:val="20"/>
        </w:rPr>
        <w:t xml:space="preserve">, które </w:t>
      </w:r>
      <w:r>
        <w:rPr>
          <w:rFonts w:ascii="Arial" w:hAnsi="Arial" w:cs="Arial"/>
          <w:sz w:val="20"/>
          <w:szCs w:val="20"/>
        </w:rPr>
        <w:t xml:space="preserve"> umieszczan</w:t>
      </w:r>
      <w:r>
        <w:rPr>
          <w:rFonts w:ascii="Arial" w:hAnsi="Arial" w:cs="Arial"/>
          <w:sz w:val="20"/>
          <w:szCs w:val="20"/>
        </w:rPr>
        <w:t>e są</w:t>
      </w:r>
      <w:r>
        <w:rPr>
          <w:rFonts w:ascii="Arial" w:hAnsi="Arial" w:cs="Arial"/>
          <w:sz w:val="20"/>
          <w:szCs w:val="20"/>
        </w:rPr>
        <w:t xml:space="preserve"> na zewnątrz budynków lub w ich otoczeniu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narusza standardy dobrego projektowania oświetlenia. Lampy są często zamontowane w taki sposób, że nie oświetlają poziomo powierzchni użytkowej, </w:t>
      </w:r>
      <w:r>
        <w:rPr>
          <w:rFonts w:ascii="Arial" w:hAnsi="Arial" w:cs="Arial"/>
          <w:sz w:val="20"/>
          <w:szCs w:val="20"/>
        </w:rPr>
        <w:t>a to</w:t>
      </w:r>
      <w:r>
        <w:rPr>
          <w:rFonts w:ascii="Arial" w:hAnsi="Arial" w:cs="Arial"/>
          <w:sz w:val="20"/>
          <w:szCs w:val="20"/>
        </w:rPr>
        <w:t xml:space="preserve"> powoduje ucieczkę światła </w:t>
      </w:r>
      <w:r>
        <w:rPr>
          <w:rFonts w:ascii="Arial" w:hAnsi="Arial" w:cs="Arial"/>
          <w:sz w:val="20"/>
          <w:szCs w:val="20"/>
        </w:rPr>
        <w:t xml:space="preserve">ponad poziom oprawy. Taka ucieczka światła do góry jest jednym z głównych powodów zanieczyszczenia świetlnego w Polsce. </w:t>
      </w:r>
      <w:r>
        <w:rPr>
          <w:rFonts w:ascii="Arial" w:hAnsi="Arial" w:cs="Arial"/>
          <w:sz w:val="20"/>
          <w:szCs w:val="20"/>
        </w:rPr>
        <w:t>Ponadto zwrócił Pan uwagę na fakt, iż układy oświetleniowe powinny być projektowane w taki sposób, aby możliwe było: ściemnianie oświetl</w:t>
      </w:r>
      <w:r>
        <w:rPr>
          <w:rFonts w:ascii="Arial" w:hAnsi="Arial" w:cs="Arial"/>
          <w:sz w:val="20"/>
          <w:szCs w:val="20"/>
        </w:rPr>
        <w:t>enia, wyłączanie czasowe i instalowanie czujników ruchu bądź obecności. Natomiast obowiązujące przepisy nie gwarantują stosowania ww. rozwiązań przy oświetlaniu budynków na zewnątrz bądź ich otoczenia.</w:t>
      </w:r>
      <w:r>
        <w:rPr>
          <w:rFonts w:ascii="Arial" w:hAnsi="Arial" w:cs="Arial"/>
          <w:sz w:val="20"/>
          <w:szCs w:val="20"/>
        </w:rPr>
        <w:t xml:space="preserve"> Ponadto projektanci pozbawieni są podstaw prawnych do </w:t>
      </w:r>
      <w:r>
        <w:rPr>
          <w:rFonts w:ascii="Arial" w:hAnsi="Arial" w:cs="Arial"/>
          <w:sz w:val="20"/>
          <w:szCs w:val="20"/>
        </w:rPr>
        <w:t xml:space="preserve">stosowania i uwzględniania w projektach oświetlenia budynku bądź </w:t>
      </w:r>
      <w:r>
        <w:rPr>
          <w:rFonts w:ascii="Arial" w:hAnsi="Arial" w:cs="Arial"/>
          <w:sz w:val="20"/>
          <w:szCs w:val="20"/>
        </w:rPr>
        <w:t>jego</w:t>
      </w:r>
      <w:r>
        <w:rPr>
          <w:rFonts w:ascii="Arial" w:hAnsi="Arial" w:cs="Arial"/>
          <w:sz w:val="20"/>
          <w:szCs w:val="20"/>
        </w:rPr>
        <w:t xml:space="preserve"> otoczenia </w:t>
      </w:r>
      <w:r>
        <w:rPr>
          <w:rFonts w:ascii="Arial" w:hAnsi="Arial" w:cs="Arial"/>
          <w:sz w:val="20"/>
          <w:szCs w:val="20"/>
        </w:rPr>
        <w:t>inteligentnych systemów oświetlenia.</w:t>
      </w:r>
    </w:p>
    <w:p w:rsidR="007D2F30" w:rsidRDefault="00CF11D4" w:rsidP="0045089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Należy jednak zauważyć, iż zgodnie z art. 5 ust. 1 pkt 1 ustawy Pb obiekt budowlany jako całość oraz jego poszczególne części, wraz ze zwią</w:t>
      </w:r>
      <w:r>
        <w:rPr>
          <w:rFonts w:ascii="Arial" w:hAnsi="Arial" w:cs="Arial"/>
          <w:sz w:val="20"/>
          <w:szCs w:val="20"/>
        </w:rPr>
        <w:t>zanymi z nim urządzeniami budowlanymi należy, biorąc pod uwagę przewidywany okres użytkowania, projektować i budować w sposób określony w przepisach, w tym techniczno-budowlanych, oraz zgodnie z zasadami wiedzy technicznej, zapewniając spełnienie podstawow</w:t>
      </w:r>
      <w:r>
        <w:rPr>
          <w:rFonts w:ascii="Arial" w:hAnsi="Arial" w:cs="Arial"/>
          <w:sz w:val="20"/>
          <w:szCs w:val="20"/>
        </w:rPr>
        <w:t>ych wymagań dotyczących obiektów budowlanych określonych w załączniku I do rozporządzenia Parlamentu Europejskiego i Rady (UE) Nr 305/2011 z dnia 9 marca 2011 r. ustanawiającego zharmonizowane warunki wprowadzania do obrotu wyrobów budowlanych i uchylające</w:t>
      </w:r>
      <w:r>
        <w:rPr>
          <w:rFonts w:ascii="Arial" w:hAnsi="Arial" w:cs="Arial"/>
          <w:sz w:val="20"/>
          <w:szCs w:val="20"/>
        </w:rPr>
        <w:t xml:space="preserve">go dyrektywę Rady 89/106/EWG (Dz. Urz. UE L 88 z 04.04.2011, str. 5, z późn. zm.), dotyczących, m.in. </w:t>
      </w:r>
      <w:r>
        <w:rPr>
          <w:rFonts w:ascii="Arial" w:hAnsi="Arial" w:cs="Arial"/>
          <w:sz w:val="20"/>
          <w:szCs w:val="20"/>
        </w:rPr>
        <w:t xml:space="preserve">zdrowia i środowiska,  </w:t>
      </w:r>
      <w:r>
        <w:rPr>
          <w:rFonts w:ascii="Arial" w:hAnsi="Arial" w:cs="Arial"/>
          <w:sz w:val="20"/>
          <w:szCs w:val="20"/>
        </w:rPr>
        <w:t xml:space="preserve">oszczędności </w:t>
      </w:r>
      <w:r>
        <w:rPr>
          <w:rFonts w:ascii="Arial" w:hAnsi="Arial" w:cs="Arial"/>
          <w:sz w:val="20"/>
          <w:szCs w:val="20"/>
        </w:rPr>
        <w:t>energii</w:t>
      </w:r>
      <w:r>
        <w:rPr>
          <w:rFonts w:ascii="Arial" w:hAnsi="Arial" w:cs="Arial"/>
          <w:sz w:val="20"/>
          <w:szCs w:val="20"/>
        </w:rPr>
        <w:t>, jak również zrównoważonego wykorzystania zasobów naturalnych</w:t>
      </w:r>
      <w:r>
        <w:rPr>
          <w:rFonts w:ascii="Arial" w:hAnsi="Arial" w:cs="Arial"/>
          <w:sz w:val="20"/>
          <w:szCs w:val="20"/>
        </w:rPr>
        <w:t>. Ponadto obie</w:t>
      </w:r>
      <w:r>
        <w:rPr>
          <w:rFonts w:ascii="Arial" w:hAnsi="Arial" w:cs="Arial"/>
          <w:sz w:val="20"/>
          <w:szCs w:val="20"/>
        </w:rPr>
        <w:t>kt budowlany należy użytkować w </w:t>
      </w:r>
      <w:r>
        <w:rPr>
          <w:rFonts w:ascii="Arial" w:hAnsi="Arial" w:cs="Arial"/>
          <w:sz w:val="20"/>
          <w:szCs w:val="20"/>
        </w:rPr>
        <w:t xml:space="preserve">sposób zgodny z jego przeznaczeniem i wymaganiami ochrony środowiska oraz utrzymywać w należytym stanie technicznym 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i estetycznym, nie dopuszczając do nadmiernego pogorszeni</w:t>
      </w:r>
      <w:r>
        <w:rPr>
          <w:rFonts w:ascii="Arial" w:hAnsi="Arial" w:cs="Arial"/>
          <w:sz w:val="20"/>
          <w:szCs w:val="20"/>
        </w:rPr>
        <w:t>a jego właściwości użytkowych i </w:t>
      </w:r>
      <w:r>
        <w:rPr>
          <w:rFonts w:ascii="Arial" w:hAnsi="Arial" w:cs="Arial"/>
          <w:sz w:val="20"/>
          <w:szCs w:val="20"/>
        </w:rPr>
        <w:t xml:space="preserve">sprawności technicznej, w szczególności w zakresie </w:t>
      </w:r>
      <w:r>
        <w:rPr>
          <w:rFonts w:ascii="Arial" w:hAnsi="Arial" w:cs="Arial"/>
          <w:sz w:val="20"/>
          <w:szCs w:val="20"/>
        </w:rPr>
        <w:t xml:space="preserve">związanym z wymaganiami, </w:t>
      </w:r>
      <w:r>
        <w:rPr>
          <w:rFonts w:ascii="Arial" w:hAnsi="Arial" w:cs="Arial"/>
          <w:sz w:val="20"/>
          <w:szCs w:val="20"/>
        </w:rPr>
        <w:t>o których mowa w ust. 1 </w:t>
      </w:r>
      <w:r>
        <w:rPr>
          <w:rFonts w:ascii="Arial" w:hAnsi="Arial" w:cs="Arial"/>
          <w:sz w:val="20"/>
          <w:szCs w:val="20"/>
        </w:rPr>
        <w:t>pkt 1-7 (zgodnie z art. 5 ust. 2 ustawy Pb).</w:t>
      </w:r>
    </w:p>
    <w:p w:rsidR="007D2F30" w:rsidRDefault="00CF11D4" w:rsidP="004531FE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również zauważyć, iż w myśl art. 61 pkt 1 ustawy Pb właściciel lub zarządca obiektu budowlanego jest obowiązany utrzymywać i użytkować obiekt zgodnie z zas</w:t>
      </w:r>
      <w:r>
        <w:rPr>
          <w:rFonts w:ascii="Arial" w:hAnsi="Arial" w:cs="Arial"/>
          <w:sz w:val="20"/>
          <w:szCs w:val="20"/>
        </w:rPr>
        <w:t>adami, o których mowa w art. 5 ust. 2 ustawy Pb.</w:t>
      </w:r>
    </w:p>
    <w:p w:rsidR="00A6043D" w:rsidRDefault="00CF11D4" w:rsidP="00BA6E0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z</w:t>
      </w:r>
      <w:r>
        <w:rPr>
          <w:rFonts w:ascii="Arial" w:hAnsi="Arial" w:cs="Arial"/>
          <w:sz w:val="20"/>
          <w:szCs w:val="20"/>
        </w:rPr>
        <w:t xml:space="preserve">godnie z § 293 ust. 6 rozporządzenia </w:t>
      </w:r>
      <w:r>
        <w:rPr>
          <w:rFonts w:ascii="Arial" w:hAnsi="Arial" w:cs="Arial"/>
          <w:sz w:val="20"/>
          <w:szCs w:val="20"/>
        </w:rPr>
        <w:t>Wt</w:t>
      </w:r>
      <w:r>
        <w:rPr>
          <w:rFonts w:ascii="Arial" w:hAnsi="Arial" w:cs="Arial"/>
          <w:sz w:val="20"/>
          <w:szCs w:val="20"/>
        </w:rPr>
        <w:t xml:space="preserve"> </w:t>
      </w:r>
      <w:r w:rsidRPr="0076523F">
        <w:rPr>
          <w:rFonts w:ascii="Arial" w:hAnsi="Arial" w:cs="Arial"/>
          <w:i/>
          <w:sz w:val="20"/>
          <w:szCs w:val="20"/>
        </w:rPr>
        <w:t>„Urządzenia oświetleniowe, w tym reklamy, umieszczone na zewnątrz budynku lub w jego otoczeniu nie mogą powodować uciążliwości dla jego użytkowników ani też p</w:t>
      </w:r>
      <w:r w:rsidRPr="0076523F">
        <w:rPr>
          <w:rFonts w:ascii="Arial" w:hAnsi="Arial" w:cs="Arial"/>
          <w:i/>
          <w:sz w:val="20"/>
          <w:szCs w:val="20"/>
        </w:rPr>
        <w:t>rzechodniów i kierowców. Jeżeli światło skierowane jest na elewację budynku zawierającą okna, natężenie oświetlenia na tej elewacji nie może przekraczać 5</w:t>
      </w:r>
      <w:r>
        <w:rPr>
          <w:rFonts w:ascii="Arial" w:hAnsi="Arial" w:cs="Arial"/>
          <w:i/>
          <w:sz w:val="20"/>
          <w:szCs w:val="20"/>
        </w:rPr>
        <w:t> </w:t>
      </w:r>
      <w:r w:rsidRPr="0076523F">
        <w:rPr>
          <w:rFonts w:ascii="Arial" w:hAnsi="Arial" w:cs="Arial"/>
          <w:i/>
          <w:sz w:val="20"/>
          <w:szCs w:val="20"/>
        </w:rPr>
        <w:t>luksów w przypadku światła</w:t>
      </w:r>
      <w:r>
        <w:rPr>
          <w:rFonts w:ascii="Arial" w:hAnsi="Arial" w:cs="Arial"/>
          <w:i/>
          <w:sz w:val="20"/>
          <w:szCs w:val="20"/>
        </w:rPr>
        <w:t xml:space="preserve"> białego i 3 </w:t>
      </w:r>
      <w:r>
        <w:rPr>
          <w:rFonts w:ascii="Arial" w:hAnsi="Arial" w:cs="Arial"/>
          <w:i/>
          <w:sz w:val="20"/>
          <w:szCs w:val="20"/>
        </w:rPr>
        <w:t>luksów w </w:t>
      </w:r>
      <w:r w:rsidRPr="0076523F">
        <w:rPr>
          <w:rFonts w:ascii="Arial" w:hAnsi="Arial" w:cs="Arial"/>
          <w:i/>
          <w:sz w:val="20"/>
          <w:szCs w:val="20"/>
        </w:rPr>
        <w:t xml:space="preserve">przypadku światła </w:t>
      </w:r>
      <w:r>
        <w:rPr>
          <w:rFonts w:ascii="Arial" w:hAnsi="Arial" w:cs="Arial"/>
          <w:i/>
          <w:sz w:val="20"/>
          <w:szCs w:val="20"/>
        </w:rPr>
        <w:t>kolorowego lub światła o </w:t>
      </w:r>
      <w:r w:rsidRPr="0076523F">
        <w:rPr>
          <w:rFonts w:ascii="Arial" w:hAnsi="Arial" w:cs="Arial"/>
          <w:i/>
          <w:sz w:val="20"/>
          <w:szCs w:val="20"/>
        </w:rPr>
        <w:t>zmieniając</w:t>
      </w:r>
      <w:r w:rsidRPr="0076523F">
        <w:rPr>
          <w:rFonts w:ascii="Arial" w:hAnsi="Arial" w:cs="Arial"/>
          <w:i/>
          <w:sz w:val="20"/>
          <w:szCs w:val="20"/>
        </w:rPr>
        <w:t>ym się natężeniu, błyskowego, ewentualnie pulsującego.</w:t>
      </w:r>
      <w:r w:rsidRPr="0076523F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96BAB">
        <w:rPr>
          <w:rFonts w:ascii="Arial" w:hAnsi="Arial" w:cs="Arial"/>
          <w:sz w:val="20"/>
          <w:szCs w:val="20"/>
        </w:rPr>
        <w:t>Powyższy przepis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wskazuje wprost, iż </w:t>
      </w:r>
      <w:r w:rsidRPr="007470A2">
        <w:rPr>
          <w:rFonts w:ascii="Arial" w:hAnsi="Arial" w:cs="Arial"/>
          <w:sz w:val="20"/>
          <w:szCs w:val="20"/>
          <w:u w:val="single"/>
        </w:rPr>
        <w:t>urządzenia oświetleniowe umieszczane na zewnątrz budynku lub w jego oto</w:t>
      </w:r>
      <w:r w:rsidRPr="007470A2">
        <w:rPr>
          <w:rFonts w:ascii="Arial" w:hAnsi="Arial" w:cs="Arial"/>
          <w:sz w:val="20"/>
          <w:szCs w:val="20"/>
          <w:u w:val="single"/>
        </w:rPr>
        <w:t xml:space="preserve">czeniu nie mogą powodować uciążliwości dla użytkowników budynku, jak również przechodniów i </w:t>
      </w:r>
      <w:r w:rsidRPr="007470A2">
        <w:rPr>
          <w:rFonts w:ascii="Arial" w:hAnsi="Arial" w:cs="Arial"/>
          <w:sz w:val="20"/>
          <w:szCs w:val="20"/>
          <w:u w:val="single"/>
        </w:rPr>
        <w:t>kierowców.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Ponadto uregulowane zostało maksymalne natężenie oświetlenia w przypadku, gdy światło kierowane jest na elewację budynku, która zawiera okna. </w:t>
      </w:r>
    </w:p>
    <w:p w:rsidR="004531FE" w:rsidRPr="0076523F" w:rsidRDefault="00CF11D4" w:rsidP="00BA6E0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</w:t>
      </w:r>
      <w:r>
        <w:rPr>
          <w:rFonts w:ascii="Arial" w:hAnsi="Arial" w:cs="Arial"/>
          <w:sz w:val="20"/>
          <w:szCs w:val="20"/>
        </w:rPr>
        <w:t>powyższe</w:t>
      </w:r>
      <w:r>
        <w:rPr>
          <w:rFonts w:ascii="Arial" w:hAnsi="Arial" w:cs="Arial"/>
          <w:sz w:val="20"/>
          <w:szCs w:val="20"/>
        </w:rPr>
        <w:t xml:space="preserve"> przepisy</w:t>
      </w:r>
      <w:r>
        <w:rPr>
          <w:rFonts w:ascii="Arial" w:hAnsi="Arial" w:cs="Arial"/>
          <w:sz w:val="20"/>
          <w:szCs w:val="20"/>
        </w:rPr>
        <w:t xml:space="preserve"> zaznaczyć należy, iż zawierają one zapisy nakładające obowiązek proj</w:t>
      </w:r>
      <w:r>
        <w:rPr>
          <w:rFonts w:ascii="Arial" w:hAnsi="Arial" w:cs="Arial"/>
          <w:sz w:val="20"/>
          <w:szCs w:val="20"/>
        </w:rPr>
        <w:t xml:space="preserve">ektowania, montażu oraz użytkowania urządzeń oświetleniowych w taki sposób, aby nie </w:t>
      </w:r>
      <w:r>
        <w:rPr>
          <w:rFonts w:ascii="Arial" w:hAnsi="Arial" w:cs="Arial"/>
          <w:sz w:val="20"/>
          <w:szCs w:val="20"/>
        </w:rPr>
        <w:t>powodowały zagrożenia, uciążliwości oraz nadmiernego zużycia energii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Należy także </w:t>
      </w:r>
      <w:r>
        <w:rPr>
          <w:rFonts w:ascii="Arial" w:hAnsi="Arial" w:cs="Arial"/>
          <w:sz w:val="20"/>
          <w:szCs w:val="20"/>
        </w:rPr>
        <w:t>zaznaczyć</w:t>
      </w:r>
      <w:r>
        <w:rPr>
          <w:rFonts w:ascii="Arial" w:hAnsi="Arial" w:cs="Arial"/>
          <w:sz w:val="20"/>
          <w:szCs w:val="20"/>
        </w:rPr>
        <w:t>, że</w:t>
      </w:r>
      <w:r>
        <w:rPr>
          <w:rFonts w:ascii="Arial" w:hAnsi="Arial" w:cs="Arial"/>
          <w:sz w:val="20"/>
          <w:szCs w:val="20"/>
        </w:rPr>
        <w:t xml:space="preserve"> obowiązujące przepisy nie uniemożliwiają stosowania </w:t>
      </w:r>
      <w:r>
        <w:rPr>
          <w:rFonts w:ascii="Arial" w:hAnsi="Arial" w:cs="Arial"/>
          <w:sz w:val="20"/>
          <w:szCs w:val="20"/>
        </w:rPr>
        <w:t xml:space="preserve">przy projektowaniu oświetlenia budynku bądź jego otoczenia, </w:t>
      </w:r>
      <w:r>
        <w:rPr>
          <w:rFonts w:ascii="Arial" w:hAnsi="Arial" w:cs="Arial"/>
          <w:sz w:val="20"/>
          <w:szCs w:val="20"/>
        </w:rPr>
        <w:t>wskazanych przez Pana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inteligentnych systemów.</w:t>
      </w:r>
    </w:p>
    <w:p w:rsidR="00E27561" w:rsidRPr="00BA6E09" w:rsidRDefault="00CF11D4" w:rsidP="00E27561">
      <w:pPr>
        <w:spacing w:before="12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Odnosząc się do kwestii stosowania Polskich Norm</w:t>
      </w:r>
      <w:r w:rsidRPr="00BA6E09">
        <w:rPr>
          <w:rFonts w:ascii="Arial" w:hAnsi="Arial" w:cs="Arial"/>
          <w:spacing w:val="4"/>
          <w:sz w:val="20"/>
          <w:szCs w:val="20"/>
        </w:rPr>
        <w:t xml:space="preserve"> wskazać należy, iż Polskie Nor</w:t>
      </w:r>
      <w:r>
        <w:rPr>
          <w:rFonts w:ascii="Arial" w:hAnsi="Arial" w:cs="Arial"/>
          <w:spacing w:val="4"/>
          <w:sz w:val="20"/>
          <w:szCs w:val="20"/>
        </w:rPr>
        <w:t>my powoływane w </w:t>
      </w:r>
      <w:r w:rsidRPr="00BA6E09">
        <w:rPr>
          <w:rFonts w:ascii="Arial" w:hAnsi="Arial" w:cs="Arial"/>
          <w:spacing w:val="4"/>
          <w:sz w:val="20"/>
          <w:szCs w:val="20"/>
        </w:rPr>
        <w:t>przepisach prawnych, zawierają wiedzę techniczną, o k</w:t>
      </w:r>
      <w:r w:rsidRPr="00BA6E09">
        <w:rPr>
          <w:rFonts w:ascii="Arial" w:hAnsi="Arial" w:cs="Arial"/>
          <w:spacing w:val="4"/>
          <w:sz w:val="20"/>
          <w:szCs w:val="20"/>
        </w:rPr>
        <w:t>tórej mowa w art. 5 ust. 1 ustawy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BA6E09">
        <w:rPr>
          <w:rFonts w:ascii="Arial" w:hAnsi="Arial" w:cs="Arial"/>
          <w:spacing w:val="4"/>
          <w:sz w:val="20"/>
          <w:szCs w:val="20"/>
        </w:rPr>
        <w:t>Pb, mającą istotne znaczenie dla spełnienia przez obiekty budowlane wymagań podstawowych, a w konsekwencji zapewnienie bezpieczeństwa użytkowania tych obiektów.</w:t>
      </w:r>
    </w:p>
    <w:p w:rsidR="00E27561" w:rsidRDefault="00CF11D4" w:rsidP="00E27561">
      <w:pPr>
        <w:spacing w:before="120" w:after="12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BA6E09">
        <w:rPr>
          <w:rFonts w:ascii="Arial" w:hAnsi="Arial" w:cs="Arial"/>
          <w:spacing w:val="4"/>
          <w:sz w:val="20"/>
          <w:szCs w:val="20"/>
        </w:rPr>
        <w:t>Zgodnie z art. 5 ust. 3 ustawy z dnia 12 września 2002 r. o n</w:t>
      </w:r>
      <w:r w:rsidRPr="00BA6E09">
        <w:rPr>
          <w:rFonts w:ascii="Arial" w:hAnsi="Arial" w:cs="Arial"/>
          <w:spacing w:val="4"/>
          <w:sz w:val="20"/>
          <w:szCs w:val="20"/>
        </w:rPr>
        <w:t>ormalizacji</w:t>
      </w:r>
      <w:r w:rsidRPr="00BA6E09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BA6E09">
        <w:rPr>
          <w:rFonts w:ascii="Arial" w:hAnsi="Arial" w:cs="Arial"/>
          <w:spacing w:val="4"/>
          <w:sz w:val="20"/>
          <w:szCs w:val="20"/>
        </w:rPr>
        <w:t xml:space="preserve">(Dz. U. </w:t>
      </w:r>
      <w:r w:rsidRPr="00BA6E09">
        <w:rPr>
          <w:rFonts w:ascii="Arial" w:hAnsi="Arial" w:cs="Arial"/>
          <w:spacing w:val="4"/>
          <w:sz w:val="20"/>
          <w:szCs w:val="20"/>
        </w:rPr>
        <w:br/>
        <w:t>z 2015 r., poz. 1483),</w:t>
      </w:r>
      <w:r>
        <w:rPr>
          <w:rFonts w:ascii="Arial" w:hAnsi="Arial" w:cs="Arial"/>
          <w:spacing w:val="4"/>
          <w:sz w:val="20"/>
          <w:szCs w:val="20"/>
        </w:rPr>
        <w:t xml:space="preserve"> zwanej dalej ustawą o normalizacji,</w:t>
      </w:r>
      <w:r w:rsidRPr="00BA6E09">
        <w:rPr>
          <w:rFonts w:ascii="Arial" w:hAnsi="Arial" w:cs="Arial"/>
          <w:spacing w:val="4"/>
          <w:sz w:val="20"/>
          <w:szCs w:val="20"/>
        </w:rPr>
        <w:t xml:space="preserve"> stosowanie Polskich Norm jest dobrowolne. Dopiero ich powołanie w przepisach techniczno-budowlanych czyni je, w całości lub w stosowanym zakresie powołania, integralną częścią </w:t>
      </w:r>
      <w:r w:rsidRPr="00BA6E09">
        <w:rPr>
          <w:rFonts w:ascii="Arial" w:hAnsi="Arial" w:cs="Arial"/>
          <w:spacing w:val="4"/>
          <w:sz w:val="20"/>
          <w:szCs w:val="20"/>
        </w:rPr>
        <w:t>przepisu, w którym zostały powołane. Oznacza to, że obowiązek stosowania reguł technicznych zawartych w określonych normach, wynika z przywołania ich w tekstach przepisów prawa.</w:t>
      </w:r>
    </w:p>
    <w:p w:rsidR="00E27561" w:rsidRDefault="00CF11D4" w:rsidP="00E27561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lastRenderedPageBreak/>
        <w:t>Niemniej jednak, w myśl</w:t>
      </w:r>
      <w:r w:rsidRPr="00692532">
        <w:rPr>
          <w:rFonts w:ascii="Arial" w:hAnsi="Arial" w:cs="Arial"/>
          <w:spacing w:val="4"/>
          <w:sz w:val="20"/>
          <w:szCs w:val="20"/>
        </w:rPr>
        <w:t xml:space="preserve"> art. 5 ust. 4 ustawy o normalizacji</w:t>
      </w:r>
      <w:r>
        <w:rPr>
          <w:rFonts w:ascii="Arial" w:hAnsi="Arial" w:cs="Arial"/>
          <w:spacing w:val="4"/>
          <w:sz w:val="20"/>
          <w:szCs w:val="20"/>
        </w:rPr>
        <w:t>,</w:t>
      </w:r>
      <w:r w:rsidRPr="00692532">
        <w:rPr>
          <w:rFonts w:ascii="Arial" w:hAnsi="Arial" w:cs="Arial"/>
          <w:spacing w:val="4"/>
          <w:sz w:val="20"/>
          <w:szCs w:val="20"/>
        </w:rPr>
        <w:t xml:space="preserve"> </w:t>
      </w:r>
      <w:r w:rsidRPr="00692532">
        <w:rPr>
          <w:rFonts w:ascii="Arial" w:hAnsi="Arial" w:cs="Arial"/>
          <w:sz w:val="20"/>
          <w:szCs w:val="20"/>
        </w:rPr>
        <w:t>Pols</w:t>
      </w:r>
      <w:r>
        <w:rPr>
          <w:rFonts w:ascii="Arial" w:hAnsi="Arial" w:cs="Arial"/>
          <w:sz w:val="20"/>
          <w:szCs w:val="20"/>
        </w:rPr>
        <w:t xml:space="preserve">kie Normy </w:t>
      </w:r>
      <w:r>
        <w:rPr>
          <w:rFonts w:ascii="Arial" w:hAnsi="Arial" w:cs="Arial"/>
          <w:sz w:val="20"/>
          <w:szCs w:val="20"/>
        </w:rPr>
        <w:t>mogą być powoływane w </w:t>
      </w:r>
      <w:r w:rsidRPr="00692532">
        <w:rPr>
          <w:rFonts w:ascii="Arial" w:hAnsi="Arial" w:cs="Arial"/>
          <w:sz w:val="20"/>
          <w:szCs w:val="20"/>
        </w:rPr>
        <w:t>przepisach prawnych po ich opublikowaniu w języku polskim.</w:t>
      </w:r>
    </w:p>
    <w:p w:rsidR="00BA6E09" w:rsidRDefault="00CF11D4" w:rsidP="00E27561">
      <w:pPr>
        <w:spacing w:before="120" w:after="12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77855">
        <w:rPr>
          <w:rFonts w:ascii="Arial" w:hAnsi="Arial" w:cs="Arial"/>
          <w:sz w:val="20"/>
          <w:szCs w:val="20"/>
        </w:rPr>
        <w:t>odkreślenia wymaga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również</w:t>
      </w:r>
      <w:r w:rsidRPr="00F77855">
        <w:rPr>
          <w:rFonts w:ascii="Arial" w:hAnsi="Arial" w:cs="Arial"/>
          <w:sz w:val="20"/>
          <w:szCs w:val="20"/>
        </w:rPr>
        <w:t xml:space="preserve"> fakt, iż </w:t>
      </w:r>
      <w:r w:rsidRPr="00F77855">
        <w:rPr>
          <w:rFonts w:ascii="Arial" w:hAnsi="Arial" w:cs="Arial"/>
          <w:spacing w:val="4"/>
          <w:sz w:val="20"/>
          <w:szCs w:val="20"/>
        </w:rPr>
        <w:t>zgodnie z art. 20 ust. 1 ustawy Pb</w:t>
      </w:r>
      <w:r>
        <w:rPr>
          <w:rFonts w:ascii="Arial" w:hAnsi="Arial" w:cs="Arial"/>
          <w:spacing w:val="4"/>
          <w:sz w:val="20"/>
          <w:szCs w:val="20"/>
        </w:rPr>
        <w:t>,</w:t>
      </w:r>
      <w:r w:rsidRPr="00F77855">
        <w:rPr>
          <w:rFonts w:ascii="Arial" w:hAnsi="Arial" w:cs="Arial"/>
          <w:spacing w:val="4"/>
          <w:sz w:val="20"/>
          <w:szCs w:val="20"/>
        </w:rPr>
        <w:t xml:space="preserve"> do podstawowych obowiązków projektanta należy opracowanie projektu budowlanego w sposób zgodny z wymag</w:t>
      </w:r>
      <w:r w:rsidRPr="00F77855">
        <w:rPr>
          <w:rFonts w:ascii="Arial" w:hAnsi="Arial" w:cs="Arial"/>
          <w:spacing w:val="4"/>
          <w:sz w:val="20"/>
          <w:szCs w:val="20"/>
        </w:rPr>
        <w:t>aniami ustawy, ustaleniami określonymi w decyzjach administracyjnych dotyczących zamierzenia budowlanego, obowiązującymi przepisami oraz zasadami wiedzy technicznej. Projektowanie stanowi jedną z działalności polegającej na wykonywaniu samodzielnej funkcji</w:t>
      </w:r>
      <w:r w:rsidRPr="00F77855">
        <w:rPr>
          <w:rFonts w:ascii="Arial" w:hAnsi="Arial" w:cs="Arial"/>
          <w:spacing w:val="4"/>
          <w:sz w:val="20"/>
          <w:szCs w:val="20"/>
        </w:rPr>
        <w:t xml:space="preserve"> technicznej w budownictwie, czyli obejmującej dokonywanie fachowej oceny zjawisk technicznych lub samodzielne rozwiązywanie zagadnień architektonicznych i technicznych oraz techniczno-organizacyjnych. Dlatego też, tam gdzie norma prawna nie zawiera precyz</w:t>
      </w:r>
      <w:r w:rsidRPr="00F77855">
        <w:rPr>
          <w:rFonts w:ascii="Arial" w:hAnsi="Arial" w:cs="Arial"/>
          <w:spacing w:val="4"/>
          <w:sz w:val="20"/>
          <w:szCs w:val="20"/>
        </w:rPr>
        <w:t>yjnych wytycznych, to projektant uwzględniając specyfikę projektowanego obiektu budowlanego w oparciu o wiedzę techniczną oraz posiadane kwalifikacje i doświadczenie zawodowe dokonuje fachowej oceny i proponuje najlepsze, w swojej ocenie, rozwiązania.</w:t>
      </w:r>
    </w:p>
    <w:p w:rsidR="001B59BD" w:rsidRDefault="00CF11D4" w:rsidP="00E27561">
      <w:pPr>
        <w:spacing w:before="120" w:after="12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Doda</w:t>
      </w:r>
      <w:r>
        <w:rPr>
          <w:rFonts w:ascii="Arial" w:hAnsi="Arial" w:cs="Arial"/>
          <w:spacing w:val="4"/>
          <w:sz w:val="20"/>
          <w:szCs w:val="20"/>
        </w:rPr>
        <w:t xml:space="preserve">tkowo należy wskazać, iż </w:t>
      </w:r>
      <w:r>
        <w:rPr>
          <w:rFonts w:ascii="Arial" w:hAnsi="Arial" w:cs="Arial"/>
          <w:spacing w:val="4"/>
          <w:sz w:val="20"/>
          <w:szCs w:val="20"/>
        </w:rPr>
        <w:t>wymagania w zakresie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oświetlenia </w:t>
      </w:r>
      <w:r>
        <w:rPr>
          <w:rFonts w:ascii="Arial" w:hAnsi="Arial" w:cs="Arial"/>
          <w:spacing w:val="4"/>
          <w:sz w:val="20"/>
          <w:szCs w:val="20"/>
        </w:rPr>
        <w:t>dróg publicznych,</w:t>
      </w:r>
      <w:r>
        <w:rPr>
          <w:rFonts w:ascii="Arial" w:hAnsi="Arial" w:cs="Arial"/>
          <w:spacing w:val="4"/>
          <w:sz w:val="20"/>
          <w:szCs w:val="20"/>
        </w:rPr>
        <w:t xml:space="preserve"> zostały określone w rozporządzeniu Ministra Transportu i Gospodarki Morskiej z dnia 2 marca 1999 r. w sprawie warunków technicznych, jakim powinny odpowiadać drogi publiczne i ich </w:t>
      </w:r>
      <w:r>
        <w:rPr>
          <w:rFonts w:ascii="Arial" w:hAnsi="Arial" w:cs="Arial"/>
          <w:spacing w:val="4"/>
          <w:sz w:val="20"/>
          <w:szCs w:val="20"/>
        </w:rPr>
        <w:t>usytuowanie (Dz. U. z 2016 r. poz. 124).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Przepisy te </w:t>
      </w:r>
      <w:r>
        <w:rPr>
          <w:rFonts w:ascii="Arial" w:hAnsi="Arial" w:cs="Arial"/>
          <w:spacing w:val="4"/>
          <w:sz w:val="20"/>
          <w:szCs w:val="20"/>
        </w:rPr>
        <w:t xml:space="preserve">znajdują się </w:t>
      </w:r>
      <w:r>
        <w:rPr>
          <w:rFonts w:ascii="Arial" w:hAnsi="Arial" w:cs="Arial"/>
          <w:spacing w:val="4"/>
          <w:sz w:val="20"/>
          <w:szCs w:val="20"/>
        </w:rPr>
        <w:t xml:space="preserve">we </w:t>
      </w:r>
      <w:r>
        <w:rPr>
          <w:rFonts w:ascii="Arial" w:hAnsi="Arial" w:cs="Arial"/>
          <w:spacing w:val="4"/>
          <w:sz w:val="20"/>
          <w:szCs w:val="20"/>
        </w:rPr>
        <w:t xml:space="preserve">właściwości </w:t>
      </w:r>
      <w:r>
        <w:rPr>
          <w:rFonts w:ascii="Arial" w:hAnsi="Arial" w:cs="Arial"/>
          <w:spacing w:val="4"/>
          <w:sz w:val="20"/>
          <w:szCs w:val="20"/>
        </w:rPr>
        <w:t>Ministra Infrastruktury, który kieruje działem administracji publicznej transport</w:t>
      </w:r>
      <w:r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EC61B5" w:rsidRPr="00B807D0" w:rsidRDefault="00CF11D4" w:rsidP="00B430EC">
      <w:pPr>
        <w:spacing w:after="60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Niezależnie od powyższego informuję, iż podczas prac nad wydaniem nowych  przepisów technic</w:t>
      </w:r>
      <w:r>
        <w:rPr>
          <w:rFonts w:ascii="Arial" w:hAnsi="Arial" w:cs="Arial"/>
          <w:spacing w:val="4"/>
          <w:sz w:val="20"/>
          <w:szCs w:val="20"/>
        </w:rPr>
        <w:t>zno-budowlanych dla budynków przewiduje się poddanie ponownej analizie wszystk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ch</w:t>
      </w:r>
      <w:r>
        <w:rPr>
          <w:rFonts w:ascii="Arial" w:hAnsi="Arial" w:cs="Arial"/>
          <w:spacing w:val="4"/>
          <w:sz w:val="20"/>
          <w:szCs w:val="20"/>
        </w:rPr>
        <w:t xml:space="preserve"> obowiązując</w:t>
      </w:r>
      <w:r>
        <w:rPr>
          <w:rFonts w:ascii="Arial" w:hAnsi="Arial" w:cs="Arial"/>
          <w:spacing w:val="4"/>
          <w:sz w:val="20"/>
          <w:szCs w:val="20"/>
        </w:rPr>
        <w:t>ych</w:t>
      </w:r>
      <w:r>
        <w:rPr>
          <w:rFonts w:ascii="Arial" w:hAnsi="Arial" w:cs="Arial"/>
          <w:spacing w:val="4"/>
          <w:sz w:val="20"/>
          <w:szCs w:val="20"/>
        </w:rPr>
        <w:t xml:space="preserve"> regulacj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 xml:space="preserve"> zawart</w:t>
      </w:r>
      <w:r>
        <w:rPr>
          <w:rFonts w:ascii="Arial" w:hAnsi="Arial" w:cs="Arial"/>
          <w:spacing w:val="4"/>
          <w:sz w:val="20"/>
          <w:szCs w:val="20"/>
        </w:rPr>
        <w:t>ych</w:t>
      </w:r>
      <w:r>
        <w:rPr>
          <w:rFonts w:ascii="Arial" w:hAnsi="Arial" w:cs="Arial"/>
          <w:spacing w:val="4"/>
          <w:sz w:val="20"/>
          <w:szCs w:val="20"/>
        </w:rPr>
        <w:t xml:space="preserve"> w rozporządzeniu Wt. W związku z </w:t>
      </w:r>
      <w:r>
        <w:rPr>
          <w:rFonts w:ascii="Arial" w:hAnsi="Arial" w:cs="Arial"/>
          <w:spacing w:val="4"/>
          <w:sz w:val="20"/>
          <w:szCs w:val="20"/>
        </w:rPr>
        <w:t>tym,</w:t>
      </w:r>
      <w:r>
        <w:rPr>
          <w:rFonts w:ascii="Arial" w:hAnsi="Arial" w:cs="Arial"/>
          <w:spacing w:val="4"/>
          <w:sz w:val="20"/>
          <w:szCs w:val="20"/>
        </w:rPr>
        <w:t xml:space="preserve"> uprzejmie in</w:t>
      </w:r>
      <w:r>
        <w:rPr>
          <w:rFonts w:ascii="Arial" w:hAnsi="Arial" w:cs="Arial"/>
          <w:spacing w:val="4"/>
          <w:sz w:val="20"/>
          <w:szCs w:val="20"/>
        </w:rPr>
        <w:t>formuję, iż wskazane w </w:t>
      </w:r>
      <w:r>
        <w:rPr>
          <w:rFonts w:ascii="Arial" w:hAnsi="Arial" w:cs="Arial"/>
          <w:spacing w:val="4"/>
          <w:sz w:val="20"/>
          <w:szCs w:val="20"/>
        </w:rPr>
        <w:t xml:space="preserve">Pańskim piśmie aspekty dotyczące </w:t>
      </w:r>
      <w:r>
        <w:rPr>
          <w:rFonts w:ascii="Arial" w:hAnsi="Arial" w:cs="Arial"/>
          <w:spacing w:val="4"/>
          <w:sz w:val="20"/>
          <w:szCs w:val="20"/>
        </w:rPr>
        <w:t xml:space="preserve">oświetlania budynków oraz ich </w:t>
      </w:r>
      <w:r>
        <w:rPr>
          <w:rFonts w:ascii="Arial" w:hAnsi="Arial" w:cs="Arial"/>
          <w:spacing w:val="4"/>
          <w:sz w:val="20"/>
          <w:szCs w:val="20"/>
        </w:rPr>
        <w:t>otoczenia</w:t>
      </w:r>
      <w:r>
        <w:rPr>
          <w:rFonts w:ascii="Arial" w:hAnsi="Arial" w:cs="Arial"/>
          <w:spacing w:val="4"/>
          <w:sz w:val="20"/>
          <w:szCs w:val="20"/>
        </w:rPr>
        <w:t>, zostaną przeanalizowane w toku prowadzonych prac legislacyjnych nad wydaniem nowego rozporządzenia.</w:t>
      </w:r>
    </w:p>
    <w:p w:rsidR="0095045A" w:rsidRDefault="00CF11D4" w:rsidP="001E13F0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POUCZENIE</w:t>
      </w:r>
    </w:p>
    <w:p w:rsidR="00C23FC8" w:rsidRDefault="00CF11D4" w:rsidP="008C3BB7">
      <w:pPr>
        <w:spacing w:before="120" w:after="6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2 ustawy o petycjach sposób załatwienia petycji </w:t>
      </w:r>
      <w:r>
        <w:rPr>
          <w:rFonts w:ascii="Arial" w:hAnsi="Arial" w:cs="Arial"/>
          <w:sz w:val="20"/>
          <w:szCs w:val="20"/>
        </w:rPr>
        <w:t>nie może być przedmiotem skargi.</w:t>
      </w:r>
    </w:p>
    <w:p w:rsidR="008C3BB7" w:rsidRDefault="00CF11D4" w:rsidP="008C3BB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 up. Ministra</w:t>
      </w:r>
    </w:p>
    <w:p w:rsidR="00E34B19" w:rsidRPr="00C23FC8" w:rsidRDefault="00CF11D4" w:rsidP="00E34B19">
      <w:pPr>
        <w:spacing w:line="260" w:lineRule="exact"/>
        <w:ind w:left="5670"/>
        <w:rPr>
          <w:rFonts w:ascii="Arial" w:hAnsi="Arial" w:cs="Arial"/>
          <w:sz w:val="20"/>
          <w:szCs w:val="20"/>
        </w:rPr>
      </w:pPr>
      <w:bookmarkStart w:id="3" w:name="ezdPracownikStanowisko"/>
      <w:r w:rsidRPr="00C23FC8">
        <w:rPr>
          <w:rFonts w:ascii="Arial" w:hAnsi="Arial" w:cs="Arial"/>
          <w:sz w:val="20"/>
          <w:szCs w:val="20"/>
        </w:rPr>
        <w:t>Podsekretarz Stanu</w:t>
      </w:r>
      <w:bookmarkEnd w:id="3"/>
    </w:p>
    <w:p w:rsidR="004A0B59" w:rsidRDefault="00CF11D4" w:rsidP="00C23FC8">
      <w:pPr>
        <w:rPr>
          <w:rFonts w:ascii="Arial" w:hAnsi="Arial" w:cs="Arial"/>
          <w:b/>
          <w:sz w:val="20"/>
          <w:szCs w:val="20"/>
        </w:rPr>
      </w:pPr>
    </w:p>
    <w:p w:rsidR="002C7FC9" w:rsidRDefault="00CF11D4" w:rsidP="00C23FC8">
      <w:pPr>
        <w:rPr>
          <w:rFonts w:ascii="Arial" w:hAnsi="Arial" w:cs="Arial"/>
          <w:b/>
          <w:sz w:val="20"/>
          <w:szCs w:val="20"/>
        </w:rPr>
      </w:pPr>
    </w:p>
    <w:p w:rsidR="004A36F0" w:rsidRDefault="00CF11D4" w:rsidP="008C3BB7">
      <w:pPr>
        <w:ind w:left="5670"/>
        <w:rPr>
          <w:rFonts w:ascii="Arial" w:hAnsi="Arial" w:cs="Arial"/>
          <w:sz w:val="20"/>
          <w:szCs w:val="20"/>
        </w:rPr>
      </w:pPr>
      <w:r w:rsidRPr="003317FC">
        <w:rPr>
          <w:rFonts w:ascii="Arial" w:hAnsi="Arial" w:cs="Arial"/>
          <w:sz w:val="20"/>
          <w:szCs w:val="20"/>
        </w:rPr>
        <w:t>[podpisano elektronicznie]</w:t>
      </w:r>
    </w:p>
    <w:p w:rsidR="008C3BB7" w:rsidRDefault="00CF11D4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p w:rsidR="004A36F0" w:rsidRPr="00697B2B" w:rsidRDefault="00CF11D4" w:rsidP="004A36F0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Sekretariat DAB</w:t>
      </w:r>
    </w:p>
    <w:p w:rsidR="008F266E" w:rsidRPr="001B59BD" w:rsidRDefault="00CF11D4" w:rsidP="004A36F0">
      <w:pPr>
        <w:spacing w:line="360" w:lineRule="auto"/>
        <w:rPr>
          <w:rFonts w:ascii="Arial" w:hAnsi="Arial" w:cs="Arial"/>
          <w:sz w:val="16"/>
          <w:szCs w:val="16"/>
        </w:rPr>
      </w:pPr>
      <w:r w:rsidRPr="001B59BD">
        <w:rPr>
          <w:rFonts w:ascii="Arial" w:hAnsi="Arial" w:cs="Arial"/>
          <w:sz w:val="16"/>
          <w:szCs w:val="16"/>
        </w:rPr>
        <w:t xml:space="preserve">E-mail: </w:t>
      </w:r>
      <w:bookmarkStart w:id="4" w:name="ezdAutorEmail"/>
      <w:r w:rsidRPr="001B59BD">
        <w:rPr>
          <w:rFonts w:ascii="Arial" w:hAnsi="Arial" w:cs="Arial"/>
          <w:sz w:val="16"/>
          <w:szCs w:val="16"/>
        </w:rPr>
        <w:t>sekretariatDAB</w:t>
      </w:r>
      <w:r w:rsidRPr="001B59BD">
        <w:rPr>
          <w:rFonts w:ascii="Arial" w:hAnsi="Arial" w:cs="Arial"/>
          <w:sz w:val="16"/>
          <w:szCs w:val="16"/>
        </w:rPr>
        <w:t>@miir.gov.pl</w:t>
      </w:r>
      <w:bookmarkEnd w:id="4"/>
    </w:p>
    <w:p w:rsidR="00BC0D8D" w:rsidRPr="001E13F0" w:rsidRDefault="00CF11D4" w:rsidP="004A36F0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1E13F0">
        <w:rPr>
          <w:rFonts w:ascii="Arial" w:hAnsi="Arial" w:cs="Arial"/>
          <w:sz w:val="16"/>
          <w:szCs w:val="16"/>
        </w:rPr>
        <w:t>Tele</w:t>
      </w:r>
      <w:r w:rsidRPr="001E13F0">
        <w:rPr>
          <w:rFonts w:ascii="Arial" w:hAnsi="Arial" w:cs="Arial"/>
          <w:sz w:val="16"/>
          <w:szCs w:val="16"/>
          <w:lang w:val="en-US"/>
        </w:rPr>
        <w:t xml:space="preserve">fon: </w:t>
      </w:r>
      <w:r w:rsidRPr="001E13F0">
        <w:rPr>
          <w:rFonts w:ascii="Arial" w:hAnsi="Arial" w:cs="Arial"/>
          <w:sz w:val="16"/>
          <w:szCs w:val="16"/>
          <w:lang w:val="en-US"/>
        </w:rPr>
        <w:t>22 522 51 00</w:t>
      </w:r>
    </w:p>
    <w:sectPr w:rsidR="00BC0D8D" w:rsidRPr="001E13F0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D4" w:rsidRDefault="00CF11D4">
      <w:r>
        <w:separator/>
      </w:r>
    </w:p>
  </w:endnote>
  <w:endnote w:type="continuationSeparator" w:id="0">
    <w:p w:rsidR="00CF11D4" w:rsidRDefault="00CF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F11D4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CF11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9946A3" w:rsidRDefault="00CF11D4" w:rsidP="0084388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66386522"/>
        <w:placeholder>
          <w:docPart w:val="CC37ADE27E7E4A1097156A08E3020A3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inisterstwo Rozwoju, Plac Trzech Krzyży 3/5, 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00-507 Warszawa, tel. +48 22 262 90 00, www.gov.pl/rozwoj</w:t>
    </w:r>
  </w:p>
  <w:p w:rsidR="00AD2F91" w:rsidRDefault="00CF11D4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CF11D4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CF11D4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D4" w:rsidRDefault="00CF11D4">
      <w:r>
        <w:separator/>
      </w:r>
    </w:p>
  </w:footnote>
  <w:footnote w:type="continuationSeparator" w:id="0">
    <w:p w:rsidR="00CF11D4" w:rsidRDefault="00CF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F11D4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CF11D4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787067660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CF11D4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CF11D4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F11D4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CF11D4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2049" type="#_x0000_t202" style="height:133.3pt;margin-left:-31.55pt;margin-top:36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06.6pt;z-index:251661312" stroked="f">
              <v:textbox>
                <w:txbxContent>
                  <w:p w:rsidR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Łącznik prostoliniowy 4" o:spid="_x0000_s2050" style="flip:y;mso-wrap-distance-bottom:0;mso-wrap-distance-left:9pt;mso-wrap-distance-right:9pt;mso-wrap-distance-top:0;mso-wrap-style:square;position:absolute;visibility:visible;z-index:251659264" from="-12.45pt,110.95pt" to="142.9pt,111.5pt" strokecolor="#5b9bd5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5F804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0D408" w:tentative="1">
      <w:start w:val="1"/>
      <w:numFmt w:val="lowerLetter"/>
      <w:lvlText w:val="%2."/>
      <w:lvlJc w:val="left"/>
      <w:pPr>
        <w:ind w:left="1440" w:hanging="360"/>
      </w:pPr>
    </w:lvl>
    <w:lvl w:ilvl="2" w:tplc="CD2A430A" w:tentative="1">
      <w:start w:val="1"/>
      <w:numFmt w:val="lowerRoman"/>
      <w:lvlText w:val="%3."/>
      <w:lvlJc w:val="right"/>
      <w:pPr>
        <w:ind w:left="2160" w:hanging="180"/>
      </w:pPr>
    </w:lvl>
    <w:lvl w:ilvl="3" w:tplc="371EFACA" w:tentative="1">
      <w:start w:val="1"/>
      <w:numFmt w:val="decimal"/>
      <w:lvlText w:val="%4."/>
      <w:lvlJc w:val="left"/>
      <w:pPr>
        <w:ind w:left="2880" w:hanging="360"/>
      </w:pPr>
    </w:lvl>
    <w:lvl w:ilvl="4" w:tplc="AFBC6498" w:tentative="1">
      <w:start w:val="1"/>
      <w:numFmt w:val="lowerLetter"/>
      <w:lvlText w:val="%5."/>
      <w:lvlJc w:val="left"/>
      <w:pPr>
        <w:ind w:left="3600" w:hanging="360"/>
      </w:pPr>
    </w:lvl>
    <w:lvl w:ilvl="5" w:tplc="80E0907C" w:tentative="1">
      <w:start w:val="1"/>
      <w:numFmt w:val="lowerRoman"/>
      <w:lvlText w:val="%6."/>
      <w:lvlJc w:val="right"/>
      <w:pPr>
        <w:ind w:left="4320" w:hanging="180"/>
      </w:pPr>
    </w:lvl>
    <w:lvl w:ilvl="6" w:tplc="64F20996" w:tentative="1">
      <w:start w:val="1"/>
      <w:numFmt w:val="decimal"/>
      <w:lvlText w:val="%7."/>
      <w:lvlJc w:val="left"/>
      <w:pPr>
        <w:ind w:left="5040" w:hanging="360"/>
      </w:pPr>
    </w:lvl>
    <w:lvl w:ilvl="7" w:tplc="13FAA46A" w:tentative="1">
      <w:start w:val="1"/>
      <w:numFmt w:val="lowerLetter"/>
      <w:lvlText w:val="%8."/>
      <w:lvlJc w:val="left"/>
      <w:pPr>
        <w:ind w:left="5760" w:hanging="360"/>
      </w:pPr>
    </w:lvl>
    <w:lvl w:ilvl="8" w:tplc="1D768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5630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203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1E35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3A1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98BA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2869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BAA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489D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CA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3208B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5C67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85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1A1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D609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3C56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244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DC6D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CEE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0C"/>
    <w:rsid w:val="0048080C"/>
    <w:rsid w:val="00C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37ADE27E7E4A1097156A08E3020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2B2BE-8EA4-47A9-8AB6-FE2C5AD72AB1}"/>
      </w:docPartPr>
      <w:docPartBody>
        <w:p w:rsidR="00CD477B" w:rsidRDefault="00187C04" w:rsidP="0048507E">
          <w:pPr>
            <w:pStyle w:val="CC37ADE27E7E4A1097156A08E3020A3E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187C04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04"/>
    <w:rsid w:val="0018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4070-2DEB-40C2-AAD3-AD5A301B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Sylwia Marcinkowska</cp:lastModifiedBy>
  <cp:revision>2</cp:revision>
  <cp:lastPrinted>2015-11-16T13:16:00Z</cp:lastPrinted>
  <dcterms:created xsi:type="dcterms:W3CDTF">2020-03-04T07:44:00Z</dcterms:created>
  <dcterms:modified xsi:type="dcterms:W3CDTF">2020-03-04T07:44:00Z</dcterms:modified>
</cp:coreProperties>
</file>