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6AA" w14:textId="1F3E41E0" w:rsidR="00EE5B2B" w:rsidRPr="001C2BCA" w:rsidRDefault="003165C6" w:rsidP="00E4037E">
      <w:pPr>
        <w:ind w:left="7080"/>
        <w:rPr>
          <w:rFonts w:ascii="Arial" w:hAnsi="Arial" w:cs="Arial"/>
          <w:b/>
          <w:sz w:val="20"/>
          <w:szCs w:val="20"/>
        </w:rPr>
      </w:pPr>
      <w:bookmarkStart w:id="0" w:name="_Toc3385279"/>
      <w:bookmarkStart w:id="1" w:name="_GoBack"/>
      <w:bookmarkEnd w:id="1"/>
      <w:r>
        <w:rPr>
          <w:rFonts w:ascii="Arial" w:hAnsi="Arial" w:cs="Arial"/>
          <w:b/>
          <w:sz w:val="20"/>
          <w:szCs w:val="20"/>
        </w:rPr>
        <w:t xml:space="preserve">   </w:t>
      </w:r>
      <w:r w:rsidR="00EE5B2B" w:rsidRPr="001C2BCA">
        <w:rPr>
          <w:rFonts w:ascii="Arial" w:hAnsi="Arial" w:cs="Arial"/>
          <w:b/>
          <w:sz w:val="20"/>
          <w:szCs w:val="20"/>
        </w:rPr>
        <w:t xml:space="preserve">Załącznik nr 1 </w:t>
      </w:r>
    </w:p>
    <w:p w14:paraId="5FFB0C29" w14:textId="77777777" w:rsidR="00EE5B2B" w:rsidRPr="00EE5B2B" w:rsidRDefault="00EE5B2B" w:rsidP="00FE266B">
      <w:pPr>
        <w:pStyle w:val="spis1"/>
        <w:numPr>
          <w:ilvl w:val="0"/>
          <w:numId w:val="0"/>
        </w:numPr>
        <w:ind w:left="1756" w:firstLine="368"/>
        <w:rPr>
          <w:rFonts w:ascii="Arial" w:hAnsi="Arial" w:cs="Arial"/>
          <w:sz w:val="20"/>
          <w:szCs w:val="20"/>
        </w:rPr>
      </w:pPr>
      <w:r w:rsidRPr="00EE5B2B">
        <w:rPr>
          <w:rFonts w:ascii="Arial" w:hAnsi="Arial" w:cs="Arial"/>
          <w:sz w:val="20"/>
          <w:szCs w:val="20"/>
        </w:rPr>
        <w:t>Działalność portów morskich w 2018 r.</w:t>
      </w:r>
    </w:p>
    <w:p w14:paraId="3D0E6A05" w14:textId="77777777" w:rsidR="00EE5B2B" w:rsidRDefault="00EE5B2B" w:rsidP="00EE5B2B">
      <w:pPr>
        <w:pStyle w:val="spis1"/>
        <w:numPr>
          <w:ilvl w:val="0"/>
          <w:numId w:val="0"/>
        </w:numPr>
        <w:ind w:left="340"/>
        <w:rPr>
          <w:rFonts w:ascii="Arial" w:hAnsi="Arial" w:cs="Arial"/>
          <w:sz w:val="20"/>
          <w:szCs w:val="20"/>
        </w:rPr>
      </w:pPr>
    </w:p>
    <w:p w14:paraId="6D061595" w14:textId="77777777" w:rsidR="00CF49DE" w:rsidRPr="001C2BCA" w:rsidRDefault="00D50E14" w:rsidP="00EE5B2B">
      <w:pPr>
        <w:pStyle w:val="spis1"/>
        <w:rPr>
          <w:rFonts w:ascii="Arial" w:hAnsi="Arial" w:cs="Arial"/>
          <w:sz w:val="20"/>
          <w:szCs w:val="20"/>
        </w:rPr>
      </w:pPr>
      <w:r w:rsidRPr="001C2BCA">
        <w:rPr>
          <w:rFonts w:ascii="Arial" w:hAnsi="Arial" w:cs="Arial"/>
          <w:sz w:val="20"/>
          <w:szCs w:val="20"/>
        </w:rPr>
        <w:t>Port w Gdańsku</w:t>
      </w:r>
      <w:bookmarkEnd w:id="0"/>
    </w:p>
    <w:p w14:paraId="1D76F82E" w14:textId="77777777" w:rsidR="00D50E14" w:rsidRPr="009B007B" w:rsidRDefault="00B35138" w:rsidP="00B35138">
      <w:pPr>
        <w:pStyle w:val="spis2"/>
        <w:rPr>
          <w:rFonts w:ascii="Arial" w:hAnsi="Arial" w:cs="Arial"/>
          <w:sz w:val="20"/>
          <w:szCs w:val="20"/>
        </w:rPr>
      </w:pPr>
      <w:bookmarkStart w:id="2" w:name="_Toc3385280"/>
      <w:r w:rsidRPr="009B007B">
        <w:rPr>
          <w:rFonts w:ascii="Arial" w:hAnsi="Arial" w:cs="Arial"/>
          <w:sz w:val="20"/>
          <w:szCs w:val="20"/>
        </w:rPr>
        <w:t>Przeładunki wg grup towarowych w tys. ton (dane Zarządu Morskiego Portu Gdańsk S.A.).</w:t>
      </w:r>
      <w:bookmarkEnd w:id="2"/>
    </w:p>
    <w:p w14:paraId="781BCAB5" w14:textId="7E93503A" w:rsidR="00B35138" w:rsidRPr="009E792F" w:rsidRDefault="00B35138" w:rsidP="00D463B5">
      <w:pPr>
        <w:spacing w:before="240" w:after="240"/>
        <w:jc w:val="both"/>
        <w:rPr>
          <w:rFonts w:ascii="Arial" w:hAnsi="Arial" w:cs="Arial"/>
          <w:b/>
          <w:sz w:val="20"/>
          <w:szCs w:val="20"/>
        </w:rPr>
      </w:pPr>
      <w:r w:rsidRPr="009E792F">
        <w:rPr>
          <w:rFonts w:ascii="Arial" w:hAnsi="Arial" w:cs="Arial"/>
          <w:b/>
          <w:sz w:val="20"/>
          <w:szCs w:val="20"/>
        </w:rPr>
        <w:t>Wielkość przeładunków w Porcie Gdańsk w latach 201</w:t>
      </w:r>
      <w:r w:rsidR="00605DEF" w:rsidRPr="009E792F">
        <w:rPr>
          <w:rFonts w:ascii="Arial" w:hAnsi="Arial" w:cs="Arial"/>
          <w:b/>
          <w:sz w:val="20"/>
          <w:szCs w:val="20"/>
        </w:rPr>
        <w:t>5</w:t>
      </w:r>
      <w:r w:rsidR="00C0146E" w:rsidRPr="009E792F">
        <w:rPr>
          <w:rFonts w:ascii="Arial" w:hAnsi="Arial" w:cs="Arial"/>
          <w:b/>
          <w:sz w:val="20"/>
          <w:szCs w:val="20"/>
        </w:rPr>
        <w:t>-201</w:t>
      </w:r>
      <w:r w:rsidR="00605DEF" w:rsidRPr="009E792F">
        <w:rPr>
          <w:rFonts w:ascii="Arial" w:hAnsi="Arial" w:cs="Arial"/>
          <w:b/>
          <w:sz w:val="20"/>
          <w:szCs w:val="20"/>
        </w:rPr>
        <w:t>8</w:t>
      </w:r>
      <w:r w:rsidR="00C0146E" w:rsidRPr="009E792F">
        <w:rPr>
          <w:rFonts w:ascii="Arial" w:hAnsi="Arial" w:cs="Arial"/>
          <w:b/>
          <w:sz w:val="20"/>
          <w:szCs w:val="20"/>
        </w:rPr>
        <w:t xml:space="preserve"> </w:t>
      </w:r>
    </w:p>
    <w:p w14:paraId="5D3C8554" w14:textId="77777777" w:rsidR="00C0146E" w:rsidRPr="009B007B" w:rsidRDefault="00C0146E" w:rsidP="00D463B5">
      <w:pPr>
        <w:spacing w:before="240" w:after="240"/>
        <w:jc w:val="both"/>
        <w:rPr>
          <w:rFonts w:ascii="Arial" w:hAnsi="Arial" w:cs="Arial"/>
          <w:sz w:val="20"/>
          <w:szCs w:val="20"/>
        </w:rPr>
      </w:pPr>
      <w:r w:rsidRPr="00D36274">
        <w:rPr>
          <w:rFonts w:ascii="Arial" w:hAnsi="Arial" w:cs="Arial"/>
          <w:noProof/>
          <w:sz w:val="20"/>
          <w:szCs w:val="20"/>
          <w:lang w:eastAsia="pl-PL"/>
        </w:rPr>
        <w:drawing>
          <wp:inline distT="0" distB="0" distL="0" distR="0" wp14:anchorId="1E93B92B" wp14:editId="24336EC7">
            <wp:extent cx="5677021" cy="39528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197" cy="3978064"/>
                    </a:xfrm>
                    <a:prstGeom prst="rect">
                      <a:avLst/>
                    </a:prstGeom>
                    <a:noFill/>
                    <a:ln>
                      <a:noFill/>
                    </a:ln>
                  </pic:spPr>
                </pic:pic>
              </a:graphicData>
            </a:graphic>
          </wp:inline>
        </w:drawing>
      </w:r>
    </w:p>
    <w:p w14:paraId="75D3BFDA" w14:textId="77777777" w:rsidR="00B35138" w:rsidRPr="009B007B" w:rsidRDefault="00B35138" w:rsidP="00B35138">
      <w:pPr>
        <w:pStyle w:val="spis2"/>
        <w:rPr>
          <w:rFonts w:ascii="Arial" w:hAnsi="Arial" w:cs="Arial"/>
          <w:sz w:val="20"/>
          <w:szCs w:val="20"/>
        </w:rPr>
      </w:pPr>
      <w:bookmarkStart w:id="3" w:name="_Toc3385281"/>
      <w:r w:rsidRPr="009B007B">
        <w:rPr>
          <w:rFonts w:ascii="Arial" w:hAnsi="Arial" w:cs="Arial"/>
          <w:sz w:val="20"/>
          <w:szCs w:val="20"/>
        </w:rPr>
        <w:t>Analiza wielkości prz</w:t>
      </w:r>
      <w:r w:rsidR="00F16633" w:rsidRPr="009B007B">
        <w:rPr>
          <w:rFonts w:ascii="Arial" w:hAnsi="Arial" w:cs="Arial"/>
          <w:sz w:val="20"/>
          <w:szCs w:val="20"/>
        </w:rPr>
        <w:t>eładunków w Porcie Gdańsk w 2018</w:t>
      </w:r>
      <w:r w:rsidRPr="009B007B">
        <w:rPr>
          <w:rFonts w:ascii="Arial" w:hAnsi="Arial" w:cs="Arial"/>
          <w:sz w:val="20"/>
          <w:szCs w:val="20"/>
        </w:rPr>
        <w:t xml:space="preserve"> r.</w:t>
      </w:r>
      <w:bookmarkEnd w:id="3"/>
    </w:p>
    <w:p w14:paraId="57741451" w14:textId="77777777" w:rsidR="00C0146E" w:rsidRPr="009B007B" w:rsidRDefault="00C0146E" w:rsidP="00C0146E">
      <w:pPr>
        <w:spacing w:line="276" w:lineRule="auto"/>
        <w:jc w:val="both"/>
        <w:rPr>
          <w:rFonts w:ascii="Arial" w:hAnsi="Arial" w:cs="Arial"/>
          <w:sz w:val="20"/>
          <w:szCs w:val="20"/>
        </w:rPr>
      </w:pPr>
      <w:r w:rsidRPr="009B007B">
        <w:rPr>
          <w:rFonts w:ascii="Arial" w:hAnsi="Arial" w:cs="Arial"/>
          <w:sz w:val="20"/>
          <w:szCs w:val="20"/>
        </w:rPr>
        <w:t>Przeładunki w Porcie Gda</w:t>
      </w:r>
      <w:r w:rsidR="009B007B">
        <w:rPr>
          <w:rFonts w:ascii="Arial" w:hAnsi="Arial" w:cs="Arial"/>
          <w:sz w:val="20"/>
          <w:szCs w:val="20"/>
        </w:rPr>
        <w:t>ńsk w 2018 r. wzrosły o 20,7% (</w:t>
      </w:r>
      <w:r w:rsidRPr="009B007B">
        <w:rPr>
          <w:rFonts w:ascii="Arial" w:hAnsi="Arial" w:cs="Arial"/>
          <w:sz w:val="20"/>
          <w:szCs w:val="20"/>
        </w:rPr>
        <w:t>w roku 2017 o 8,9%), a jego udział w rynku w/w portów południowego Bałtyku wyniósł 9,9%.</w:t>
      </w:r>
    </w:p>
    <w:p w14:paraId="1B3C46AA" w14:textId="77777777" w:rsidR="00C0146E" w:rsidRPr="009B007B" w:rsidRDefault="00E82D6F" w:rsidP="00C0146E">
      <w:pPr>
        <w:spacing w:line="276" w:lineRule="auto"/>
        <w:jc w:val="both"/>
        <w:rPr>
          <w:rFonts w:ascii="Arial" w:hAnsi="Arial" w:cs="Arial"/>
          <w:sz w:val="20"/>
          <w:szCs w:val="20"/>
        </w:rPr>
      </w:pPr>
      <w:r w:rsidRPr="009B007B">
        <w:rPr>
          <w:rFonts w:ascii="Arial" w:hAnsi="Arial" w:cs="Arial"/>
          <w:sz w:val="20"/>
          <w:szCs w:val="20"/>
        </w:rPr>
        <w:t>W 2018 r.</w:t>
      </w:r>
      <w:r w:rsidR="00C0146E" w:rsidRPr="009B007B">
        <w:rPr>
          <w:rFonts w:ascii="Arial" w:hAnsi="Arial" w:cs="Arial"/>
          <w:sz w:val="20"/>
          <w:szCs w:val="20"/>
        </w:rPr>
        <w:t xml:space="preserve"> Port Gdańsk odnotował wzrost całkowitych obrotów w stosunku do roku 2017 o blisko 21%. Wzrosły przeładunki: drobnicy (18,7%), węgla (41,4%), innych masowych (13,7%) oraz paliw płynnych </w:t>
      </w:r>
      <w:r w:rsidR="00612CAB" w:rsidRPr="009B007B">
        <w:rPr>
          <w:rFonts w:ascii="Arial" w:hAnsi="Arial" w:cs="Arial"/>
          <w:sz w:val="20"/>
          <w:szCs w:val="20"/>
        </w:rPr>
        <w:t xml:space="preserve">(o 17,8%). Spadek odnotowano w </w:t>
      </w:r>
      <w:r w:rsidR="00C0146E" w:rsidRPr="009B007B">
        <w:rPr>
          <w:rFonts w:ascii="Arial" w:hAnsi="Arial" w:cs="Arial"/>
          <w:sz w:val="20"/>
          <w:szCs w:val="20"/>
        </w:rPr>
        <w:t>przeładunkach zbóż (o 27,8%) i rudy (o 88,8%). W Porcie Gdańsk, pojawiły się, pierwszy raz od wielu lat, przeładunki drewna. Największy udział w przeładunkach miała drobnica (43,7%), natomiast największą dynamiką rok do roku wykazały się przeładunki z grupy węgiel +41%.</w:t>
      </w:r>
    </w:p>
    <w:p w14:paraId="726F9610" w14:textId="77777777" w:rsidR="00C0146E" w:rsidRPr="009B007B" w:rsidRDefault="00C0146E" w:rsidP="00C0146E">
      <w:pPr>
        <w:spacing w:line="276" w:lineRule="auto"/>
        <w:jc w:val="both"/>
        <w:rPr>
          <w:rFonts w:ascii="Arial" w:hAnsi="Arial" w:cs="Arial"/>
          <w:sz w:val="20"/>
          <w:szCs w:val="20"/>
        </w:rPr>
      </w:pPr>
      <w:r w:rsidRPr="009B007B">
        <w:rPr>
          <w:rFonts w:ascii="Arial" w:hAnsi="Arial" w:cs="Arial"/>
          <w:sz w:val="20"/>
          <w:szCs w:val="20"/>
        </w:rPr>
        <w:t>Istotną dla Portu Gdańsk jest kontynuacja wzrostu wolumenu przeładowanych kontenerów, których udział w łącznych obrotach wyniósł dokładnie tyle samo</w:t>
      </w:r>
      <w:r w:rsidR="00B0783C">
        <w:rPr>
          <w:rFonts w:ascii="Arial" w:hAnsi="Arial" w:cs="Arial"/>
          <w:sz w:val="20"/>
          <w:szCs w:val="20"/>
        </w:rPr>
        <w:t>,</w:t>
      </w:r>
      <w:r w:rsidRPr="009B007B">
        <w:rPr>
          <w:rFonts w:ascii="Arial" w:hAnsi="Arial" w:cs="Arial"/>
          <w:sz w:val="20"/>
          <w:szCs w:val="20"/>
        </w:rPr>
        <w:t xml:space="preserve"> co w 2017 </w:t>
      </w:r>
      <w:r w:rsidR="00B0783C">
        <w:rPr>
          <w:rFonts w:ascii="Arial" w:hAnsi="Arial" w:cs="Arial"/>
          <w:sz w:val="20"/>
          <w:szCs w:val="20"/>
        </w:rPr>
        <w:t>r.</w:t>
      </w:r>
      <w:r w:rsidRPr="009B007B">
        <w:rPr>
          <w:rFonts w:ascii="Arial" w:hAnsi="Arial" w:cs="Arial"/>
          <w:sz w:val="20"/>
          <w:szCs w:val="20"/>
        </w:rPr>
        <w:t>, czyli 40,5% (</w:t>
      </w:r>
      <w:r w:rsidR="00E82D6F" w:rsidRPr="009B007B">
        <w:rPr>
          <w:rFonts w:ascii="Arial" w:hAnsi="Arial" w:cs="Arial"/>
          <w:sz w:val="20"/>
          <w:szCs w:val="20"/>
        </w:rPr>
        <w:t>w 2018 r.</w:t>
      </w:r>
      <w:r w:rsidRPr="009B007B">
        <w:rPr>
          <w:rFonts w:ascii="Arial" w:hAnsi="Arial" w:cs="Arial"/>
          <w:sz w:val="20"/>
          <w:szCs w:val="20"/>
        </w:rPr>
        <w:t xml:space="preserve"> odno</w:t>
      </w:r>
      <w:r w:rsidR="00BC5D9C">
        <w:rPr>
          <w:rFonts w:ascii="Arial" w:hAnsi="Arial" w:cs="Arial"/>
          <w:sz w:val="20"/>
          <w:szCs w:val="20"/>
        </w:rPr>
        <w:t>towano w porównaniu do 2017 r.</w:t>
      </w:r>
      <w:r w:rsidRPr="009B007B">
        <w:rPr>
          <w:rFonts w:ascii="Arial" w:hAnsi="Arial" w:cs="Arial"/>
          <w:sz w:val="20"/>
          <w:szCs w:val="20"/>
        </w:rPr>
        <w:t>, wzrost przeładunku konteneró</w:t>
      </w:r>
      <w:r w:rsidR="00D9460E" w:rsidRPr="009B007B">
        <w:rPr>
          <w:rFonts w:ascii="Arial" w:hAnsi="Arial" w:cs="Arial"/>
          <w:sz w:val="20"/>
          <w:szCs w:val="20"/>
        </w:rPr>
        <w:t xml:space="preserve">w w tonażu </w:t>
      </w:r>
      <w:r w:rsidRPr="009B007B">
        <w:rPr>
          <w:rFonts w:ascii="Arial" w:hAnsi="Arial" w:cs="Arial"/>
          <w:sz w:val="20"/>
          <w:szCs w:val="20"/>
        </w:rPr>
        <w:t>(o 20,9%) oraz TEU (o 23,3%).</w:t>
      </w:r>
    </w:p>
    <w:p w14:paraId="3DDCC765" w14:textId="77777777" w:rsidR="00C0146E" w:rsidRPr="009B007B" w:rsidRDefault="00C0146E" w:rsidP="00C0146E">
      <w:pPr>
        <w:spacing w:line="276" w:lineRule="auto"/>
        <w:jc w:val="both"/>
        <w:rPr>
          <w:rFonts w:ascii="Arial" w:hAnsi="Arial" w:cs="Arial"/>
          <w:sz w:val="20"/>
          <w:szCs w:val="20"/>
        </w:rPr>
      </w:pPr>
      <w:r w:rsidRPr="009B007B">
        <w:rPr>
          <w:rFonts w:ascii="Arial" w:hAnsi="Arial" w:cs="Arial"/>
          <w:sz w:val="20"/>
          <w:szCs w:val="20"/>
        </w:rPr>
        <w:lastRenderedPageBreak/>
        <w:t>Korzystna s</w:t>
      </w:r>
      <w:r w:rsidR="00612CAB" w:rsidRPr="009B007B">
        <w:rPr>
          <w:rFonts w:ascii="Arial" w:hAnsi="Arial" w:cs="Arial"/>
          <w:sz w:val="20"/>
          <w:szCs w:val="20"/>
        </w:rPr>
        <w:t>ytuacja Portu Gdańsk w 2018 r.</w:t>
      </w:r>
      <w:r w:rsidRPr="009B007B">
        <w:rPr>
          <w:rFonts w:ascii="Arial" w:hAnsi="Arial" w:cs="Arial"/>
          <w:sz w:val="20"/>
          <w:szCs w:val="20"/>
        </w:rPr>
        <w:t xml:space="preserve"> w stosunku do innych portów polskich oraz do wielu portów bałtyckich i europejskich wynika z przewagi konkurencyjnej związanej z warunkami obsługi ładunków </w:t>
      </w:r>
      <w:r w:rsidR="00A506EE">
        <w:rPr>
          <w:rFonts w:ascii="Arial" w:hAnsi="Arial" w:cs="Arial"/>
          <w:sz w:val="20"/>
          <w:szCs w:val="20"/>
        </w:rPr>
        <w:br/>
      </w:r>
      <w:r w:rsidRPr="009B007B">
        <w:rPr>
          <w:rFonts w:ascii="Arial" w:hAnsi="Arial" w:cs="Arial"/>
          <w:sz w:val="20"/>
          <w:szCs w:val="20"/>
        </w:rPr>
        <w:t>w Porcie Zewnętrznym. Dotyczy to zarówno</w:t>
      </w:r>
      <w:r w:rsidR="00E82D6F" w:rsidRPr="009B007B">
        <w:rPr>
          <w:rFonts w:ascii="Arial" w:hAnsi="Arial" w:cs="Arial"/>
          <w:sz w:val="20"/>
          <w:szCs w:val="20"/>
        </w:rPr>
        <w:t xml:space="preserve"> warunków nawigacyjnych, jak i wydajności </w:t>
      </w:r>
      <w:r w:rsidRPr="009B007B">
        <w:rPr>
          <w:rFonts w:ascii="Arial" w:hAnsi="Arial" w:cs="Arial"/>
          <w:sz w:val="20"/>
          <w:szCs w:val="20"/>
        </w:rPr>
        <w:t xml:space="preserve">przeładunkowej zlokalizowanych tam baz, co w sposób zasadniczy wpływa na obniżkę kosztów </w:t>
      </w:r>
      <w:r w:rsidR="00045733" w:rsidRPr="009B007B">
        <w:rPr>
          <w:rFonts w:ascii="Arial" w:hAnsi="Arial" w:cs="Arial"/>
          <w:sz w:val="20"/>
          <w:szCs w:val="20"/>
        </w:rPr>
        <w:t xml:space="preserve">transportu. </w:t>
      </w:r>
      <w:r w:rsidRPr="009B007B">
        <w:rPr>
          <w:rFonts w:ascii="Arial" w:hAnsi="Arial" w:cs="Arial"/>
          <w:sz w:val="20"/>
          <w:szCs w:val="20"/>
        </w:rPr>
        <w:t>Należy pamiętać, iż w 2018 r</w:t>
      </w:r>
      <w:r w:rsidR="00045733" w:rsidRPr="009B007B">
        <w:rPr>
          <w:rFonts w:ascii="Arial" w:hAnsi="Arial" w:cs="Arial"/>
          <w:sz w:val="20"/>
          <w:szCs w:val="20"/>
        </w:rPr>
        <w:t>.</w:t>
      </w:r>
      <w:r w:rsidRPr="009B007B">
        <w:rPr>
          <w:rFonts w:ascii="Arial" w:hAnsi="Arial" w:cs="Arial"/>
          <w:sz w:val="20"/>
          <w:szCs w:val="20"/>
        </w:rPr>
        <w:t xml:space="preserve"> r</w:t>
      </w:r>
      <w:r w:rsidR="00B0783C">
        <w:rPr>
          <w:rFonts w:ascii="Arial" w:hAnsi="Arial" w:cs="Arial"/>
          <w:sz w:val="20"/>
          <w:szCs w:val="20"/>
        </w:rPr>
        <w:t>ozpoczęły się w gdańskim porcie</w:t>
      </w:r>
      <w:r w:rsidRPr="009B007B">
        <w:rPr>
          <w:rFonts w:ascii="Arial" w:hAnsi="Arial" w:cs="Arial"/>
          <w:sz w:val="20"/>
          <w:szCs w:val="20"/>
        </w:rPr>
        <w:t xml:space="preserve"> na niespotykaną dotąd skalę inwestycje, które poprawiają infrastrukturę dostępową od strony lądu i wody, a jednocześnie zapewniają realizację rosnących przeładunków.</w:t>
      </w:r>
    </w:p>
    <w:p w14:paraId="59DA309A" w14:textId="77777777" w:rsidR="00C0146E" w:rsidRPr="009B007B" w:rsidRDefault="00045733" w:rsidP="00C0146E">
      <w:pPr>
        <w:spacing w:line="276" w:lineRule="auto"/>
        <w:jc w:val="both"/>
        <w:rPr>
          <w:rFonts w:ascii="Arial" w:hAnsi="Arial" w:cs="Arial"/>
          <w:sz w:val="20"/>
          <w:szCs w:val="20"/>
        </w:rPr>
      </w:pPr>
      <w:r w:rsidRPr="009B007B">
        <w:rPr>
          <w:rFonts w:ascii="Arial" w:hAnsi="Arial" w:cs="Arial"/>
          <w:sz w:val="20"/>
          <w:szCs w:val="20"/>
        </w:rPr>
        <w:t>W 2018 r.</w:t>
      </w:r>
      <w:r w:rsidR="00C0146E" w:rsidRPr="009B007B">
        <w:rPr>
          <w:rFonts w:ascii="Arial" w:hAnsi="Arial" w:cs="Arial"/>
          <w:sz w:val="20"/>
          <w:szCs w:val="20"/>
        </w:rPr>
        <w:t xml:space="preserve"> odnotowano w Porcie Gdańsk większą ilość ładunków z grupy ro-ro, w tym samochodów handlowych, których po podsumowaniu całego roku przeładowan</w:t>
      </w:r>
      <w:r w:rsidR="00A506EE">
        <w:rPr>
          <w:rFonts w:ascii="Arial" w:hAnsi="Arial" w:cs="Arial"/>
          <w:sz w:val="20"/>
          <w:szCs w:val="20"/>
        </w:rPr>
        <w:t>o w porcie gdańskim 82 647 sz.</w:t>
      </w:r>
      <w:r w:rsidR="00C0146E" w:rsidRPr="009B007B">
        <w:rPr>
          <w:rFonts w:ascii="Arial" w:hAnsi="Arial" w:cs="Arial"/>
          <w:sz w:val="20"/>
          <w:szCs w:val="20"/>
        </w:rPr>
        <w:t xml:space="preserve">, co daje wynik o </w:t>
      </w:r>
      <w:r w:rsidR="00E948A2">
        <w:rPr>
          <w:rFonts w:ascii="Arial" w:hAnsi="Arial" w:cs="Arial"/>
          <w:sz w:val="20"/>
          <w:szCs w:val="20"/>
        </w:rPr>
        <w:t xml:space="preserve">13% lepszy niż w roku </w:t>
      </w:r>
      <w:r w:rsidR="00A506EE">
        <w:rPr>
          <w:rFonts w:ascii="Arial" w:hAnsi="Arial" w:cs="Arial"/>
          <w:sz w:val="20"/>
          <w:szCs w:val="20"/>
        </w:rPr>
        <w:t>poprzedni</w:t>
      </w:r>
      <w:r w:rsidR="00E948A2">
        <w:rPr>
          <w:rFonts w:ascii="Arial" w:hAnsi="Arial" w:cs="Arial"/>
          <w:sz w:val="20"/>
          <w:szCs w:val="20"/>
        </w:rPr>
        <w:t xml:space="preserve">m. </w:t>
      </w:r>
      <w:r w:rsidR="00C0146E" w:rsidRPr="009B007B">
        <w:rPr>
          <w:rFonts w:ascii="Arial" w:hAnsi="Arial" w:cs="Arial"/>
          <w:sz w:val="20"/>
          <w:szCs w:val="20"/>
        </w:rPr>
        <w:t xml:space="preserve">Większy wolumen samochodów handlowych </w:t>
      </w:r>
      <w:r w:rsidR="00C0146E" w:rsidRPr="009B007B">
        <w:rPr>
          <w:rFonts w:ascii="Arial" w:hAnsi="Arial" w:cs="Arial"/>
          <w:sz w:val="20"/>
          <w:szCs w:val="20"/>
        </w:rPr>
        <w:br/>
        <w:t>to odbudowywanie pozycji Gdańska na mapie logistycznej branży motoryzacyjnej</w:t>
      </w:r>
      <w:r w:rsidR="00A506EE">
        <w:rPr>
          <w:rFonts w:ascii="Arial" w:hAnsi="Arial" w:cs="Arial"/>
          <w:sz w:val="20"/>
          <w:szCs w:val="20"/>
        </w:rPr>
        <w:t>,</w:t>
      </w:r>
      <w:r w:rsidR="00C0146E" w:rsidRPr="009B007B">
        <w:rPr>
          <w:rFonts w:ascii="Arial" w:hAnsi="Arial" w:cs="Arial"/>
          <w:sz w:val="20"/>
          <w:szCs w:val="20"/>
        </w:rPr>
        <w:t xml:space="preserve"> a wykorzystywanie Portu </w:t>
      </w:r>
      <w:r w:rsidR="009B4B3C">
        <w:rPr>
          <w:rFonts w:ascii="Arial" w:hAnsi="Arial" w:cs="Arial"/>
          <w:sz w:val="20"/>
          <w:szCs w:val="20"/>
        </w:rPr>
        <w:t>Gdańsk jako motoryzacyjnego hub</w:t>
      </w:r>
      <w:r w:rsidR="00C0146E" w:rsidRPr="009B007B">
        <w:rPr>
          <w:rFonts w:ascii="Arial" w:hAnsi="Arial" w:cs="Arial"/>
          <w:sz w:val="20"/>
          <w:szCs w:val="20"/>
        </w:rPr>
        <w:t xml:space="preserve">u dystrybucyjnego na Europę Środkowo-Wschodnią, </w:t>
      </w:r>
      <w:r w:rsidR="00F16633" w:rsidRPr="009B007B">
        <w:rPr>
          <w:rFonts w:ascii="Arial" w:hAnsi="Arial" w:cs="Arial"/>
          <w:sz w:val="20"/>
          <w:szCs w:val="20"/>
        </w:rPr>
        <w:br/>
      </w:r>
      <w:r w:rsidR="00C0146E" w:rsidRPr="009B007B">
        <w:rPr>
          <w:rFonts w:ascii="Arial" w:hAnsi="Arial" w:cs="Arial"/>
          <w:sz w:val="20"/>
          <w:szCs w:val="20"/>
        </w:rPr>
        <w:t xml:space="preserve">wiązać się będzie w roku 2019 z jeszcze większą liczbą przeładowanych samochodów. Czynnikami determinującymi w głównej mierze wolumen samochodów handlowych obsługiwanych w Porcie Gdańsk jest poziom produkcji oraz sprzedaży samochodów w regionie. Odnosząc się do czterech państw stanowiących bezpośrednie zaplecze portowe (Polska, Czechy, Węgry i Słowacja) można mówić </w:t>
      </w:r>
      <w:r w:rsidR="00F57D17">
        <w:rPr>
          <w:rFonts w:ascii="Arial" w:hAnsi="Arial" w:cs="Arial"/>
          <w:sz w:val="20"/>
          <w:szCs w:val="20"/>
        </w:rPr>
        <w:br/>
      </w:r>
      <w:r w:rsidR="00C0146E" w:rsidRPr="009B007B">
        <w:rPr>
          <w:rFonts w:ascii="Arial" w:hAnsi="Arial" w:cs="Arial"/>
          <w:sz w:val="20"/>
          <w:szCs w:val="20"/>
        </w:rPr>
        <w:t>o systematycznym wzroście produkcji aut, którego dynamika jednak wyhamowała.</w:t>
      </w:r>
    </w:p>
    <w:p w14:paraId="228765A7" w14:textId="77777777" w:rsidR="00C0146E" w:rsidRPr="009B007B" w:rsidRDefault="007A3533" w:rsidP="00F16633">
      <w:pPr>
        <w:spacing w:line="276" w:lineRule="auto"/>
        <w:jc w:val="both"/>
        <w:rPr>
          <w:rFonts w:ascii="Arial" w:hAnsi="Arial" w:cs="Arial"/>
          <w:sz w:val="20"/>
          <w:szCs w:val="20"/>
        </w:rPr>
      </w:pPr>
      <w:r>
        <w:rPr>
          <w:rFonts w:ascii="Arial" w:hAnsi="Arial" w:cs="Arial"/>
          <w:sz w:val="20"/>
          <w:szCs w:val="20"/>
        </w:rPr>
        <w:t>W 2018 r.</w:t>
      </w:r>
      <w:r w:rsidR="00C0146E" w:rsidRPr="009B007B">
        <w:rPr>
          <w:rFonts w:ascii="Arial" w:hAnsi="Arial" w:cs="Arial"/>
          <w:sz w:val="20"/>
          <w:szCs w:val="20"/>
        </w:rPr>
        <w:t xml:space="preserve"> liczba zawinięć statków do Portu Gdańsk wyniosła 3 620, co oznacza wzrost o 315 </w:t>
      </w:r>
      <w:r w:rsidR="009B4B3C">
        <w:rPr>
          <w:rFonts w:ascii="Arial" w:hAnsi="Arial" w:cs="Arial"/>
          <w:sz w:val="20"/>
          <w:szCs w:val="20"/>
        </w:rPr>
        <w:t>zawinięć w stosunku do 2017 r</w:t>
      </w:r>
      <w:r w:rsidR="00C0146E" w:rsidRPr="009B007B">
        <w:rPr>
          <w:rFonts w:ascii="Arial" w:hAnsi="Arial" w:cs="Arial"/>
          <w:sz w:val="20"/>
          <w:szCs w:val="20"/>
        </w:rPr>
        <w:t>. Równocześnie w</w:t>
      </w:r>
      <w:r w:rsidR="00F57D17">
        <w:rPr>
          <w:rFonts w:ascii="Arial" w:hAnsi="Arial" w:cs="Arial"/>
          <w:sz w:val="20"/>
          <w:szCs w:val="20"/>
        </w:rPr>
        <w:t xml:space="preserve"> 2018 r.</w:t>
      </w:r>
      <w:r w:rsidR="00C0146E" w:rsidRPr="009B007B">
        <w:rPr>
          <w:rFonts w:ascii="Arial" w:hAnsi="Arial" w:cs="Arial"/>
          <w:sz w:val="20"/>
          <w:szCs w:val="20"/>
        </w:rPr>
        <w:t xml:space="preserve"> zanotowano największą z dotychczasowych średnią pojemność brutto statku (17 321 GT/statek), a łączne GT wyniosło 62 702 691. Z powyższego wnioskować należy, że nadal trwa tendencja podstawiania przez armatorów większych jednostek, czyli racjonalizacji wykorzystania przestrzeni ładunkowej, do czego Port w Gdańsku się wciąż dostosowuje dbając o wzrost konkurencyjności</w:t>
      </w:r>
      <w:r w:rsidR="00F16633" w:rsidRPr="009B007B">
        <w:rPr>
          <w:rFonts w:ascii="Arial" w:hAnsi="Arial" w:cs="Arial"/>
          <w:sz w:val="20"/>
          <w:szCs w:val="20"/>
        </w:rPr>
        <w:t>.</w:t>
      </w:r>
    </w:p>
    <w:p w14:paraId="3F538C1D" w14:textId="77777777" w:rsidR="00B35138" w:rsidRDefault="00B35138" w:rsidP="00B35138">
      <w:pPr>
        <w:pStyle w:val="spis2"/>
        <w:rPr>
          <w:rFonts w:ascii="Arial" w:hAnsi="Arial" w:cs="Arial"/>
          <w:sz w:val="20"/>
          <w:szCs w:val="20"/>
        </w:rPr>
      </w:pPr>
      <w:bookmarkStart w:id="4" w:name="_Toc3385282"/>
      <w:r w:rsidRPr="009B007B">
        <w:rPr>
          <w:rFonts w:ascii="Arial" w:hAnsi="Arial" w:cs="Arial"/>
          <w:sz w:val="20"/>
          <w:szCs w:val="20"/>
        </w:rPr>
        <w:t>Inwestycje realizowane na obszarze administrowanym przez Zarząd Morskiego Portu Gdańsk </w:t>
      </w:r>
      <w:r w:rsidR="00DD7969" w:rsidRPr="009B007B">
        <w:rPr>
          <w:rFonts w:ascii="Arial" w:hAnsi="Arial" w:cs="Arial"/>
          <w:sz w:val="20"/>
          <w:szCs w:val="20"/>
        </w:rPr>
        <w:t>S.A. w 2018</w:t>
      </w:r>
      <w:r w:rsidRPr="009B007B">
        <w:rPr>
          <w:rFonts w:ascii="Arial" w:hAnsi="Arial" w:cs="Arial"/>
          <w:sz w:val="20"/>
          <w:szCs w:val="20"/>
        </w:rPr>
        <w:t xml:space="preserve"> r.</w:t>
      </w:r>
      <w:bookmarkEnd w:id="4"/>
    </w:p>
    <w:p w14:paraId="03330337" w14:textId="77777777" w:rsidR="005D1561" w:rsidRPr="005F65E9" w:rsidRDefault="005D1561" w:rsidP="005D1561">
      <w:pPr>
        <w:spacing w:line="276" w:lineRule="auto"/>
        <w:jc w:val="both"/>
        <w:rPr>
          <w:rFonts w:ascii="Arial" w:hAnsi="Arial" w:cs="Arial"/>
          <w:sz w:val="20"/>
          <w:szCs w:val="20"/>
        </w:rPr>
      </w:pPr>
      <w:r w:rsidRPr="005F65E9">
        <w:rPr>
          <w:rFonts w:ascii="Arial" w:hAnsi="Arial" w:cs="Arial"/>
          <w:sz w:val="20"/>
          <w:szCs w:val="20"/>
        </w:rPr>
        <w:t xml:space="preserve">Rok 2018 stanowił kontynuację wieloletniego programu rozwoju usług portowych w Porcie Gdańsk. </w:t>
      </w:r>
      <w:r w:rsidR="00B4634C">
        <w:rPr>
          <w:rFonts w:ascii="Arial" w:hAnsi="Arial" w:cs="Arial"/>
          <w:sz w:val="20"/>
          <w:szCs w:val="20"/>
        </w:rPr>
        <w:br/>
      </w:r>
      <w:r w:rsidRPr="005F65E9">
        <w:rPr>
          <w:rFonts w:ascii="Arial" w:hAnsi="Arial" w:cs="Arial"/>
          <w:sz w:val="20"/>
          <w:szCs w:val="20"/>
        </w:rPr>
        <w:t>Na obszarze administrowanym przez Zarząd Morskiego Portu Gdańsk S.A. przygotowano szereg inwestycji wpływających na rozwój potencjału przeładunkowego portu oraz umocnienie jego roli w kontekście portu dystrybucyjnego na Bałtyku. Najważniejsze inwestycje i działania podjęte, kontynuowane</w:t>
      </w:r>
      <w:r w:rsidR="005F65E9">
        <w:rPr>
          <w:rFonts w:ascii="Arial" w:hAnsi="Arial" w:cs="Arial"/>
          <w:sz w:val="20"/>
          <w:szCs w:val="20"/>
        </w:rPr>
        <w:t xml:space="preserve"> lub zakończone w tym zakresie w 2018 r.</w:t>
      </w:r>
      <w:r w:rsidRPr="005F65E9">
        <w:rPr>
          <w:rFonts w:ascii="Arial" w:hAnsi="Arial" w:cs="Arial"/>
          <w:sz w:val="20"/>
          <w:szCs w:val="20"/>
        </w:rPr>
        <w:t xml:space="preserve">, służące realizacji polskiej polityki w zakresie </w:t>
      </w:r>
      <w:r w:rsidR="005F65E9">
        <w:rPr>
          <w:rFonts w:ascii="Arial" w:hAnsi="Arial" w:cs="Arial"/>
          <w:sz w:val="20"/>
          <w:szCs w:val="20"/>
        </w:rPr>
        <w:t>poprawy</w:t>
      </w:r>
      <w:r w:rsidRPr="005F65E9">
        <w:rPr>
          <w:rFonts w:ascii="Arial" w:hAnsi="Arial" w:cs="Arial"/>
          <w:sz w:val="20"/>
          <w:szCs w:val="20"/>
        </w:rPr>
        <w:t xml:space="preserve"> dostępu do portu, wzrostu potencjału przeładunkowego portu oraz poprawy bezpieczeństwa energetycznego państwa </w:t>
      </w:r>
      <w:r w:rsidR="005F65E9">
        <w:rPr>
          <w:rFonts w:ascii="Arial" w:hAnsi="Arial" w:cs="Arial"/>
          <w:sz w:val="20"/>
          <w:szCs w:val="20"/>
        </w:rPr>
        <w:t>wymienione zostały poniżej.</w:t>
      </w:r>
    </w:p>
    <w:p w14:paraId="570EFDD1" w14:textId="77777777" w:rsidR="00B35138" w:rsidRPr="009B007B" w:rsidRDefault="00B35138" w:rsidP="00BF76C0">
      <w:pPr>
        <w:pStyle w:val="Akapitzlist"/>
        <w:numPr>
          <w:ilvl w:val="0"/>
          <w:numId w:val="3"/>
        </w:numPr>
        <w:spacing w:before="240" w:after="240"/>
        <w:jc w:val="both"/>
        <w:rPr>
          <w:rFonts w:ascii="Arial" w:hAnsi="Arial" w:cs="Arial"/>
          <w:b/>
          <w:sz w:val="20"/>
          <w:szCs w:val="20"/>
        </w:rPr>
      </w:pPr>
      <w:r w:rsidRPr="009B007B">
        <w:rPr>
          <w:rFonts w:ascii="Arial" w:hAnsi="Arial" w:cs="Arial"/>
          <w:b/>
          <w:sz w:val="20"/>
          <w:szCs w:val="20"/>
        </w:rPr>
        <w:t>„Port Centralny”</w:t>
      </w:r>
    </w:p>
    <w:p w14:paraId="752C148A" w14:textId="77777777" w:rsidR="00DD7969" w:rsidRPr="009B007B" w:rsidRDefault="004E7D4C" w:rsidP="00DD7969">
      <w:pPr>
        <w:spacing w:line="276" w:lineRule="auto"/>
        <w:jc w:val="both"/>
        <w:rPr>
          <w:rFonts w:ascii="Arial" w:hAnsi="Arial" w:cs="Arial"/>
          <w:sz w:val="20"/>
          <w:szCs w:val="20"/>
        </w:rPr>
      </w:pPr>
      <w:r>
        <w:rPr>
          <w:rFonts w:ascii="Arial" w:hAnsi="Arial" w:cs="Arial"/>
          <w:sz w:val="20"/>
          <w:szCs w:val="20"/>
        </w:rPr>
        <w:t>W 2018 r.</w:t>
      </w:r>
      <w:r w:rsidR="00596E08">
        <w:rPr>
          <w:rFonts w:ascii="Arial" w:hAnsi="Arial" w:cs="Arial"/>
          <w:sz w:val="20"/>
          <w:szCs w:val="20"/>
        </w:rPr>
        <w:t xml:space="preserve"> kontynuowana</w:t>
      </w:r>
      <w:r w:rsidR="00DD7969" w:rsidRPr="009B007B">
        <w:rPr>
          <w:rFonts w:ascii="Arial" w:hAnsi="Arial" w:cs="Arial"/>
          <w:sz w:val="20"/>
          <w:szCs w:val="20"/>
        </w:rPr>
        <w:t xml:space="preserve"> był</w:t>
      </w:r>
      <w:r w:rsidR="00596E08">
        <w:rPr>
          <w:rFonts w:ascii="Arial" w:hAnsi="Arial" w:cs="Arial"/>
          <w:sz w:val="20"/>
          <w:szCs w:val="20"/>
        </w:rPr>
        <w:t>a realizacja</w:t>
      </w:r>
      <w:r w:rsidR="00DD7969" w:rsidRPr="009B007B">
        <w:rPr>
          <w:rFonts w:ascii="Arial" w:hAnsi="Arial" w:cs="Arial"/>
          <w:sz w:val="20"/>
          <w:szCs w:val="20"/>
        </w:rPr>
        <w:t xml:space="preserve"> projekt</w:t>
      </w:r>
      <w:r w:rsidR="00596E08">
        <w:rPr>
          <w:rFonts w:ascii="Arial" w:hAnsi="Arial" w:cs="Arial"/>
          <w:sz w:val="20"/>
          <w:szCs w:val="20"/>
        </w:rPr>
        <w:t>u</w:t>
      </w:r>
      <w:r w:rsidR="00DD7969" w:rsidRPr="009B007B">
        <w:rPr>
          <w:rFonts w:ascii="Arial" w:hAnsi="Arial" w:cs="Arial"/>
          <w:sz w:val="20"/>
          <w:szCs w:val="20"/>
        </w:rPr>
        <w:t xml:space="preserve"> dotycząc</w:t>
      </w:r>
      <w:r w:rsidR="00596E08">
        <w:rPr>
          <w:rFonts w:ascii="Arial" w:hAnsi="Arial" w:cs="Arial"/>
          <w:sz w:val="20"/>
          <w:szCs w:val="20"/>
        </w:rPr>
        <w:t>ego</w:t>
      </w:r>
      <w:r w:rsidR="00DD7969" w:rsidRPr="009B007B">
        <w:rPr>
          <w:rFonts w:ascii="Arial" w:hAnsi="Arial" w:cs="Arial"/>
          <w:sz w:val="20"/>
          <w:szCs w:val="20"/>
        </w:rPr>
        <w:t xml:space="preserve"> Budowy Portu Centralnego w głębokowodnej części Portu pomiędzy ujściem kanału portowego a Naftoportem. Sporządzono Opis Przedmiotu Zamówienia (OPZ), warunki udziału w postępowaniu oraz harmonogram zamówienia dla przetargu na wykonawcę studium wykonalności wraz z analizami przedrealizacyjnymi dla Budowy Portu Centralnego w formule PPP. Ogłoszenie przetargu na w/w analizy odbyło się w październiku 2018 r.  </w:t>
      </w:r>
    </w:p>
    <w:p w14:paraId="371CEC44" w14:textId="77777777" w:rsidR="00DD7969" w:rsidRDefault="00C41FF9" w:rsidP="00DD7969">
      <w:pPr>
        <w:spacing w:line="276" w:lineRule="auto"/>
        <w:jc w:val="both"/>
        <w:rPr>
          <w:rFonts w:ascii="Arial" w:hAnsi="Arial" w:cs="Arial"/>
          <w:sz w:val="20"/>
          <w:szCs w:val="20"/>
        </w:rPr>
      </w:pPr>
      <w:r w:rsidRPr="009B007B">
        <w:rPr>
          <w:rFonts w:ascii="Arial" w:hAnsi="Arial" w:cs="Arial"/>
          <w:sz w:val="20"/>
          <w:szCs w:val="20"/>
        </w:rPr>
        <w:t>W maju 2018 r. po zakończonym przetargu</w:t>
      </w:r>
      <w:r w:rsidR="00DD7969" w:rsidRPr="009B007B">
        <w:rPr>
          <w:rFonts w:ascii="Arial" w:hAnsi="Arial" w:cs="Arial"/>
          <w:sz w:val="20"/>
          <w:szCs w:val="20"/>
        </w:rPr>
        <w:t xml:space="preserve"> podpisano umowę na Wykonanie wielobranżowej Koncepcji Zagospodarowania Portu Centraln</w:t>
      </w:r>
      <w:r w:rsidR="003E2EC4">
        <w:rPr>
          <w:rFonts w:ascii="Arial" w:hAnsi="Arial" w:cs="Arial"/>
          <w:sz w:val="20"/>
          <w:szCs w:val="20"/>
        </w:rPr>
        <w:t xml:space="preserve">ego w Porcie Morskim w Gdańsku. </w:t>
      </w:r>
      <w:r w:rsidR="00DD7969" w:rsidRPr="009B007B">
        <w:rPr>
          <w:rFonts w:ascii="Arial" w:hAnsi="Arial" w:cs="Arial"/>
          <w:sz w:val="20"/>
          <w:szCs w:val="20"/>
        </w:rPr>
        <w:t xml:space="preserve">Wykonawca zgodnie </w:t>
      </w:r>
      <w:r w:rsidR="007D3909">
        <w:rPr>
          <w:rFonts w:ascii="Arial" w:hAnsi="Arial" w:cs="Arial"/>
          <w:sz w:val="20"/>
          <w:szCs w:val="20"/>
        </w:rPr>
        <w:br/>
      </w:r>
      <w:r w:rsidR="00DD7969" w:rsidRPr="009B007B">
        <w:rPr>
          <w:rFonts w:ascii="Arial" w:hAnsi="Arial" w:cs="Arial"/>
          <w:sz w:val="20"/>
          <w:szCs w:val="20"/>
        </w:rPr>
        <w:t>z harmonogramem wypracował w ramach I Etapu Koncepcję Zagospodarowania Portu Centralnego. Wykonawca opracował trzy koncepcje zagospoda</w:t>
      </w:r>
      <w:r w:rsidR="003E2EC4">
        <w:rPr>
          <w:rFonts w:ascii="Arial" w:hAnsi="Arial" w:cs="Arial"/>
          <w:sz w:val="20"/>
          <w:szCs w:val="20"/>
        </w:rPr>
        <w:t>rowania portu</w:t>
      </w:r>
      <w:r w:rsidR="00DD7969" w:rsidRPr="009B007B">
        <w:rPr>
          <w:rFonts w:ascii="Arial" w:hAnsi="Arial" w:cs="Arial"/>
          <w:sz w:val="20"/>
          <w:szCs w:val="20"/>
        </w:rPr>
        <w:t xml:space="preserve"> zakończone wyborem przez Zamawiającego jednego, rekomendowanego przez Wykonawcę wariantu. W ramach realizowanej umowy została przygotowana również inwentaryzacja oraz analizy popytu. </w:t>
      </w:r>
    </w:p>
    <w:p w14:paraId="6BA0C989" w14:textId="77777777" w:rsidR="006018EA" w:rsidRDefault="006018EA" w:rsidP="00DD7969">
      <w:pPr>
        <w:spacing w:line="276" w:lineRule="auto"/>
        <w:jc w:val="both"/>
        <w:rPr>
          <w:rFonts w:ascii="Arial" w:hAnsi="Arial" w:cs="Arial"/>
          <w:sz w:val="20"/>
          <w:szCs w:val="20"/>
        </w:rPr>
      </w:pPr>
    </w:p>
    <w:p w14:paraId="12608EFF" w14:textId="77777777" w:rsidR="006018EA" w:rsidRPr="009B007B" w:rsidRDefault="006018EA" w:rsidP="00DD7969">
      <w:pPr>
        <w:spacing w:line="276" w:lineRule="auto"/>
        <w:jc w:val="both"/>
        <w:rPr>
          <w:rFonts w:ascii="Arial" w:hAnsi="Arial" w:cs="Arial"/>
          <w:sz w:val="20"/>
          <w:szCs w:val="20"/>
        </w:rPr>
      </w:pPr>
    </w:p>
    <w:p w14:paraId="1D5A9ACA" w14:textId="77777777" w:rsidR="00B35138" w:rsidRDefault="00E961F3" w:rsidP="00BF76C0">
      <w:pPr>
        <w:pStyle w:val="Akapitzlist"/>
        <w:numPr>
          <w:ilvl w:val="0"/>
          <w:numId w:val="3"/>
        </w:numPr>
        <w:spacing w:before="240" w:after="240"/>
        <w:jc w:val="both"/>
        <w:rPr>
          <w:rFonts w:ascii="Arial" w:hAnsi="Arial" w:cs="Arial"/>
          <w:b/>
          <w:sz w:val="20"/>
          <w:szCs w:val="20"/>
        </w:rPr>
      </w:pPr>
      <w:r w:rsidRPr="00C64B02">
        <w:rPr>
          <w:rFonts w:ascii="Arial" w:hAnsi="Arial" w:cs="Arial"/>
          <w:b/>
          <w:sz w:val="20"/>
          <w:szCs w:val="20"/>
        </w:rPr>
        <w:lastRenderedPageBreak/>
        <w:t>Opracowanie Studium wykonalności dla drogi wodnej E-40</w:t>
      </w:r>
    </w:p>
    <w:p w14:paraId="37F0FC2B" w14:textId="77777777" w:rsidR="00C64B02" w:rsidRPr="00C64B02" w:rsidRDefault="00C64B02" w:rsidP="00C64B02">
      <w:pPr>
        <w:pStyle w:val="Akapitzlist"/>
        <w:spacing w:before="240" w:after="240"/>
        <w:ind w:left="360"/>
        <w:jc w:val="both"/>
        <w:rPr>
          <w:rFonts w:ascii="Arial" w:hAnsi="Arial" w:cs="Arial"/>
          <w:b/>
          <w:sz w:val="20"/>
          <w:szCs w:val="20"/>
        </w:rPr>
      </w:pPr>
    </w:p>
    <w:p w14:paraId="3306CDB8" w14:textId="77777777" w:rsidR="00E961F3" w:rsidRPr="009B007B" w:rsidRDefault="00E961F3" w:rsidP="00E961F3">
      <w:pPr>
        <w:pStyle w:val="Akapitzlist"/>
        <w:spacing w:after="120" w:line="276" w:lineRule="auto"/>
        <w:ind w:left="0"/>
        <w:contextualSpacing w:val="0"/>
        <w:jc w:val="both"/>
        <w:rPr>
          <w:rFonts w:ascii="Arial" w:hAnsi="Arial" w:cs="Arial"/>
          <w:sz w:val="20"/>
          <w:szCs w:val="20"/>
        </w:rPr>
      </w:pPr>
      <w:r w:rsidRPr="009B007B">
        <w:rPr>
          <w:rFonts w:ascii="Arial" w:hAnsi="Arial" w:cs="Arial"/>
          <w:sz w:val="20"/>
          <w:szCs w:val="20"/>
        </w:rPr>
        <w:t xml:space="preserve">Na </w:t>
      </w:r>
      <w:r w:rsidR="007D3909">
        <w:rPr>
          <w:rFonts w:ascii="Arial" w:hAnsi="Arial" w:cs="Arial"/>
          <w:sz w:val="20"/>
          <w:szCs w:val="20"/>
        </w:rPr>
        <w:t>zlecenie</w:t>
      </w:r>
      <w:r w:rsidRPr="009B007B">
        <w:rPr>
          <w:rFonts w:ascii="Arial" w:hAnsi="Arial" w:cs="Arial"/>
          <w:sz w:val="20"/>
          <w:szCs w:val="20"/>
        </w:rPr>
        <w:t xml:space="preserve"> Ministerstwa Gospodarki</w:t>
      </w:r>
      <w:r w:rsidR="003E2EC4">
        <w:rPr>
          <w:rFonts w:ascii="Arial" w:hAnsi="Arial" w:cs="Arial"/>
          <w:sz w:val="20"/>
          <w:szCs w:val="20"/>
        </w:rPr>
        <w:t xml:space="preserve"> Morskiej i Żeglugi Śródlądowej</w:t>
      </w:r>
      <w:r w:rsidRPr="009B007B">
        <w:rPr>
          <w:rFonts w:ascii="Arial" w:hAnsi="Arial" w:cs="Arial"/>
          <w:sz w:val="20"/>
          <w:szCs w:val="20"/>
        </w:rPr>
        <w:t xml:space="preserve"> ZMPG S.A. opracował opis przedmiotu zamówienia oraz przeprowadził wybór wykonawcy opracowania dokumentacji: Studium wykonalności dla modernizacji drogi wodnej E-40 dla rzeki Wisły na odcinku od Gdańska do Warszawy i E-40 na odcinku od Warszawy do granicy Polska-Białoruś (Brześć) oraz drogi wodnej E-70 na odcinku od Wisły do Zalewu Wiślanego (do Elbląga).</w:t>
      </w:r>
    </w:p>
    <w:p w14:paraId="270EEC5A" w14:textId="77777777" w:rsidR="00E961F3" w:rsidRPr="009B007B" w:rsidRDefault="00E961F3" w:rsidP="00FA7C99">
      <w:pPr>
        <w:pStyle w:val="Akapitzlist"/>
        <w:spacing w:before="120" w:after="120" w:line="276" w:lineRule="auto"/>
        <w:ind w:left="0"/>
        <w:contextualSpacing w:val="0"/>
        <w:jc w:val="both"/>
        <w:rPr>
          <w:rFonts w:ascii="Arial" w:hAnsi="Arial" w:cs="Arial"/>
          <w:sz w:val="20"/>
          <w:szCs w:val="20"/>
        </w:rPr>
      </w:pPr>
      <w:r w:rsidRPr="009B007B">
        <w:rPr>
          <w:rFonts w:ascii="Arial" w:hAnsi="Arial" w:cs="Arial"/>
          <w:sz w:val="20"/>
          <w:szCs w:val="20"/>
        </w:rPr>
        <w:t xml:space="preserve">W lipcu 2018 r. podpisano umowę na wykonawstwo. Wartość umowna kontraktu – 3 750 000,00 zł. Celem opracowania jest m.in. szczegółowa analiza zasadności kompleksowego zagospodarowaniu wymienionych dróg wodnych oraz sprawdzenie czy istnieją ograniczenia techniczne, środowiskowe, finansowe, organizacyjne, prawne i inne, które uniemożliwiają jego realizację. Studium ma też określić zakres projektowanego przedsięwzięcia i jego główne parametry techniczne. Celem dokumentu jest też oszacowanie nakładów inwestycyjnych, niezbędnych do realizacji programu oraz określenie harmonogramu wydatków i potencjalnych źródeł finansowania. Studium ma także zawierać analizę popytu na transport śródlądowy, towarowy i pasażerski dla dróg wodnych będących przedmiotem opracowania, tak w aspekcie krajowym, jak i europejskim. Wykonawca realizuje prace zgodnie </w:t>
      </w:r>
      <w:r w:rsidR="008653E5" w:rsidRPr="009B007B">
        <w:rPr>
          <w:rFonts w:ascii="Arial" w:hAnsi="Arial" w:cs="Arial"/>
          <w:sz w:val="20"/>
          <w:szCs w:val="20"/>
        </w:rPr>
        <w:br/>
      </w:r>
      <w:r w:rsidRPr="009B007B">
        <w:rPr>
          <w:rFonts w:ascii="Arial" w:hAnsi="Arial" w:cs="Arial"/>
          <w:sz w:val="20"/>
          <w:szCs w:val="20"/>
        </w:rPr>
        <w:t>z przekazanym harmonogramem.</w:t>
      </w:r>
    </w:p>
    <w:p w14:paraId="028E10BD" w14:textId="77777777" w:rsidR="004C7461" w:rsidRPr="009B007B" w:rsidRDefault="004C7461" w:rsidP="00BF76C0">
      <w:pPr>
        <w:pStyle w:val="Akapitzlist"/>
        <w:numPr>
          <w:ilvl w:val="0"/>
          <w:numId w:val="3"/>
        </w:numPr>
        <w:spacing w:before="120" w:after="120"/>
        <w:ind w:left="284" w:hanging="284"/>
        <w:contextualSpacing w:val="0"/>
        <w:jc w:val="both"/>
        <w:rPr>
          <w:rFonts w:ascii="Arial" w:hAnsi="Arial" w:cs="Arial"/>
          <w:b/>
          <w:sz w:val="20"/>
          <w:szCs w:val="20"/>
        </w:rPr>
      </w:pPr>
      <w:r w:rsidRPr="009B007B">
        <w:rPr>
          <w:rFonts w:ascii="Arial" w:hAnsi="Arial" w:cs="Arial"/>
          <w:b/>
          <w:sz w:val="20"/>
          <w:szCs w:val="20"/>
        </w:rPr>
        <w:t xml:space="preserve">Budowa bazy składowo – przeładunkowej paliw i produktów ropopochodnych PERN S.A. </w:t>
      </w:r>
    </w:p>
    <w:p w14:paraId="1F24E68C" w14:textId="77777777" w:rsidR="004C7461" w:rsidRPr="009B007B" w:rsidRDefault="004C7461" w:rsidP="00FA7C99">
      <w:pPr>
        <w:pStyle w:val="Akapitzlist"/>
        <w:keepNext/>
        <w:spacing w:before="120" w:after="120" w:line="276" w:lineRule="auto"/>
        <w:ind w:left="0"/>
        <w:contextualSpacing w:val="0"/>
        <w:jc w:val="both"/>
        <w:rPr>
          <w:rFonts w:ascii="Arial" w:hAnsi="Arial" w:cs="Arial"/>
          <w:sz w:val="20"/>
          <w:szCs w:val="20"/>
        </w:rPr>
      </w:pPr>
      <w:r w:rsidRPr="009B007B">
        <w:rPr>
          <w:rFonts w:ascii="Arial" w:hAnsi="Arial" w:cs="Arial"/>
          <w:sz w:val="20"/>
          <w:szCs w:val="20"/>
        </w:rPr>
        <w:t xml:space="preserve">W 2018 r. uzgodniono Projekt Zagospodarowania Terenu dla II Etapu inwestycji: budowa </w:t>
      </w:r>
      <w:r w:rsidRPr="009B007B">
        <w:rPr>
          <w:rFonts w:ascii="Arial" w:hAnsi="Arial" w:cs="Arial"/>
          <w:sz w:val="20"/>
          <w:szCs w:val="20"/>
        </w:rPr>
        <w:br/>
        <w:t>3 zbiorników bazy  o pojemności 100 tys. m3 każdy oraz 2 zbiorniki o pojemności 45 tys. m3 każdy. Następnie Inwestor uzyskał pozwolenie na budowę oraz dokonał wyboru Generalnego Wykonawcy Inwestycji tj. konsorcjum z udziałem Naftoremont – Naftobudowa. Wartość inwestycji wynosi 326 mln zł, termin realizacji to 21 miesięcy od dnia podpisania umowy.</w:t>
      </w:r>
    </w:p>
    <w:p w14:paraId="65AD5211" w14:textId="77777777" w:rsidR="00042F1F" w:rsidRPr="00042F1F" w:rsidRDefault="004C7461" w:rsidP="00BF76C0">
      <w:pPr>
        <w:pStyle w:val="Akapitzlist"/>
        <w:numPr>
          <w:ilvl w:val="0"/>
          <w:numId w:val="3"/>
        </w:numPr>
        <w:spacing w:before="120" w:after="120" w:line="276" w:lineRule="auto"/>
        <w:jc w:val="both"/>
        <w:rPr>
          <w:rFonts w:ascii="Arial" w:hAnsi="Arial" w:cs="Arial"/>
          <w:b/>
          <w:sz w:val="20"/>
          <w:szCs w:val="20"/>
        </w:rPr>
      </w:pPr>
      <w:r w:rsidRPr="00042F1F">
        <w:rPr>
          <w:rFonts w:ascii="Arial" w:hAnsi="Arial" w:cs="Arial"/>
          <w:b/>
          <w:sz w:val="20"/>
          <w:szCs w:val="20"/>
        </w:rPr>
        <w:t>Budowa Głębokowodnego Terminala Uniwersalnego do przeładunku towarów masowych</w:t>
      </w:r>
      <w:r w:rsidRPr="00042F1F">
        <w:rPr>
          <w:rFonts w:ascii="Arial" w:hAnsi="Arial" w:cs="Arial"/>
          <w:b/>
          <w:sz w:val="20"/>
          <w:szCs w:val="20"/>
        </w:rPr>
        <w:br/>
        <w:t>w tym ładunków masowych pochodzenia roślinnego z wyjątkiem ropy i produ</w:t>
      </w:r>
      <w:r w:rsidR="00E05869">
        <w:rPr>
          <w:rFonts w:ascii="Arial" w:hAnsi="Arial" w:cs="Arial"/>
          <w:b/>
          <w:sz w:val="20"/>
          <w:szCs w:val="20"/>
        </w:rPr>
        <w:t>któw ropopochodnych – ok. 26 ha</w:t>
      </w:r>
      <w:r w:rsidRPr="00042F1F">
        <w:rPr>
          <w:rFonts w:ascii="Arial" w:hAnsi="Arial" w:cs="Arial"/>
          <w:b/>
          <w:sz w:val="20"/>
          <w:szCs w:val="20"/>
        </w:rPr>
        <w:t xml:space="preserve"> </w:t>
      </w:r>
    </w:p>
    <w:p w14:paraId="4532326A" w14:textId="77777777" w:rsidR="004C7461" w:rsidRPr="00042F1F" w:rsidRDefault="004C7461" w:rsidP="00042F1F">
      <w:pPr>
        <w:spacing w:before="120" w:after="120" w:line="276" w:lineRule="auto"/>
        <w:jc w:val="both"/>
        <w:rPr>
          <w:rFonts w:ascii="Arial" w:hAnsi="Arial" w:cs="Arial"/>
          <w:sz w:val="20"/>
          <w:szCs w:val="20"/>
        </w:rPr>
      </w:pPr>
      <w:r w:rsidRPr="00042F1F">
        <w:rPr>
          <w:rFonts w:ascii="Arial" w:hAnsi="Arial" w:cs="Arial"/>
          <w:sz w:val="20"/>
          <w:szCs w:val="20"/>
        </w:rPr>
        <w:t xml:space="preserve">W 2018 r. uzgodniony został Projekt Budowlany budowy Terminala Przeładunkowo-Składowego </w:t>
      </w:r>
      <w:r w:rsidR="00AA2DBE">
        <w:rPr>
          <w:rFonts w:ascii="Arial" w:hAnsi="Arial" w:cs="Arial"/>
          <w:sz w:val="20"/>
          <w:szCs w:val="20"/>
        </w:rPr>
        <w:br/>
      </w:r>
      <w:r w:rsidRPr="00042F1F">
        <w:rPr>
          <w:rFonts w:ascii="Arial" w:hAnsi="Arial" w:cs="Arial"/>
          <w:sz w:val="20"/>
          <w:szCs w:val="20"/>
        </w:rPr>
        <w:t>w Porcie Północnym. Inwestor uzyskał uzgodnienie dotyczące Nabrzeża Zamykającego, które łączy się z Nabrzeżem T2DCT. Po uzyskaniu ostatniej z wymaganych decyzji o pozwoleniu wodnoprawny</w:t>
      </w:r>
      <w:r w:rsidR="009B007B" w:rsidRPr="00042F1F">
        <w:rPr>
          <w:rFonts w:ascii="Arial" w:hAnsi="Arial" w:cs="Arial"/>
          <w:sz w:val="20"/>
          <w:szCs w:val="20"/>
        </w:rPr>
        <w:t>m, Inwestor pod koniec 2018 r.</w:t>
      </w:r>
      <w:r w:rsidRPr="00042F1F">
        <w:rPr>
          <w:rFonts w:ascii="Arial" w:hAnsi="Arial" w:cs="Arial"/>
          <w:sz w:val="20"/>
          <w:szCs w:val="20"/>
        </w:rPr>
        <w:t xml:space="preserve"> złożył wniosek o pozwolenie na budowę dla Terminala Głębokowodnego. </w:t>
      </w:r>
    </w:p>
    <w:p w14:paraId="31C4D6FD" w14:textId="77777777" w:rsidR="00797408" w:rsidRPr="00042F1F" w:rsidRDefault="004C7461" w:rsidP="00BF76C0">
      <w:pPr>
        <w:pStyle w:val="Akapitzlist"/>
        <w:numPr>
          <w:ilvl w:val="0"/>
          <w:numId w:val="3"/>
        </w:numPr>
        <w:spacing w:before="120" w:after="120" w:line="276" w:lineRule="auto"/>
        <w:jc w:val="both"/>
        <w:rPr>
          <w:rFonts w:ascii="Arial" w:hAnsi="Arial" w:cs="Arial"/>
          <w:b/>
          <w:sz w:val="20"/>
          <w:szCs w:val="20"/>
        </w:rPr>
      </w:pPr>
      <w:r w:rsidRPr="00042F1F">
        <w:rPr>
          <w:rFonts w:ascii="Arial" w:hAnsi="Arial" w:cs="Arial"/>
          <w:b/>
          <w:sz w:val="20"/>
          <w:szCs w:val="20"/>
        </w:rPr>
        <w:t xml:space="preserve">Budowa DCT 2 </w:t>
      </w:r>
    </w:p>
    <w:p w14:paraId="67787083" w14:textId="77777777" w:rsidR="004C7461" w:rsidRPr="009B007B" w:rsidRDefault="004C7461" w:rsidP="00042F1F">
      <w:pPr>
        <w:spacing w:before="120" w:after="120" w:line="276" w:lineRule="auto"/>
        <w:jc w:val="both"/>
        <w:rPr>
          <w:rFonts w:ascii="Arial" w:hAnsi="Arial" w:cs="Arial"/>
          <w:sz w:val="20"/>
          <w:szCs w:val="20"/>
        </w:rPr>
      </w:pPr>
      <w:r w:rsidRPr="009B007B">
        <w:rPr>
          <w:rFonts w:ascii="Arial" w:hAnsi="Arial" w:cs="Arial"/>
          <w:sz w:val="20"/>
          <w:szCs w:val="20"/>
        </w:rPr>
        <w:t xml:space="preserve">Inwestor </w:t>
      </w:r>
      <w:r w:rsidR="005758B1">
        <w:rPr>
          <w:rFonts w:ascii="Arial" w:hAnsi="Arial" w:cs="Arial"/>
          <w:sz w:val="20"/>
          <w:szCs w:val="20"/>
        </w:rPr>
        <w:t>-</w:t>
      </w:r>
      <w:r w:rsidRPr="009B007B">
        <w:rPr>
          <w:rFonts w:ascii="Arial" w:hAnsi="Arial" w:cs="Arial"/>
          <w:sz w:val="20"/>
          <w:szCs w:val="20"/>
        </w:rPr>
        <w:t xml:space="preserve"> DCT Gdańsk S.A. kontynuuje prace zmierzające do rozbudowy potencjału Terminala </w:t>
      </w:r>
      <w:r w:rsidRPr="009B007B">
        <w:rPr>
          <w:rFonts w:ascii="Arial" w:hAnsi="Arial" w:cs="Arial"/>
          <w:sz w:val="20"/>
          <w:szCs w:val="20"/>
        </w:rPr>
        <w:br/>
        <w:t xml:space="preserve">i powiększenia zdolności przeładunkowych do 4 mln TEU rocznie. W 2018 r. Inwestor (DCT Gdańsk S.A.) uzyskał decyzję zmieniającą pozwolenie na budowę, która to zmiana pozwoliła na rozpoczęcie robót budowlanych. Prace budowlane obejmą obszar ok. 21,6 ha. ZMPG S.A. uzgodnił w marcu </w:t>
      </w:r>
      <w:r w:rsidR="00093906">
        <w:rPr>
          <w:rFonts w:ascii="Arial" w:hAnsi="Arial" w:cs="Arial"/>
          <w:sz w:val="20"/>
          <w:szCs w:val="20"/>
        </w:rPr>
        <w:br/>
      </w:r>
      <w:r w:rsidRPr="009B007B">
        <w:rPr>
          <w:rFonts w:ascii="Arial" w:hAnsi="Arial" w:cs="Arial"/>
          <w:sz w:val="20"/>
          <w:szCs w:val="20"/>
        </w:rPr>
        <w:t>2018 r. Projekt Architektoniczno-Budowlany PZT Remontu i budowy toru suwnicy mający na celu m.in. modernizację i rozbudowę bocznicy kolejowej Terminala DCT. Pozwolenie na budowę dla tego Projektu uzyskano we wrześniu 2018 r.</w:t>
      </w:r>
    </w:p>
    <w:p w14:paraId="1281522B" w14:textId="77777777" w:rsidR="004C7461" w:rsidRPr="00042F1F" w:rsidRDefault="004C7461" w:rsidP="00BF76C0">
      <w:pPr>
        <w:pStyle w:val="Akapitzlist"/>
        <w:numPr>
          <w:ilvl w:val="0"/>
          <w:numId w:val="3"/>
        </w:numPr>
        <w:spacing w:before="120" w:after="120" w:line="276" w:lineRule="auto"/>
        <w:jc w:val="both"/>
        <w:rPr>
          <w:rFonts w:ascii="Arial" w:hAnsi="Arial" w:cs="Arial"/>
          <w:b/>
          <w:sz w:val="20"/>
          <w:szCs w:val="20"/>
        </w:rPr>
      </w:pPr>
      <w:r w:rsidRPr="00042F1F">
        <w:rPr>
          <w:rFonts w:ascii="Arial" w:hAnsi="Arial" w:cs="Arial"/>
          <w:b/>
          <w:sz w:val="20"/>
          <w:szCs w:val="20"/>
        </w:rPr>
        <w:t xml:space="preserve">Modernizacja pali stalowych Pirsu Rudowego w Porcie Północnym </w:t>
      </w:r>
    </w:p>
    <w:p w14:paraId="063A09C6" w14:textId="77777777" w:rsidR="004C7461" w:rsidRDefault="004C7461" w:rsidP="00797408">
      <w:pPr>
        <w:spacing w:before="120" w:after="120" w:line="276" w:lineRule="auto"/>
        <w:jc w:val="both"/>
        <w:rPr>
          <w:rFonts w:ascii="Arial" w:hAnsi="Arial" w:cs="Arial"/>
          <w:sz w:val="20"/>
          <w:szCs w:val="20"/>
        </w:rPr>
      </w:pPr>
      <w:r w:rsidRPr="009B007B">
        <w:rPr>
          <w:rFonts w:ascii="Arial" w:hAnsi="Arial" w:cs="Arial"/>
          <w:sz w:val="20"/>
          <w:szCs w:val="20"/>
        </w:rPr>
        <w:t xml:space="preserve">Inwestycja jest realizowana w dwóch częściach: pierwsza część, </w:t>
      </w:r>
      <w:r w:rsidR="00BA19FC">
        <w:rPr>
          <w:rFonts w:ascii="Arial" w:hAnsi="Arial" w:cs="Arial"/>
          <w:sz w:val="20"/>
          <w:szCs w:val="20"/>
        </w:rPr>
        <w:t>realizowana od 2014 do 2019 r.</w:t>
      </w:r>
      <w:r w:rsidRPr="009B007B">
        <w:rPr>
          <w:rFonts w:ascii="Arial" w:hAnsi="Arial" w:cs="Arial"/>
          <w:sz w:val="20"/>
          <w:szCs w:val="20"/>
        </w:rPr>
        <w:t>, obejmuje zabezpi</w:t>
      </w:r>
      <w:r w:rsidR="00CF4166">
        <w:rPr>
          <w:rFonts w:ascii="Arial" w:hAnsi="Arial" w:cs="Arial"/>
          <w:sz w:val="20"/>
          <w:szCs w:val="20"/>
        </w:rPr>
        <w:t>eczenie antykorozyjne 924 szt.</w:t>
      </w:r>
      <w:r w:rsidRPr="009B007B">
        <w:rPr>
          <w:rFonts w:ascii="Arial" w:hAnsi="Arial" w:cs="Arial"/>
          <w:sz w:val="20"/>
          <w:szCs w:val="20"/>
        </w:rPr>
        <w:t xml:space="preserve"> pali </w:t>
      </w:r>
      <w:r w:rsidR="00A931DF">
        <w:rPr>
          <w:rFonts w:ascii="Arial" w:hAnsi="Arial" w:cs="Arial"/>
          <w:sz w:val="20"/>
          <w:szCs w:val="20"/>
        </w:rPr>
        <w:t xml:space="preserve">stalowych w strefie wahań wody. </w:t>
      </w:r>
      <w:r w:rsidRPr="009B007B">
        <w:rPr>
          <w:rFonts w:ascii="Arial" w:hAnsi="Arial" w:cs="Arial"/>
          <w:sz w:val="20"/>
          <w:szCs w:val="20"/>
        </w:rPr>
        <w:t>Aktualnie</w:t>
      </w:r>
      <w:r w:rsidR="00A80084">
        <w:rPr>
          <w:rFonts w:ascii="Arial" w:hAnsi="Arial" w:cs="Arial"/>
          <w:sz w:val="20"/>
          <w:szCs w:val="20"/>
        </w:rPr>
        <w:t xml:space="preserve"> wykonywana jest część pierwsza</w:t>
      </w:r>
      <w:r w:rsidRPr="009B007B">
        <w:rPr>
          <w:rFonts w:ascii="Arial" w:hAnsi="Arial" w:cs="Arial"/>
          <w:sz w:val="20"/>
          <w:szCs w:val="20"/>
        </w:rPr>
        <w:t xml:space="preserve"> o wartości 19 mln </w:t>
      </w:r>
      <w:r w:rsidR="003E2EC4">
        <w:rPr>
          <w:rFonts w:ascii="Arial" w:hAnsi="Arial" w:cs="Arial"/>
          <w:sz w:val="20"/>
          <w:szCs w:val="20"/>
        </w:rPr>
        <w:t>zł</w:t>
      </w:r>
      <w:r w:rsidRPr="009B007B">
        <w:rPr>
          <w:rFonts w:ascii="Arial" w:hAnsi="Arial" w:cs="Arial"/>
          <w:sz w:val="20"/>
          <w:szCs w:val="20"/>
        </w:rPr>
        <w:t xml:space="preserve">, a zakres przewidziany na rok 2018 zrealizowany został zgodnie z harmonogramem. Stan zaawansowania robót budowlanych na dzień 31 grudnia </w:t>
      </w:r>
      <w:r w:rsidR="00BA19FC">
        <w:rPr>
          <w:rFonts w:ascii="Arial" w:hAnsi="Arial" w:cs="Arial"/>
          <w:sz w:val="20"/>
          <w:szCs w:val="20"/>
        </w:rPr>
        <w:br/>
        <w:t xml:space="preserve">2018 r. </w:t>
      </w:r>
      <w:r w:rsidRPr="009B007B">
        <w:rPr>
          <w:rFonts w:ascii="Arial" w:hAnsi="Arial" w:cs="Arial"/>
          <w:sz w:val="20"/>
          <w:szCs w:val="20"/>
        </w:rPr>
        <w:t>to 91%.</w:t>
      </w:r>
    </w:p>
    <w:p w14:paraId="7B95B5B6" w14:textId="77777777" w:rsidR="003F5EC3" w:rsidRDefault="003F5EC3" w:rsidP="00797408">
      <w:pPr>
        <w:spacing w:before="120" w:after="120" w:line="276" w:lineRule="auto"/>
        <w:jc w:val="both"/>
        <w:rPr>
          <w:rFonts w:ascii="Arial" w:hAnsi="Arial" w:cs="Arial"/>
          <w:sz w:val="20"/>
          <w:szCs w:val="20"/>
        </w:rPr>
      </w:pPr>
    </w:p>
    <w:p w14:paraId="3968FD94" w14:textId="77777777" w:rsidR="003F5EC3" w:rsidRPr="009B007B" w:rsidRDefault="003F5EC3" w:rsidP="00797408">
      <w:pPr>
        <w:spacing w:before="120" w:after="120" w:line="276" w:lineRule="auto"/>
        <w:jc w:val="both"/>
        <w:rPr>
          <w:rFonts w:ascii="Arial" w:hAnsi="Arial" w:cs="Arial"/>
          <w:sz w:val="20"/>
          <w:szCs w:val="20"/>
        </w:rPr>
      </w:pPr>
    </w:p>
    <w:p w14:paraId="0BD4F75A" w14:textId="77777777" w:rsidR="004C7461" w:rsidRPr="00042F1F" w:rsidRDefault="004C7461" w:rsidP="00BF76C0">
      <w:pPr>
        <w:pStyle w:val="Akapitzlist"/>
        <w:numPr>
          <w:ilvl w:val="0"/>
          <w:numId w:val="3"/>
        </w:numPr>
        <w:spacing w:before="120" w:after="120" w:line="276" w:lineRule="auto"/>
        <w:jc w:val="both"/>
        <w:rPr>
          <w:rFonts w:ascii="Arial" w:hAnsi="Arial" w:cs="Arial"/>
          <w:b/>
          <w:sz w:val="20"/>
          <w:szCs w:val="20"/>
        </w:rPr>
      </w:pPr>
      <w:r w:rsidRPr="00042F1F">
        <w:rPr>
          <w:rFonts w:ascii="Arial" w:hAnsi="Arial" w:cs="Arial"/>
          <w:b/>
          <w:sz w:val="20"/>
          <w:szCs w:val="20"/>
        </w:rPr>
        <w:lastRenderedPageBreak/>
        <w:t xml:space="preserve">Budowa Terminala Przeładunku Cukru przy Nabrzeżu Wiślanym – inwestycja Krajowej Spółki Cukrowej S.A. </w:t>
      </w:r>
    </w:p>
    <w:p w14:paraId="0421F058" w14:textId="77777777" w:rsidR="004C7461" w:rsidRPr="009B007B" w:rsidRDefault="004C7461" w:rsidP="00797408">
      <w:pPr>
        <w:spacing w:before="120" w:after="120" w:line="276" w:lineRule="auto"/>
        <w:jc w:val="both"/>
        <w:rPr>
          <w:rFonts w:ascii="Arial" w:hAnsi="Arial" w:cs="Arial"/>
          <w:sz w:val="20"/>
          <w:szCs w:val="20"/>
        </w:rPr>
      </w:pPr>
      <w:r w:rsidRPr="009B007B">
        <w:rPr>
          <w:rFonts w:ascii="Arial" w:hAnsi="Arial" w:cs="Arial"/>
          <w:sz w:val="20"/>
          <w:szCs w:val="20"/>
        </w:rPr>
        <w:t xml:space="preserve">W kwietniu 2018 r. nastąpiło przekazanie terenu Dzierżawcy. Na bazie uzyskanej decyzji o pozwoleniu na budowę kontynuowana jest budowa magazynu – paczkarni. Po wyodrębnieniu i dokonaniu korekt projektowych w listopadzie 2018 r. uzgodniono dokumentację projektową kluczowego obiektu II fazy budowy – silosu. </w:t>
      </w:r>
    </w:p>
    <w:p w14:paraId="250E1FBC" w14:textId="77777777" w:rsidR="004C7461" w:rsidRPr="009B007B" w:rsidRDefault="004C7461" w:rsidP="00BF76C0">
      <w:pPr>
        <w:pStyle w:val="Akapitzlist"/>
        <w:keepNext/>
        <w:numPr>
          <w:ilvl w:val="0"/>
          <w:numId w:val="3"/>
        </w:numPr>
        <w:spacing w:before="120" w:after="120" w:line="276" w:lineRule="auto"/>
        <w:ind w:left="284" w:hanging="284"/>
        <w:jc w:val="both"/>
        <w:rPr>
          <w:rFonts w:ascii="Arial" w:hAnsi="Arial" w:cs="Arial"/>
          <w:b/>
          <w:sz w:val="20"/>
          <w:szCs w:val="20"/>
        </w:rPr>
      </w:pPr>
      <w:r w:rsidRPr="009B007B">
        <w:rPr>
          <w:rFonts w:ascii="Arial" w:hAnsi="Arial" w:cs="Arial"/>
          <w:b/>
          <w:sz w:val="20"/>
          <w:szCs w:val="20"/>
        </w:rPr>
        <w:t>Budowa Uniwersalnego, Wielozadaniowego Terminala Przeładunkowego przy Nabrzeżu Wiś</w:t>
      </w:r>
      <w:r w:rsidR="0022183C" w:rsidRPr="009B007B">
        <w:rPr>
          <w:rFonts w:ascii="Arial" w:hAnsi="Arial" w:cs="Arial"/>
          <w:b/>
          <w:sz w:val="20"/>
          <w:szCs w:val="20"/>
        </w:rPr>
        <w:t>lanym, inwestycja Spółki Speed</w:t>
      </w:r>
    </w:p>
    <w:p w14:paraId="29E438E1" w14:textId="77777777" w:rsidR="00B35138" w:rsidRDefault="004C7461" w:rsidP="00FA7C99">
      <w:pPr>
        <w:spacing w:before="120" w:after="120" w:line="276" w:lineRule="auto"/>
        <w:jc w:val="both"/>
        <w:rPr>
          <w:rFonts w:ascii="Arial" w:hAnsi="Arial" w:cs="Arial"/>
          <w:sz w:val="20"/>
          <w:szCs w:val="20"/>
        </w:rPr>
      </w:pPr>
      <w:r w:rsidRPr="009B007B">
        <w:rPr>
          <w:rFonts w:ascii="Arial" w:hAnsi="Arial" w:cs="Arial"/>
          <w:sz w:val="20"/>
          <w:szCs w:val="20"/>
        </w:rPr>
        <w:t>W czerwcu 2018 r. Inwestor uzyskał decyzję Wojewody Pomorski</w:t>
      </w:r>
      <w:r w:rsidR="00A368C2">
        <w:rPr>
          <w:rFonts w:ascii="Arial" w:hAnsi="Arial" w:cs="Arial"/>
          <w:sz w:val="20"/>
          <w:szCs w:val="20"/>
        </w:rPr>
        <w:t>ego o pozwoleniach na rozbiórkę</w:t>
      </w:r>
      <w:r w:rsidRPr="009B007B">
        <w:rPr>
          <w:rFonts w:ascii="Arial" w:hAnsi="Arial" w:cs="Arial"/>
          <w:sz w:val="20"/>
          <w:szCs w:val="20"/>
        </w:rPr>
        <w:t xml:space="preserve"> magazynu nr 12 oraz budynku socjalnego. W lipcu 2018 r. powyższe roboty zostały z</w:t>
      </w:r>
      <w:r w:rsidR="00C12207">
        <w:rPr>
          <w:rFonts w:ascii="Arial" w:hAnsi="Arial" w:cs="Arial"/>
          <w:sz w:val="20"/>
          <w:szCs w:val="20"/>
        </w:rPr>
        <w:t>realizowane. Inwestor kontynuował prace projektowe, przygotowując</w:t>
      </w:r>
      <w:r w:rsidRPr="009B007B">
        <w:rPr>
          <w:rFonts w:ascii="Arial" w:hAnsi="Arial" w:cs="Arial"/>
          <w:sz w:val="20"/>
          <w:szCs w:val="20"/>
        </w:rPr>
        <w:t xml:space="preserve"> na dzierżawionym terenie zaplecze budowy. Wykonano tymczasową nawierzchnię placu powstałego po wyburzeniu obiektów. Trwa proces uzgodnień w zakresie likwidacji i przebudowy układu torowego II strefy Nabrzeża Wiślanego</w:t>
      </w:r>
      <w:r w:rsidR="0022183C" w:rsidRPr="009B007B">
        <w:rPr>
          <w:rFonts w:ascii="Arial" w:hAnsi="Arial" w:cs="Arial"/>
          <w:sz w:val="20"/>
          <w:szCs w:val="20"/>
        </w:rPr>
        <w:t>.</w:t>
      </w:r>
    </w:p>
    <w:p w14:paraId="3366D174" w14:textId="77777777" w:rsidR="00A82B47" w:rsidRPr="00A82B47" w:rsidRDefault="00A82B47" w:rsidP="00BF76C0">
      <w:pPr>
        <w:pStyle w:val="Akapitzlist"/>
        <w:numPr>
          <w:ilvl w:val="0"/>
          <w:numId w:val="3"/>
        </w:numPr>
        <w:spacing w:before="120" w:after="120" w:line="276" w:lineRule="auto"/>
        <w:contextualSpacing w:val="0"/>
        <w:jc w:val="both"/>
        <w:rPr>
          <w:rFonts w:ascii="Arial" w:hAnsi="Arial" w:cs="Arial"/>
          <w:b/>
          <w:sz w:val="20"/>
          <w:szCs w:val="20"/>
        </w:rPr>
      </w:pPr>
      <w:r w:rsidRPr="00A82B47">
        <w:rPr>
          <w:rFonts w:ascii="Arial" w:hAnsi="Arial" w:cs="Arial"/>
          <w:b/>
          <w:sz w:val="20"/>
          <w:szCs w:val="20"/>
        </w:rPr>
        <w:t xml:space="preserve">Przebudowa magazynu nr 23 na terenie Terminala Promowego Westerplatte </w:t>
      </w:r>
      <w:r w:rsidR="00E01D60">
        <w:rPr>
          <w:rFonts w:ascii="Arial" w:hAnsi="Arial" w:cs="Arial"/>
          <w:b/>
          <w:sz w:val="20"/>
          <w:szCs w:val="20"/>
        </w:rPr>
        <w:t>-</w:t>
      </w:r>
      <w:r w:rsidRPr="00A82B47">
        <w:rPr>
          <w:rFonts w:ascii="Arial" w:hAnsi="Arial" w:cs="Arial"/>
          <w:b/>
          <w:sz w:val="20"/>
          <w:szCs w:val="20"/>
        </w:rPr>
        <w:t xml:space="preserve"> inwestycja NTA Sp. z o.o.</w:t>
      </w:r>
    </w:p>
    <w:p w14:paraId="0A7E0E16" w14:textId="77777777" w:rsidR="00E13C01" w:rsidRDefault="00A82B47" w:rsidP="008D69F3">
      <w:pPr>
        <w:pStyle w:val="Akapitzlist"/>
        <w:spacing w:before="120" w:after="120" w:line="276" w:lineRule="auto"/>
        <w:ind w:left="0"/>
        <w:contextualSpacing w:val="0"/>
        <w:jc w:val="both"/>
        <w:rPr>
          <w:rFonts w:ascii="Arial" w:hAnsi="Arial" w:cs="Arial"/>
          <w:sz w:val="20"/>
          <w:szCs w:val="20"/>
        </w:rPr>
      </w:pPr>
      <w:r w:rsidRPr="00A82B47">
        <w:rPr>
          <w:rFonts w:ascii="Arial" w:hAnsi="Arial" w:cs="Arial"/>
          <w:sz w:val="20"/>
          <w:szCs w:val="20"/>
        </w:rPr>
        <w:t>W maju 2018 r. nastąpiło otwar</w:t>
      </w:r>
      <w:r w:rsidR="00E01D60">
        <w:rPr>
          <w:rFonts w:ascii="Arial" w:hAnsi="Arial" w:cs="Arial"/>
          <w:sz w:val="20"/>
          <w:szCs w:val="20"/>
        </w:rPr>
        <w:t>cie magazynu nr 23 po dokonanej kosztem ok. 2 mln zł</w:t>
      </w:r>
      <w:r w:rsidRPr="00A82B47">
        <w:rPr>
          <w:rFonts w:ascii="Arial" w:hAnsi="Arial" w:cs="Arial"/>
          <w:sz w:val="20"/>
          <w:szCs w:val="20"/>
        </w:rPr>
        <w:t xml:space="preserve"> przebudowie. Kontrahent rozpoczął eksploatację magazynu.  </w:t>
      </w:r>
    </w:p>
    <w:p w14:paraId="20EF0549" w14:textId="77777777" w:rsidR="00AF7E69" w:rsidRPr="008D69F3" w:rsidRDefault="00AF7E69" w:rsidP="00BF76C0">
      <w:pPr>
        <w:pStyle w:val="Akapitzlist"/>
        <w:numPr>
          <w:ilvl w:val="0"/>
          <w:numId w:val="3"/>
        </w:numPr>
        <w:spacing w:before="120" w:after="120" w:line="276" w:lineRule="auto"/>
        <w:jc w:val="both"/>
        <w:rPr>
          <w:rFonts w:ascii="Arial" w:hAnsi="Arial" w:cs="Arial"/>
          <w:b/>
          <w:sz w:val="20"/>
          <w:szCs w:val="20"/>
        </w:rPr>
      </w:pPr>
      <w:r w:rsidRPr="008D69F3">
        <w:rPr>
          <w:rFonts w:ascii="Arial" w:hAnsi="Arial" w:cs="Arial"/>
          <w:b/>
          <w:sz w:val="20"/>
          <w:szCs w:val="20"/>
        </w:rPr>
        <w:t>Nabywanie nieruchomości na potrzeby rozwojowe portu</w:t>
      </w:r>
    </w:p>
    <w:p w14:paraId="0CAA8A34" w14:textId="77777777" w:rsidR="00AF7E69" w:rsidRPr="00013699" w:rsidRDefault="00AF7E69" w:rsidP="00013699">
      <w:pPr>
        <w:spacing w:before="120" w:after="120" w:line="276" w:lineRule="auto"/>
        <w:jc w:val="both"/>
        <w:rPr>
          <w:rFonts w:ascii="Arial" w:hAnsi="Arial" w:cs="Arial"/>
          <w:sz w:val="20"/>
          <w:szCs w:val="20"/>
        </w:rPr>
      </w:pPr>
      <w:r w:rsidRPr="00013699">
        <w:rPr>
          <w:rFonts w:ascii="Arial" w:hAnsi="Arial" w:cs="Arial"/>
          <w:sz w:val="20"/>
          <w:szCs w:val="20"/>
        </w:rPr>
        <w:t xml:space="preserve">Zarząd Morskiego Portu Gdańsk S.A. pozyskuje nieruchomości na cele rozwojowe portu morskiego </w:t>
      </w:r>
      <w:r w:rsidR="00A931DF">
        <w:rPr>
          <w:rFonts w:ascii="Arial" w:hAnsi="Arial" w:cs="Arial"/>
          <w:sz w:val="20"/>
          <w:szCs w:val="20"/>
        </w:rPr>
        <w:br/>
      </w:r>
      <w:r w:rsidRPr="00013699">
        <w:rPr>
          <w:rFonts w:ascii="Arial" w:hAnsi="Arial" w:cs="Arial"/>
          <w:sz w:val="20"/>
          <w:szCs w:val="20"/>
        </w:rPr>
        <w:t>w Gdańsku. ZMPG S.A. rozpoczął procedurę pozyskania w drodze skorzystania z prawa pierwokupu nieruchomości przy ulicy Chodackiego 26 wraz z prawem własności budynku magazynowo</w:t>
      </w:r>
      <w:r w:rsidR="008D69F3">
        <w:rPr>
          <w:rFonts w:ascii="Arial" w:hAnsi="Arial" w:cs="Arial"/>
          <w:sz w:val="20"/>
          <w:szCs w:val="20"/>
        </w:rPr>
        <w:t xml:space="preserve"> </w:t>
      </w:r>
      <w:r w:rsidRPr="00013699">
        <w:rPr>
          <w:rFonts w:ascii="Arial" w:hAnsi="Arial" w:cs="Arial"/>
          <w:sz w:val="20"/>
          <w:szCs w:val="20"/>
        </w:rPr>
        <w:t xml:space="preserve">- biurowego oraz nieruchomości przy ulicy Wiślnej wraz z prawem własności budynków, budowli i urządzeń. Nieruchomości zostały wydane Spółce w styczniu 2018 r. </w:t>
      </w:r>
    </w:p>
    <w:p w14:paraId="0584A7B7" w14:textId="200DC96A" w:rsidR="00AF7E69" w:rsidRPr="00013699" w:rsidRDefault="00AF7E69" w:rsidP="00013699">
      <w:pPr>
        <w:spacing w:before="120" w:after="120" w:line="276" w:lineRule="auto"/>
        <w:jc w:val="both"/>
        <w:rPr>
          <w:rFonts w:ascii="Arial" w:hAnsi="Arial" w:cs="Arial"/>
          <w:sz w:val="20"/>
          <w:szCs w:val="20"/>
        </w:rPr>
      </w:pPr>
      <w:r w:rsidRPr="00013699">
        <w:rPr>
          <w:rFonts w:ascii="Arial" w:hAnsi="Arial" w:cs="Arial"/>
          <w:sz w:val="20"/>
          <w:szCs w:val="20"/>
        </w:rPr>
        <w:t xml:space="preserve">Pomiędzy Gdańską Agencją Rozwoju Gospodarczego Sp. z o.o. a ZMPG S.A. zawarta została przedwstępna umowa sprzedaży nieruchomości gruntowej </w:t>
      </w:r>
      <w:r w:rsidR="008D69F3">
        <w:rPr>
          <w:rFonts w:ascii="Arial" w:hAnsi="Arial" w:cs="Arial"/>
          <w:sz w:val="20"/>
          <w:szCs w:val="20"/>
        </w:rPr>
        <w:t xml:space="preserve">położonej przy ul. </w:t>
      </w:r>
      <w:r w:rsidRPr="00013699">
        <w:rPr>
          <w:rFonts w:ascii="Arial" w:hAnsi="Arial" w:cs="Arial"/>
          <w:sz w:val="20"/>
          <w:szCs w:val="20"/>
        </w:rPr>
        <w:t>Sucharskiego w Gdańsku. W grudniu</w:t>
      </w:r>
      <w:r w:rsidR="008D69F3">
        <w:rPr>
          <w:rFonts w:ascii="Arial" w:hAnsi="Arial" w:cs="Arial"/>
          <w:sz w:val="20"/>
          <w:szCs w:val="20"/>
        </w:rPr>
        <w:t xml:space="preserve"> 2018 r.</w:t>
      </w:r>
      <w:r w:rsidRPr="00013699">
        <w:rPr>
          <w:rFonts w:ascii="Arial" w:hAnsi="Arial" w:cs="Arial"/>
          <w:sz w:val="20"/>
          <w:szCs w:val="20"/>
        </w:rPr>
        <w:t xml:space="preserve"> podpisana została umowa warunkowa sprzedaży pomiędzy stronami na zakup w/w nieruchomości.</w:t>
      </w:r>
    </w:p>
    <w:p w14:paraId="4D22BB25" w14:textId="77777777" w:rsidR="00AF7E69" w:rsidRPr="00E05869" w:rsidRDefault="00AF7E69" w:rsidP="00BF76C0">
      <w:pPr>
        <w:pStyle w:val="Akapitzlist"/>
        <w:numPr>
          <w:ilvl w:val="0"/>
          <w:numId w:val="3"/>
        </w:numPr>
        <w:spacing w:before="120" w:after="120" w:line="276" w:lineRule="auto"/>
        <w:jc w:val="both"/>
        <w:rPr>
          <w:rFonts w:ascii="Arial" w:hAnsi="Arial" w:cs="Arial"/>
          <w:b/>
          <w:sz w:val="20"/>
          <w:szCs w:val="20"/>
        </w:rPr>
      </w:pPr>
      <w:r w:rsidRPr="00E05869">
        <w:rPr>
          <w:rFonts w:ascii="Arial" w:hAnsi="Arial" w:cs="Arial"/>
          <w:b/>
          <w:sz w:val="20"/>
          <w:szCs w:val="20"/>
        </w:rPr>
        <w:t>Modernizacja elektronicznych systemów bezpieczeństwa kluczowych obszarów Zarządu Morskiego Portu Gdańsk SA na podstawie po</w:t>
      </w:r>
      <w:r w:rsidR="00E05869">
        <w:rPr>
          <w:rFonts w:ascii="Arial" w:hAnsi="Arial" w:cs="Arial"/>
          <w:b/>
          <w:sz w:val="20"/>
          <w:szCs w:val="20"/>
        </w:rPr>
        <w:t>siadanego projektu technicznego</w:t>
      </w:r>
      <w:r w:rsidRPr="00E05869">
        <w:rPr>
          <w:rFonts w:ascii="Arial" w:hAnsi="Arial" w:cs="Arial"/>
          <w:b/>
          <w:sz w:val="20"/>
          <w:szCs w:val="20"/>
        </w:rPr>
        <w:t xml:space="preserve"> </w:t>
      </w:r>
    </w:p>
    <w:p w14:paraId="487265F7" w14:textId="77777777" w:rsidR="00AF7E69" w:rsidRPr="00013699" w:rsidRDefault="00AF7E69" w:rsidP="00013699">
      <w:pPr>
        <w:spacing w:before="120" w:after="120" w:line="276" w:lineRule="auto"/>
        <w:jc w:val="both"/>
        <w:rPr>
          <w:rFonts w:ascii="Arial" w:hAnsi="Arial" w:cs="Arial"/>
          <w:sz w:val="20"/>
          <w:szCs w:val="20"/>
        </w:rPr>
      </w:pPr>
      <w:r w:rsidRPr="00013699">
        <w:rPr>
          <w:rFonts w:ascii="Arial" w:hAnsi="Arial" w:cs="Arial"/>
          <w:sz w:val="20"/>
          <w:szCs w:val="20"/>
        </w:rPr>
        <w:t>Modernizacja obejmie wymianę istniejących systemów: monitoringu wizyjnego, sygnalizacji włamania, kontroli dostępu, alarmu pożaru, kontroli wartowników i nadzoru. Zapewni stworzenie zintegrowanego systemu bezpieczeństwa Portu Gdańskiego wg aktualnych standardów technicznych. We wrześniu 2018 r. została podpisana umowa z Wykonawcą systemu. Termin realizacji to 6 miesięcy dla robót instalacyjnych oraz 18 miesięcy dla robót wymagających Pozwolenia na Budowę. Wartość umowna – 9 290 000 zł. Trwają prace projektowe. Przedsięwzięcie zostało podzielone na 32 zadania. Rozpoczęto prace montażowe w budynku Zamknięta 18, koordynując je z robotami dotyczącymi modernizacji części wspólnej budynku.</w:t>
      </w:r>
    </w:p>
    <w:p w14:paraId="67BE814E" w14:textId="77777777" w:rsidR="00AF7E69" w:rsidRPr="008D69F3" w:rsidRDefault="00AF7E69" w:rsidP="00BF76C0">
      <w:pPr>
        <w:pStyle w:val="Akapitzlist"/>
        <w:numPr>
          <w:ilvl w:val="0"/>
          <w:numId w:val="3"/>
        </w:numPr>
        <w:spacing w:before="120" w:after="120" w:line="276" w:lineRule="auto"/>
        <w:jc w:val="both"/>
        <w:rPr>
          <w:rFonts w:ascii="Arial" w:hAnsi="Arial" w:cs="Arial"/>
          <w:b/>
          <w:sz w:val="20"/>
          <w:szCs w:val="20"/>
        </w:rPr>
      </w:pPr>
      <w:r w:rsidRPr="008D69F3">
        <w:rPr>
          <w:rFonts w:ascii="Arial" w:hAnsi="Arial" w:cs="Arial"/>
          <w:b/>
          <w:sz w:val="20"/>
          <w:szCs w:val="20"/>
        </w:rPr>
        <w:t>Modernizacja Głównego Punktu Zasilania Portu, modernizacja oświetlenia terenów portowych oraz  budowa stacji ładowania samochodów.</w:t>
      </w:r>
    </w:p>
    <w:p w14:paraId="12737F9B" w14:textId="77777777" w:rsidR="00AF7E69" w:rsidRPr="00013699" w:rsidRDefault="00AF7E69" w:rsidP="00013699">
      <w:pPr>
        <w:spacing w:before="120" w:after="120" w:line="276" w:lineRule="auto"/>
        <w:jc w:val="both"/>
        <w:rPr>
          <w:rFonts w:ascii="Arial" w:hAnsi="Arial" w:cs="Arial"/>
          <w:sz w:val="20"/>
          <w:szCs w:val="20"/>
        </w:rPr>
      </w:pPr>
      <w:r w:rsidRPr="00013699">
        <w:rPr>
          <w:rFonts w:ascii="Arial" w:hAnsi="Arial" w:cs="Arial"/>
          <w:sz w:val="20"/>
          <w:szCs w:val="20"/>
        </w:rPr>
        <w:t>Na obecnym etapie trwają prace przygotowawcze przed dostawą nowych transformatorów mocy, które zapewnią zasilanie zarówno obecnych jak i nowych Kontrahentów oraz terminali w najbliższym dziesięcioleciu. Stare, wyeksploatowane transformatory o mocy 25 MVA zostaną zastąpione nowymi, nowoczesnymi jednostkami o mocy 40 MVA. Ponadto realizowane są prace związane z rozbudową rozdzielni 15 kV GPZ oraz termomodernizacją budynku GPZ, które zapewnią lepszą efektywność energetyczną obiektu. Wykonywana jest również dokumentacja projektowa remontu pomieszczeń GPZ oraz nowego zagospodarowania i zabezpieczenia terenu wokół budynku (nowe bramy, ogrodzenia, monitoring, oświetlenie itp.).</w:t>
      </w:r>
    </w:p>
    <w:p w14:paraId="73F310DB" w14:textId="77777777" w:rsidR="00AF7E69" w:rsidRPr="00013699" w:rsidRDefault="00D97A21" w:rsidP="00013699">
      <w:pPr>
        <w:spacing w:before="120" w:after="120" w:line="276" w:lineRule="auto"/>
        <w:jc w:val="both"/>
        <w:rPr>
          <w:rFonts w:ascii="Arial" w:hAnsi="Arial" w:cs="Arial"/>
          <w:sz w:val="20"/>
          <w:szCs w:val="20"/>
        </w:rPr>
      </w:pPr>
      <w:r>
        <w:rPr>
          <w:rFonts w:ascii="Arial" w:hAnsi="Arial" w:cs="Arial"/>
          <w:sz w:val="20"/>
          <w:szCs w:val="20"/>
        </w:rPr>
        <w:lastRenderedPageBreak/>
        <w:t>Trwają prace dotyczące</w:t>
      </w:r>
      <w:r w:rsidR="00AF7E69" w:rsidRPr="00013699">
        <w:rPr>
          <w:rFonts w:ascii="Arial" w:hAnsi="Arial" w:cs="Arial"/>
          <w:sz w:val="20"/>
          <w:szCs w:val="20"/>
        </w:rPr>
        <w:t xml:space="preserve"> modernizacji oświetlenia terenów Portu Gdańsk. Stare zużyte oprawy są zastępowane nowoczesnymi energooszczędnymi opr</w:t>
      </w:r>
      <w:r>
        <w:rPr>
          <w:rFonts w:ascii="Arial" w:hAnsi="Arial" w:cs="Arial"/>
          <w:sz w:val="20"/>
          <w:szCs w:val="20"/>
        </w:rPr>
        <w:t xml:space="preserve">awami LED. Trwają również prace </w:t>
      </w:r>
      <w:r w:rsidR="00AF7E69" w:rsidRPr="00013699">
        <w:rPr>
          <w:rFonts w:ascii="Arial" w:hAnsi="Arial" w:cs="Arial"/>
          <w:sz w:val="20"/>
          <w:szCs w:val="20"/>
        </w:rPr>
        <w:t xml:space="preserve">modernizacyjne istniejących stacji transformatorowych 15/0,4 kV, są projektowane i budowane nowe stacje, które zapewnią możliwość zasilania terenów inwestycyjnych, obecnych i nowych Kontrahentów. </w:t>
      </w:r>
    </w:p>
    <w:p w14:paraId="4EDAA090" w14:textId="77777777" w:rsidR="00AF7E69" w:rsidRPr="008D69F3" w:rsidRDefault="00AF7E69" w:rsidP="00BF76C0">
      <w:pPr>
        <w:pStyle w:val="Akapitzlist"/>
        <w:numPr>
          <w:ilvl w:val="0"/>
          <w:numId w:val="3"/>
        </w:numPr>
        <w:spacing w:before="120" w:after="120" w:line="276" w:lineRule="auto"/>
        <w:jc w:val="both"/>
        <w:rPr>
          <w:rFonts w:ascii="Arial" w:hAnsi="Arial" w:cs="Arial"/>
          <w:b/>
          <w:sz w:val="20"/>
          <w:szCs w:val="20"/>
        </w:rPr>
      </w:pPr>
      <w:r w:rsidRPr="008D69F3">
        <w:rPr>
          <w:rFonts w:ascii="Arial" w:hAnsi="Arial" w:cs="Arial"/>
          <w:b/>
          <w:sz w:val="20"/>
          <w:szCs w:val="20"/>
        </w:rPr>
        <w:t xml:space="preserve">Budowa parkingu buforowego dla samochodów ciężarowych ul. Śnieżna / Handlowa </w:t>
      </w:r>
    </w:p>
    <w:p w14:paraId="344E89A8" w14:textId="77777777" w:rsidR="00663693" w:rsidRPr="00013699" w:rsidRDefault="00AF7E69" w:rsidP="00013699">
      <w:pPr>
        <w:spacing w:before="120" w:after="120" w:line="276" w:lineRule="auto"/>
        <w:jc w:val="both"/>
        <w:rPr>
          <w:rFonts w:ascii="Arial" w:hAnsi="Arial" w:cs="Arial"/>
          <w:sz w:val="20"/>
          <w:szCs w:val="20"/>
        </w:rPr>
      </w:pPr>
      <w:r w:rsidRPr="00013699">
        <w:rPr>
          <w:rFonts w:ascii="Arial" w:hAnsi="Arial" w:cs="Arial"/>
          <w:sz w:val="20"/>
          <w:szCs w:val="20"/>
        </w:rPr>
        <w:t>Wybudowano 63 miejsca parkingowe dla samochodów ciężarowych, zaplecze socjalno-sanitarne, ogrodzenie, oświetlenie i szlaban sterowany przez dozorców. Ponadto dwukondygnacyjny budynek z  pomieszczeniami dozoru, przestrzenią gospodarczo-magazynową oraz zapleczem sanitarnym dla kierowców.</w:t>
      </w:r>
    </w:p>
    <w:p w14:paraId="4403C799" w14:textId="77777777" w:rsidR="00AF7E69" w:rsidRPr="00D97A21" w:rsidRDefault="00AF7E69" w:rsidP="00BF76C0">
      <w:pPr>
        <w:pStyle w:val="Akapitzlist"/>
        <w:numPr>
          <w:ilvl w:val="0"/>
          <w:numId w:val="3"/>
        </w:numPr>
        <w:spacing w:before="120" w:after="120" w:line="276" w:lineRule="auto"/>
        <w:jc w:val="both"/>
        <w:rPr>
          <w:rFonts w:ascii="Arial" w:hAnsi="Arial" w:cs="Arial"/>
          <w:b/>
          <w:sz w:val="20"/>
          <w:szCs w:val="20"/>
        </w:rPr>
      </w:pPr>
      <w:r w:rsidRPr="00D97A21">
        <w:rPr>
          <w:rFonts w:ascii="Arial" w:hAnsi="Arial" w:cs="Arial"/>
          <w:b/>
          <w:sz w:val="20"/>
          <w:szCs w:val="20"/>
        </w:rPr>
        <w:t xml:space="preserve">Wyposażenie posterunków wartowniczych znajdujących się na terenie Portu Gdańsk w samochodowe, osiowe wagi  najazdowe przeznaczone </w:t>
      </w:r>
      <w:r w:rsidR="00D97A21">
        <w:rPr>
          <w:rFonts w:ascii="Arial" w:hAnsi="Arial" w:cs="Arial"/>
          <w:b/>
          <w:sz w:val="20"/>
          <w:szCs w:val="20"/>
        </w:rPr>
        <w:t>do ważenia aut będących w ruchu</w:t>
      </w:r>
      <w:r w:rsidRPr="00D97A21">
        <w:rPr>
          <w:rFonts w:ascii="Arial" w:hAnsi="Arial" w:cs="Arial"/>
          <w:b/>
          <w:sz w:val="20"/>
          <w:szCs w:val="20"/>
        </w:rPr>
        <w:t xml:space="preserve"> </w:t>
      </w:r>
    </w:p>
    <w:p w14:paraId="600D230E" w14:textId="21B6C307" w:rsidR="00AF7E69" w:rsidRDefault="00AF7E69" w:rsidP="00013699">
      <w:pPr>
        <w:spacing w:before="120" w:after="120" w:line="276" w:lineRule="auto"/>
        <w:jc w:val="both"/>
        <w:rPr>
          <w:rFonts w:ascii="Arial" w:hAnsi="Arial" w:cs="Arial"/>
          <w:sz w:val="20"/>
          <w:szCs w:val="20"/>
        </w:rPr>
      </w:pPr>
      <w:r w:rsidRPr="00013699">
        <w:rPr>
          <w:rFonts w:ascii="Arial" w:hAnsi="Arial" w:cs="Arial"/>
          <w:sz w:val="20"/>
          <w:szCs w:val="20"/>
        </w:rPr>
        <w:t xml:space="preserve">Przedmiotem inwestycji jest wyposażenie posterunków wartowniczych znajdujących się na terenie Portu Gdańsk  w samochodowe, osiowe wagi  najazdowe przeznaczone do ważenia aut będących </w:t>
      </w:r>
      <w:r w:rsidR="00D97A21">
        <w:rPr>
          <w:rFonts w:ascii="Arial" w:hAnsi="Arial" w:cs="Arial"/>
          <w:sz w:val="20"/>
          <w:szCs w:val="20"/>
        </w:rPr>
        <w:br/>
      </w:r>
      <w:r w:rsidRPr="00013699">
        <w:rPr>
          <w:rFonts w:ascii="Arial" w:hAnsi="Arial" w:cs="Arial"/>
          <w:sz w:val="20"/>
          <w:szCs w:val="20"/>
        </w:rPr>
        <w:t>w ruchu. Samochodowe wagi typu najazdowego – osiow</w:t>
      </w:r>
      <w:r w:rsidR="00773DBA">
        <w:rPr>
          <w:rFonts w:ascii="Arial" w:hAnsi="Arial" w:cs="Arial"/>
          <w:sz w:val="20"/>
          <w:szCs w:val="20"/>
        </w:rPr>
        <w:t xml:space="preserve">ego przeznaczone są dla potrzeb </w:t>
      </w:r>
      <w:r w:rsidRPr="00013699">
        <w:rPr>
          <w:rFonts w:ascii="Arial" w:hAnsi="Arial" w:cs="Arial"/>
          <w:sz w:val="20"/>
          <w:szCs w:val="20"/>
        </w:rPr>
        <w:t>preselekcyjnej kontroli aut poruszających się (wyjazd) i mających zamiar (wjazd) poruszać się po infrastrukturze portowej. Łącznie w zakresie niniejszego zamówienia zainstalowanych będzie 18 szt. stanowisk wagowych, po dwa stanowiska na każdym posterunku wartowniczym. Obecnie trwa postepowanie przetargowe mające na celu wyłonienie wykonawcy na realizację prac w formule: projektuj i buduj. Szacowany termin rozpoczęcia p</w:t>
      </w:r>
      <w:r w:rsidR="00013699">
        <w:rPr>
          <w:rFonts w:ascii="Arial" w:hAnsi="Arial" w:cs="Arial"/>
          <w:sz w:val="20"/>
          <w:szCs w:val="20"/>
        </w:rPr>
        <w:t>r</w:t>
      </w:r>
      <w:r w:rsidRPr="00013699">
        <w:rPr>
          <w:rFonts w:ascii="Arial" w:hAnsi="Arial" w:cs="Arial"/>
          <w:sz w:val="20"/>
          <w:szCs w:val="20"/>
        </w:rPr>
        <w:t>ac projektowych: luty 2019 r.</w:t>
      </w:r>
    </w:p>
    <w:p w14:paraId="4627AFE6" w14:textId="302B1068" w:rsidR="00232DB6" w:rsidRPr="00F55578" w:rsidRDefault="00232DB6" w:rsidP="00232DB6">
      <w:pPr>
        <w:pStyle w:val="Akapitzlist"/>
        <w:numPr>
          <w:ilvl w:val="0"/>
          <w:numId w:val="3"/>
        </w:numPr>
        <w:spacing w:before="120" w:after="120" w:line="276" w:lineRule="auto"/>
        <w:jc w:val="both"/>
        <w:rPr>
          <w:rFonts w:ascii="Arial" w:hAnsi="Arial" w:cs="Arial"/>
          <w:b/>
          <w:bCs/>
          <w:sz w:val="20"/>
          <w:szCs w:val="20"/>
        </w:rPr>
      </w:pPr>
      <w:r w:rsidRPr="00F55578">
        <w:rPr>
          <w:rFonts w:ascii="Arial" w:hAnsi="Arial" w:cs="Arial"/>
          <w:b/>
          <w:bCs/>
          <w:sz w:val="20"/>
          <w:szCs w:val="20"/>
        </w:rPr>
        <w:t>Rozbudowa Nabrzeża Północnego przy falochronie półwyspowym w Porcie Gdańsk</w:t>
      </w:r>
    </w:p>
    <w:p w14:paraId="7B64B403" w14:textId="2899A288" w:rsidR="00232DB6" w:rsidRDefault="00232DB6">
      <w:pPr>
        <w:spacing w:before="120" w:after="120" w:line="276" w:lineRule="auto"/>
        <w:jc w:val="both"/>
        <w:rPr>
          <w:rFonts w:ascii="Arial" w:hAnsi="Arial" w:cs="Arial"/>
          <w:sz w:val="20"/>
          <w:szCs w:val="20"/>
        </w:rPr>
      </w:pPr>
      <w:r w:rsidRPr="00F55578">
        <w:rPr>
          <w:rFonts w:ascii="Arial" w:hAnsi="Arial" w:cs="Arial"/>
          <w:sz w:val="20"/>
          <w:szCs w:val="20"/>
        </w:rPr>
        <w:t xml:space="preserve">Projekt ma być realizowany </w:t>
      </w:r>
      <w:r>
        <w:rPr>
          <w:rFonts w:ascii="Arial" w:hAnsi="Arial" w:cs="Arial"/>
          <w:sz w:val="20"/>
          <w:szCs w:val="20"/>
        </w:rPr>
        <w:t xml:space="preserve">przy współfinansowaniu ze środków instrumentu „Łącząc Europę” (CEF). W dniu 05.04.2018 </w:t>
      </w:r>
      <w:r w:rsidR="00CA6507">
        <w:rPr>
          <w:rFonts w:ascii="Arial" w:hAnsi="Arial" w:cs="Arial"/>
          <w:sz w:val="20"/>
          <w:szCs w:val="20"/>
        </w:rPr>
        <w:t xml:space="preserve">r. </w:t>
      </w:r>
      <w:r>
        <w:rPr>
          <w:rFonts w:ascii="Arial" w:hAnsi="Arial" w:cs="Arial"/>
          <w:sz w:val="20"/>
          <w:szCs w:val="20"/>
        </w:rPr>
        <w:t xml:space="preserve">podpisano umowę </w:t>
      </w:r>
      <w:r w:rsidR="008F2EEF">
        <w:rPr>
          <w:rFonts w:ascii="Arial" w:hAnsi="Arial" w:cs="Arial"/>
          <w:sz w:val="20"/>
          <w:szCs w:val="20"/>
        </w:rPr>
        <w:t xml:space="preserve">o dofinansowanie </w:t>
      </w:r>
      <w:r>
        <w:rPr>
          <w:rFonts w:ascii="Arial" w:hAnsi="Arial" w:cs="Arial"/>
          <w:sz w:val="20"/>
          <w:szCs w:val="20"/>
        </w:rPr>
        <w:t xml:space="preserve">z INEA na realizację projektu nr 2017-PL-TM-0038-W. </w:t>
      </w:r>
      <w:r w:rsidR="00D343FD">
        <w:rPr>
          <w:rFonts w:ascii="Arial" w:hAnsi="Arial" w:cs="Arial"/>
          <w:sz w:val="20"/>
          <w:szCs w:val="20"/>
        </w:rPr>
        <w:t xml:space="preserve">Wartość umowy wynosi 97.398.484 </w:t>
      </w:r>
      <w:r w:rsidR="00BA3673">
        <w:rPr>
          <w:rFonts w:ascii="Arial" w:hAnsi="Arial" w:cs="Arial"/>
          <w:sz w:val="20"/>
          <w:szCs w:val="20"/>
        </w:rPr>
        <w:t>euro</w:t>
      </w:r>
      <w:r w:rsidR="00D343FD">
        <w:rPr>
          <w:rFonts w:ascii="Arial" w:hAnsi="Arial" w:cs="Arial"/>
          <w:sz w:val="20"/>
          <w:szCs w:val="20"/>
        </w:rPr>
        <w:t xml:space="preserve">, w tym dofinansowanie 20% w wysokości 19.914.949,80 </w:t>
      </w:r>
      <w:r w:rsidR="00BA3673">
        <w:rPr>
          <w:rFonts w:ascii="Arial" w:hAnsi="Arial" w:cs="Arial"/>
          <w:sz w:val="20"/>
          <w:szCs w:val="20"/>
        </w:rPr>
        <w:t>euro</w:t>
      </w:r>
      <w:r w:rsidR="00D343FD">
        <w:rPr>
          <w:rFonts w:ascii="Arial" w:hAnsi="Arial" w:cs="Arial"/>
          <w:sz w:val="20"/>
          <w:szCs w:val="20"/>
        </w:rPr>
        <w:t>.</w:t>
      </w:r>
      <w:r w:rsidR="00B1064E" w:rsidRPr="00B1064E">
        <w:rPr>
          <w:rFonts w:ascii="Arial" w:hAnsi="Arial" w:cs="Arial"/>
          <w:sz w:val="20"/>
          <w:szCs w:val="20"/>
        </w:rPr>
        <w:t xml:space="preserve"> </w:t>
      </w:r>
      <w:r w:rsidR="00B1064E">
        <w:rPr>
          <w:rFonts w:ascii="Arial" w:hAnsi="Arial" w:cs="Arial"/>
          <w:sz w:val="20"/>
          <w:szCs w:val="20"/>
        </w:rPr>
        <w:t xml:space="preserve">Zgodnie z zapisami </w:t>
      </w:r>
      <w:r w:rsidR="008F2EEF">
        <w:rPr>
          <w:rFonts w:ascii="Arial" w:hAnsi="Arial" w:cs="Arial"/>
          <w:sz w:val="20"/>
          <w:szCs w:val="20"/>
        </w:rPr>
        <w:t>umowy</w:t>
      </w:r>
      <w:r w:rsidR="00B1064E">
        <w:rPr>
          <w:rFonts w:ascii="Arial" w:hAnsi="Arial" w:cs="Arial"/>
          <w:sz w:val="20"/>
          <w:szCs w:val="20"/>
        </w:rPr>
        <w:t xml:space="preserve"> projekt ma być realizowany w latach 2018-2021</w:t>
      </w:r>
      <w:r w:rsidR="008F2EEF">
        <w:rPr>
          <w:rFonts w:ascii="Arial" w:hAnsi="Arial" w:cs="Arial"/>
          <w:sz w:val="20"/>
          <w:szCs w:val="20"/>
        </w:rPr>
        <w:t>.</w:t>
      </w:r>
    </w:p>
    <w:p w14:paraId="7C13F5CA" w14:textId="46BA922D" w:rsidR="00166D7E" w:rsidRPr="00166D7E" w:rsidRDefault="00166D7E">
      <w:pPr>
        <w:spacing w:before="120" w:after="120" w:line="276" w:lineRule="auto"/>
        <w:jc w:val="both"/>
        <w:rPr>
          <w:rFonts w:ascii="Arial" w:hAnsi="Arial" w:cs="Arial"/>
          <w:sz w:val="20"/>
          <w:szCs w:val="20"/>
        </w:rPr>
      </w:pPr>
      <w:r w:rsidRPr="00166D7E">
        <w:rPr>
          <w:rFonts w:ascii="Arial" w:hAnsi="Arial" w:cs="Arial"/>
          <w:sz w:val="20"/>
          <w:szCs w:val="20"/>
        </w:rPr>
        <w:t xml:space="preserve">W dniu 02.06.2018 </w:t>
      </w:r>
      <w:r w:rsidR="00CA6507">
        <w:rPr>
          <w:rFonts w:ascii="Arial" w:hAnsi="Arial" w:cs="Arial"/>
          <w:sz w:val="20"/>
          <w:szCs w:val="20"/>
        </w:rPr>
        <w:t xml:space="preserve">r. </w:t>
      </w:r>
      <w:r w:rsidRPr="00166D7E">
        <w:rPr>
          <w:rFonts w:ascii="Arial" w:hAnsi="Arial" w:cs="Arial"/>
          <w:sz w:val="20"/>
          <w:szCs w:val="20"/>
        </w:rPr>
        <w:t>opublikowano ogłoszenie o przetargu na wykonawcę robót.</w:t>
      </w:r>
      <w:r>
        <w:rPr>
          <w:rFonts w:ascii="Arial" w:hAnsi="Arial" w:cs="Arial"/>
          <w:sz w:val="20"/>
          <w:szCs w:val="20"/>
        </w:rPr>
        <w:t xml:space="preserve"> </w:t>
      </w:r>
      <w:r w:rsidRPr="00166D7E">
        <w:rPr>
          <w:rFonts w:ascii="Arial" w:hAnsi="Arial" w:cs="Arial"/>
          <w:sz w:val="20"/>
          <w:szCs w:val="20"/>
        </w:rPr>
        <w:t>Ze względu na dużą liczbę pytań oferentów dotyczących dokumentacji</w:t>
      </w:r>
      <w:r w:rsidR="00CA6507">
        <w:rPr>
          <w:rFonts w:ascii="Arial" w:hAnsi="Arial" w:cs="Arial"/>
          <w:sz w:val="20"/>
          <w:szCs w:val="20"/>
        </w:rPr>
        <w:t>,</w:t>
      </w:r>
      <w:r w:rsidRPr="00166D7E">
        <w:rPr>
          <w:rFonts w:ascii="Arial" w:hAnsi="Arial" w:cs="Arial"/>
          <w:sz w:val="20"/>
          <w:szCs w:val="20"/>
        </w:rPr>
        <w:t xml:space="preserve"> przetarg na Wykonawcę robót </w:t>
      </w:r>
      <w:r w:rsidR="00506FF3">
        <w:rPr>
          <w:rFonts w:ascii="Arial" w:hAnsi="Arial" w:cs="Arial"/>
          <w:sz w:val="20"/>
          <w:szCs w:val="20"/>
        </w:rPr>
        <w:t>został</w:t>
      </w:r>
      <w:r w:rsidRPr="00166D7E">
        <w:rPr>
          <w:rFonts w:ascii="Arial" w:hAnsi="Arial" w:cs="Arial"/>
          <w:sz w:val="20"/>
          <w:szCs w:val="20"/>
        </w:rPr>
        <w:t xml:space="preserve"> opóźniony. Pytania te spowodowały potrzebę przygotowania dodatkowych badań</w:t>
      </w:r>
      <w:r w:rsidR="00D73565">
        <w:rPr>
          <w:rFonts w:ascii="Arial" w:hAnsi="Arial" w:cs="Arial"/>
          <w:sz w:val="20"/>
          <w:szCs w:val="20"/>
        </w:rPr>
        <w:t>, co wpłynęło na prolongację terminu złożenia ofert.</w:t>
      </w:r>
      <w:r w:rsidR="00506FF3">
        <w:rPr>
          <w:rFonts w:ascii="Arial" w:hAnsi="Arial" w:cs="Arial"/>
          <w:sz w:val="20"/>
          <w:szCs w:val="20"/>
        </w:rPr>
        <w:t xml:space="preserve"> Ostatecznie </w:t>
      </w:r>
      <w:r w:rsidR="00D73565">
        <w:rPr>
          <w:rFonts w:ascii="Arial" w:hAnsi="Arial" w:cs="Arial"/>
          <w:sz w:val="20"/>
          <w:szCs w:val="20"/>
        </w:rPr>
        <w:t>pod koniec 2018 r</w:t>
      </w:r>
      <w:r w:rsidR="00CA6507">
        <w:rPr>
          <w:rFonts w:ascii="Arial" w:hAnsi="Arial" w:cs="Arial"/>
          <w:sz w:val="20"/>
          <w:szCs w:val="20"/>
        </w:rPr>
        <w:t>.</w:t>
      </w:r>
      <w:r w:rsidR="00D73565">
        <w:rPr>
          <w:rFonts w:ascii="Arial" w:hAnsi="Arial" w:cs="Arial"/>
          <w:sz w:val="20"/>
          <w:szCs w:val="20"/>
        </w:rPr>
        <w:t xml:space="preserve"> </w:t>
      </w:r>
      <w:r w:rsidRPr="00166D7E">
        <w:rPr>
          <w:rFonts w:ascii="Arial" w:hAnsi="Arial" w:cs="Arial"/>
          <w:sz w:val="20"/>
          <w:szCs w:val="20"/>
        </w:rPr>
        <w:t xml:space="preserve">Beneficjent </w:t>
      </w:r>
      <w:r w:rsidR="00506FF3">
        <w:rPr>
          <w:rFonts w:ascii="Arial" w:hAnsi="Arial" w:cs="Arial"/>
          <w:sz w:val="20"/>
          <w:szCs w:val="20"/>
        </w:rPr>
        <w:t xml:space="preserve">podjął decyzję o konieczności </w:t>
      </w:r>
      <w:r w:rsidRPr="00166D7E">
        <w:rPr>
          <w:rFonts w:ascii="Arial" w:hAnsi="Arial" w:cs="Arial"/>
          <w:sz w:val="20"/>
          <w:szCs w:val="20"/>
        </w:rPr>
        <w:t>opracowa</w:t>
      </w:r>
      <w:r w:rsidR="00506FF3">
        <w:rPr>
          <w:rFonts w:ascii="Arial" w:hAnsi="Arial" w:cs="Arial"/>
          <w:sz w:val="20"/>
          <w:szCs w:val="20"/>
        </w:rPr>
        <w:t>nia</w:t>
      </w:r>
      <w:r w:rsidRPr="00166D7E">
        <w:rPr>
          <w:rFonts w:ascii="Arial" w:hAnsi="Arial" w:cs="Arial"/>
          <w:sz w:val="20"/>
          <w:szCs w:val="20"/>
        </w:rPr>
        <w:t xml:space="preserve"> projekt</w:t>
      </w:r>
      <w:r w:rsidR="00506FF3">
        <w:rPr>
          <w:rFonts w:ascii="Arial" w:hAnsi="Arial" w:cs="Arial"/>
          <w:sz w:val="20"/>
          <w:szCs w:val="20"/>
        </w:rPr>
        <w:t>u</w:t>
      </w:r>
      <w:r w:rsidRPr="00166D7E">
        <w:rPr>
          <w:rFonts w:ascii="Arial" w:hAnsi="Arial" w:cs="Arial"/>
          <w:sz w:val="20"/>
          <w:szCs w:val="20"/>
        </w:rPr>
        <w:t xml:space="preserve"> zastępcz</w:t>
      </w:r>
      <w:r w:rsidR="00506FF3">
        <w:rPr>
          <w:rFonts w:ascii="Arial" w:hAnsi="Arial" w:cs="Arial"/>
          <w:sz w:val="20"/>
          <w:szCs w:val="20"/>
        </w:rPr>
        <w:t>ego</w:t>
      </w:r>
      <w:r w:rsidRPr="00166D7E">
        <w:rPr>
          <w:rFonts w:ascii="Arial" w:hAnsi="Arial" w:cs="Arial"/>
          <w:sz w:val="20"/>
          <w:szCs w:val="20"/>
        </w:rPr>
        <w:t>.</w:t>
      </w:r>
    </w:p>
    <w:p w14:paraId="7306AE31" w14:textId="1F61B18B" w:rsidR="00AF7E69" w:rsidRDefault="00166D7E" w:rsidP="00F55578">
      <w:pPr>
        <w:jc w:val="both"/>
        <w:rPr>
          <w:rFonts w:ascii="Arial" w:hAnsi="Arial" w:cs="Arial"/>
          <w:sz w:val="20"/>
          <w:szCs w:val="20"/>
        </w:rPr>
      </w:pPr>
      <w:r w:rsidRPr="00166D7E">
        <w:rPr>
          <w:rFonts w:ascii="Arial" w:hAnsi="Arial" w:cs="Arial"/>
          <w:sz w:val="20"/>
          <w:szCs w:val="20"/>
        </w:rPr>
        <w:t xml:space="preserve">W dniu 04.10.2018 </w:t>
      </w:r>
      <w:r w:rsidR="00CA6507">
        <w:rPr>
          <w:rFonts w:ascii="Arial" w:hAnsi="Arial" w:cs="Arial"/>
          <w:sz w:val="20"/>
          <w:szCs w:val="20"/>
        </w:rPr>
        <w:t xml:space="preserve">r. </w:t>
      </w:r>
      <w:r w:rsidRPr="00166D7E">
        <w:rPr>
          <w:rFonts w:ascii="Arial" w:hAnsi="Arial" w:cs="Arial"/>
          <w:sz w:val="20"/>
          <w:szCs w:val="20"/>
        </w:rPr>
        <w:t>opublikowano ogłoszenie o przetargu na Inżyniera Kontraktu.</w:t>
      </w:r>
      <w:r>
        <w:rPr>
          <w:rFonts w:ascii="Arial" w:hAnsi="Arial" w:cs="Arial"/>
          <w:sz w:val="20"/>
          <w:szCs w:val="20"/>
        </w:rPr>
        <w:t xml:space="preserve"> </w:t>
      </w:r>
      <w:r w:rsidRPr="00166D7E">
        <w:rPr>
          <w:rFonts w:ascii="Arial" w:hAnsi="Arial" w:cs="Arial"/>
          <w:sz w:val="20"/>
          <w:szCs w:val="20"/>
        </w:rPr>
        <w:t>W związku z</w:t>
      </w:r>
      <w:r w:rsidR="00EA56A0">
        <w:rPr>
          <w:rFonts w:ascii="Arial" w:hAnsi="Arial" w:cs="Arial"/>
          <w:sz w:val="20"/>
          <w:szCs w:val="20"/>
        </w:rPr>
        <w:t> </w:t>
      </w:r>
      <w:r w:rsidRPr="00166D7E">
        <w:rPr>
          <w:rFonts w:ascii="Arial" w:hAnsi="Arial" w:cs="Arial"/>
          <w:sz w:val="20"/>
          <w:szCs w:val="20"/>
        </w:rPr>
        <w:t xml:space="preserve">przedłużającą się procedurą wyboru Wykonawcy Robót, </w:t>
      </w:r>
      <w:r w:rsidR="00D73565">
        <w:rPr>
          <w:rFonts w:ascii="Arial" w:hAnsi="Arial" w:cs="Arial"/>
          <w:sz w:val="20"/>
          <w:szCs w:val="20"/>
        </w:rPr>
        <w:t>postępowanie zostało również wydłużone, a</w:t>
      </w:r>
      <w:r w:rsidR="00EA56A0">
        <w:rPr>
          <w:rFonts w:ascii="Arial" w:hAnsi="Arial" w:cs="Arial"/>
          <w:sz w:val="20"/>
          <w:szCs w:val="20"/>
        </w:rPr>
        <w:t> </w:t>
      </w:r>
      <w:r w:rsidRPr="00166D7E">
        <w:rPr>
          <w:rFonts w:ascii="Arial" w:hAnsi="Arial" w:cs="Arial"/>
          <w:sz w:val="20"/>
          <w:szCs w:val="20"/>
        </w:rPr>
        <w:t>termin podpisania umowy z Inżynierem uleg</w:t>
      </w:r>
      <w:r>
        <w:rPr>
          <w:rFonts w:ascii="Arial" w:hAnsi="Arial" w:cs="Arial"/>
          <w:sz w:val="20"/>
          <w:szCs w:val="20"/>
        </w:rPr>
        <w:t>ł</w:t>
      </w:r>
      <w:r w:rsidRPr="00166D7E">
        <w:rPr>
          <w:rFonts w:ascii="Arial" w:hAnsi="Arial" w:cs="Arial"/>
          <w:sz w:val="20"/>
          <w:szCs w:val="20"/>
        </w:rPr>
        <w:t xml:space="preserve"> przesunięciu.</w:t>
      </w:r>
      <w:r w:rsidR="00C377D8">
        <w:rPr>
          <w:rFonts w:ascii="Arial" w:hAnsi="Arial" w:cs="Arial"/>
          <w:sz w:val="20"/>
          <w:szCs w:val="20"/>
        </w:rPr>
        <w:t xml:space="preserve"> </w:t>
      </w:r>
    </w:p>
    <w:p w14:paraId="043D4F7A" w14:textId="71E0EA07" w:rsidR="00EA56A0" w:rsidRPr="00F55578" w:rsidRDefault="00EA56A0" w:rsidP="00F55578">
      <w:pPr>
        <w:pStyle w:val="Akapitzlist"/>
        <w:numPr>
          <w:ilvl w:val="0"/>
          <w:numId w:val="3"/>
        </w:numPr>
        <w:spacing w:before="120" w:after="120" w:line="276" w:lineRule="auto"/>
        <w:jc w:val="both"/>
        <w:rPr>
          <w:rFonts w:ascii="Arial" w:hAnsi="Arial" w:cs="Arial"/>
          <w:b/>
          <w:bCs/>
          <w:sz w:val="20"/>
          <w:szCs w:val="20"/>
        </w:rPr>
      </w:pPr>
      <w:r w:rsidRPr="00F55578">
        <w:rPr>
          <w:rFonts w:ascii="Arial" w:hAnsi="Arial" w:cs="Arial"/>
          <w:b/>
          <w:bCs/>
          <w:sz w:val="20"/>
          <w:szCs w:val="20"/>
        </w:rPr>
        <w:t xml:space="preserve">Poprawa infrastruktury </w:t>
      </w:r>
      <w:r w:rsidR="00CA6507">
        <w:rPr>
          <w:rFonts w:ascii="Arial" w:hAnsi="Arial" w:cs="Arial"/>
          <w:b/>
          <w:bCs/>
          <w:sz w:val="20"/>
          <w:szCs w:val="20"/>
        </w:rPr>
        <w:t>dostępu</w:t>
      </w:r>
      <w:r w:rsidR="00CA6507" w:rsidRPr="00F55578">
        <w:rPr>
          <w:rFonts w:ascii="Arial" w:hAnsi="Arial" w:cs="Arial"/>
          <w:b/>
          <w:bCs/>
          <w:sz w:val="20"/>
          <w:szCs w:val="20"/>
        </w:rPr>
        <w:t xml:space="preserve"> </w:t>
      </w:r>
      <w:r w:rsidRPr="00F55578">
        <w:rPr>
          <w:rFonts w:ascii="Arial" w:hAnsi="Arial" w:cs="Arial"/>
          <w:b/>
          <w:bCs/>
          <w:sz w:val="20"/>
          <w:szCs w:val="20"/>
        </w:rPr>
        <w:t>kole</w:t>
      </w:r>
      <w:r>
        <w:rPr>
          <w:rFonts w:ascii="Arial" w:hAnsi="Arial" w:cs="Arial"/>
          <w:b/>
          <w:bCs/>
          <w:sz w:val="20"/>
          <w:szCs w:val="20"/>
        </w:rPr>
        <w:t>jowego do Portu Gdańsk</w:t>
      </w:r>
    </w:p>
    <w:p w14:paraId="772E8FCE" w14:textId="07466820" w:rsidR="00EA56A0" w:rsidRDefault="00EA56A0" w:rsidP="00CA6507">
      <w:pPr>
        <w:spacing w:before="120" w:after="120" w:line="276" w:lineRule="auto"/>
        <w:jc w:val="both"/>
        <w:rPr>
          <w:rFonts w:ascii="Arial" w:hAnsi="Arial" w:cs="Arial"/>
          <w:sz w:val="20"/>
          <w:szCs w:val="20"/>
        </w:rPr>
      </w:pPr>
      <w:r>
        <w:rPr>
          <w:rFonts w:ascii="Arial" w:hAnsi="Arial" w:cs="Arial"/>
          <w:sz w:val="20"/>
          <w:szCs w:val="20"/>
        </w:rPr>
        <w:t>Projekt realizowany na obszarze administracyjnym Portu Gdańsk</w:t>
      </w:r>
      <w:r w:rsidRPr="00EA56A0">
        <w:rPr>
          <w:rFonts w:ascii="Arial" w:hAnsi="Arial" w:cs="Arial"/>
          <w:sz w:val="20"/>
          <w:szCs w:val="20"/>
        </w:rPr>
        <w:t xml:space="preserve"> przez PKP Polskie Linie Kolejowe S.A.</w:t>
      </w:r>
      <w:r>
        <w:rPr>
          <w:rFonts w:ascii="Arial" w:hAnsi="Arial" w:cs="Arial"/>
          <w:sz w:val="20"/>
          <w:szCs w:val="20"/>
        </w:rPr>
        <w:t xml:space="preserve"> </w:t>
      </w:r>
      <w:r w:rsidRPr="00EA56A0">
        <w:rPr>
          <w:rFonts w:ascii="Arial" w:hAnsi="Arial" w:cs="Arial"/>
          <w:sz w:val="20"/>
          <w:szCs w:val="20"/>
        </w:rPr>
        <w:t>Projekt ma być realizowany przy współfinansowaniu ze środków instrumentu „Łącząc Europę” (CEF).</w:t>
      </w:r>
      <w:r w:rsidR="007C08C1">
        <w:rPr>
          <w:rFonts w:ascii="Arial" w:hAnsi="Arial" w:cs="Arial"/>
          <w:sz w:val="20"/>
          <w:szCs w:val="20"/>
        </w:rPr>
        <w:t xml:space="preserve"> </w:t>
      </w:r>
      <w:r w:rsidR="007C08C1" w:rsidRPr="009A614B">
        <w:rPr>
          <w:rFonts w:ascii="Arial" w:hAnsi="Arial" w:cs="Arial"/>
          <w:sz w:val="20"/>
          <w:szCs w:val="20"/>
        </w:rPr>
        <w:t>Realizacja projekt</w:t>
      </w:r>
      <w:r w:rsidR="007C08C1">
        <w:rPr>
          <w:rFonts w:ascii="Arial" w:hAnsi="Arial" w:cs="Arial"/>
          <w:sz w:val="20"/>
          <w:szCs w:val="20"/>
        </w:rPr>
        <w:t>u ma się rozpocząć w 2019</w:t>
      </w:r>
      <w:r w:rsidR="007C08C1" w:rsidRPr="009A614B">
        <w:rPr>
          <w:rFonts w:ascii="Arial" w:hAnsi="Arial" w:cs="Arial"/>
          <w:sz w:val="20"/>
          <w:szCs w:val="20"/>
        </w:rPr>
        <w:t xml:space="preserve"> r</w:t>
      </w:r>
      <w:r w:rsidR="00CA6507">
        <w:rPr>
          <w:rFonts w:ascii="Arial" w:hAnsi="Arial" w:cs="Arial"/>
          <w:sz w:val="20"/>
          <w:szCs w:val="20"/>
        </w:rPr>
        <w:t>.</w:t>
      </w:r>
      <w:r w:rsidR="007C08C1" w:rsidRPr="009A614B">
        <w:rPr>
          <w:rFonts w:ascii="Arial" w:hAnsi="Arial" w:cs="Arial"/>
          <w:sz w:val="20"/>
          <w:szCs w:val="20"/>
        </w:rPr>
        <w:t>, a jego zakończenie</w:t>
      </w:r>
      <w:r w:rsidR="007C08C1">
        <w:rPr>
          <w:rFonts w:ascii="Arial" w:hAnsi="Arial" w:cs="Arial"/>
          <w:sz w:val="20"/>
          <w:szCs w:val="20"/>
        </w:rPr>
        <w:t xml:space="preserve"> jest planowane do końca 2021</w:t>
      </w:r>
      <w:r w:rsidR="007C08C1" w:rsidRPr="009A614B">
        <w:rPr>
          <w:rFonts w:ascii="Arial" w:hAnsi="Arial" w:cs="Arial"/>
          <w:sz w:val="20"/>
          <w:szCs w:val="20"/>
        </w:rPr>
        <w:t xml:space="preserve"> r.</w:t>
      </w:r>
      <w:r w:rsidR="002219C5">
        <w:rPr>
          <w:rFonts w:ascii="Arial" w:hAnsi="Arial" w:cs="Arial"/>
          <w:sz w:val="20"/>
          <w:szCs w:val="20"/>
        </w:rPr>
        <w:t xml:space="preserve"> W 2018 r</w:t>
      </w:r>
      <w:r w:rsidR="00CA6507">
        <w:rPr>
          <w:rFonts w:ascii="Arial" w:hAnsi="Arial" w:cs="Arial"/>
          <w:sz w:val="20"/>
          <w:szCs w:val="20"/>
        </w:rPr>
        <w:t>.</w:t>
      </w:r>
      <w:r w:rsidR="002219C5">
        <w:rPr>
          <w:rFonts w:ascii="Arial" w:hAnsi="Arial" w:cs="Arial"/>
          <w:sz w:val="20"/>
          <w:szCs w:val="20"/>
        </w:rPr>
        <w:t xml:space="preserve"> trwało opracow</w:t>
      </w:r>
      <w:r w:rsidR="00F0257F">
        <w:rPr>
          <w:rFonts w:ascii="Arial" w:hAnsi="Arial" w:cs="Arial"/>
          <w:sz w:val="20"/>
          <w:szCs w:val="20"/>
        </w:rPr>
        <w:t>yw</w:t>
      </w:r>
      <w:r w:rsidR="002219C5">
        <w:rPr>
          <w:rFonts w:ascii="Arial" w:hAnsi="Arial" w:cs="Arial"/>
          <w:sz w:val="20"/>
          <w:szCs w:val="20"/>
        </w:rPr>
        <w:t xml:space="preserve">anie dokumentacji projektowej, przy czym w lutym zakończono prace nad projektami budowlanymi, a we wrześniu 2018 </w:t>
      </w:r>
      <w:r w:rsidR="00CA6507">
        <w:rPr>
          <w:rFonts w:ascii="Arial" w:hAnsi="Arial" w:cs="Arial"/>
          <w:sz w:val="20"/>
          <w:szCs w:val="20"/>
        </w:rPr>
        <w:t xml:space="preserve">r. </w:t>
      </w:r>
      <w:r w:rsidR="002219C5">
        <w:rPr>
          <w:rFonts w:ascii="Arial" w:hAnsi="Arial" w:cs="Arial"/>
          <w:sz w:val="20"/>
          <w:szCs w:val="20"/>
        </w:rPr>
        <w:t>opracowano projekty wykonawcze dla poszczególnych odcinków w ramach tego przedsięwzięcia.</w:t>
      </w:r>
      <w:r w:rsidR="00CA6507">
        <w:rPr>
          <w:rFonts w:ascii="Arial" w:hAnsi="Arial" w:cs="Arial"/>
          <w:sz w:val="20"/>
          <w:szCs w:val="20"/>
        </w:rPr>
        <w:t xml:space="preserve"> </w:t>
      </w:r>
      <w:r>
        <w:rPr>
          <w:rFonts w:ascii="Arial" w:hAnsi="Arial" w:cs="Arial"/>
          <w:sz w:val="20"/>
          <w:szCs w:val="20"/>
        </w:rPr>
        <w:t xml:space="preserve">Projekt </w:t>
      </w:r>
      <w:r w:rsidRPr="00EA56A0">
        <w:rPr>
          <w:rFonts w:ascii="Arial" w:hAnsi="Arial" w:cs="Arial"/>
          <w:sz w:val="20"/>
          <w:szCs w:val="20"/>
        </w:rPr>
        <w:t>ma za zadanie docelowo zwiększyć możliwości transferu towarów przeładowywanych w Porcie Gdańsk m</w:t>
      </w:r>
      <w:r w:rsidR="00CA6507">
        <w:rPr>
          <w:rFonts w:ascii="Arial" w:hAnsi="Arial" w:cs="Arial"/>
          <w:sz w:val="20"/>
          <w:szCs w:val="20"/>
        </w:rPr>
        <w:t>.</w:t>
      </w:r>
      <w:r w:rsidRPr="00EA56A0">
        <w:rPr>
          <w:rFonts w:ascii="Arial" w:hAnsi="Arial" w:cs="Arial"/>
          <w:sz w:val="20"/>
          <w:szCs w:val="20"/>
        </w:rPr>
        <w:t>in</w:t>
      </w:r>
      <w:r w:rsidR="00CA6507">
        <w:rPr>
          <w:rFonts w:ascii="Arial" w:hAnsi="Arial" w:cs="Arial"/>
          <w:sz w:val="20"/>
          <w:szCs w:val="20"/>
        </w:rPr>
        <w:t xml:space="preserve">. </w:t>
      </w:r>
      <w:r w:rsidRPr="00EA56A0">
        <w:rPr>
          <w:rFonts w:ascii="Arial" w:hAnsi="Arial" w:cs="Arial"/>
          <w:sz w:val="20"/>
          <w:szCs w:val="20"/>
        </w:rPr>
        <w:t>na</w:t>
      </w:r>
      <w:r>
        <w:rPr>
          <w:rFonts w:ascii="Arial" w:hAnsi="Arial" w:cs="Arial"/>
          <w:sz w:val="20"/>
          <w:szCs w:val="20"/>
        </w:rPr>
        <w:t xml:space="preserve"> </w:t>
      </w:r>
      <w:r w:rsidRPr="00EA56A0">
        <w:rPr>
          <w:rFonts w:ascii="Arial" w:hAnsi="Arial" w:cs="Arial"/>
          <w:sz w:val="20"/>
          <w:szCs w:val="20"/>
        </w:rPr>
        <w:t>nabrzeżach użytkowanych przez Spółkę PGE S.A. W ramach projektu zmodernizowane zostaną stacje kolejowe działające na rzecz Portu Gdańsk</w:t>
      </w:r>
      <w:r w:rsidR="00CA6507">
        <w:rPr>
          <w:rFonts w:ascii="Arial" w:hAnsi="Arial" w:cs="Arial"/>
          <w:sz w:val="20"/>
          <w:szCs w:val="20"/>
        </w:rPr>
        <w:t>,</w:t>
      </w:r>
      <w:r w:rsidRPr="00EA56A0">
        <w:rPr>
          <w:rFonts w:ascii="Arial" w:hAnsi="Arial" w:cs="Arial"/>
          <w:sz w:val="20"/>
          <w:szCs w:val="20"/>
        </w:rPr>
        <w:t xml:space="preserve"> tj. Gdańsk Port Północny, Gdańsk Kanał Kaszubski oraz Gdańsk Zaspa Towarowa z rejonem Gdańsk Wiślany. Na wyżej wymienionych stacjach zwiększona zostanie m.in. liczba zelektryfikowanych torów. Ro</w:t>
      </w:r>
      <w:r>
        <w:rPr>
          <w:rFonts w:ascii="Arial" w:hAnsi="Arial" w:cs="Arial"/>
          <w:sz w:val="20"/>
          <w:szCs w:val="20"/>
        </w:rPr>
        <w:t>zbudowane i </w:t>
      </w:r>
      <w:r w:rsidRPr="00EA56A0">
        <w:rPr>
          <w:rFonts w:ascii="Arial" w:hAnsi="Arial" w:cs="Arial"/>
          <w:sz w:val="20"/>
          <w:szCs w:val="20"/>
        </w:rPr>
        <w:t xml:space="preserve">zmodernizowane zostanie też lokalne centrum sterowania. Realizacja inwestycji pozwoli na zwiększenie nacisku na oś do 221 kN oraz zwiększenie prędkości </w:t>
      </w:r>
      <w:r w:rsidR="00CA6507">
        <w:rPr>
          <w:rFonts w:ascii="Arial" w:hAnsi="Arial" w:cs="Arial"/>
          <w:sz w:val="20"/>
          <w:szCs w:val="20"/>
        </w:rPr>
        <w:br/>
      </w:r>
      <w:r w:rsidRPr="00EA56A0">
        <w:rPr>
          <w:rFonts w:ascii="Arial" w:hAnsi="Arial" w:cs="Arial"/>
          <w:sz w:val="20"/>
          <w:szCs w:val="20"/>
        </w:rPr>
        <w:t>i długości przyjmowanych składów.</w:t>
      </w:r>
    </w:p>
    <w:p w14:paraId="7870FD16" w14:textId="77777777" w:rsidR="00EA56A0" w:rsidRPr="005E4C5E" w:rsidRDefault="00EA56A0" w:rsidP="00F55578">
      <w:pPr>
        <w:pStyle w:val="spis2"/>
        <w:keepNext/>
        <w:rPr>
          <w:rFonts w:ascii="Arial" w:hAnsi="Arial" w:cs="Arial"/>
          <w:sz w:val="20"/>
          <w:szCs w:val="20"/>
        </w:rPr>
      </w:pPr>
      <w:r w:rsidRPr="005E4C5E">
        <w:rPr>
          <w:rFonts w:ascii="Arial" w:hAnsi="Arial" w:cs="Arial"/>
          <w:sz w:val="20"/>
          <w:szCs w:val="20"/>
        </w:rPr>
        <w:lastRenderedPageBreak/>
        <w:t>Kluczowe inwestycje współfinansowane ze środków UE.</w:t>
      </w:r>
    </w:p>
    <w:p w14:paraId="62559365" w14:textId="77777777" w:rsidR="00AF7E69" w:rsidRPr="002F6882" w:rsidRDefault="00AF7E69" w:rsidP="00BF76C0">
      <w:pPr>
        <w:pStyle w:val="Akapitzlist"/>
        <w:numPr>
          <w:ilvl w:val="0"/>
          <w:numId w:val="3"/>
        </w:numPr>
        <w:spacing w:before="120" w:after="120" w:line="276" w:lineRule="auto"/>
        <w:jc w:val="both"/>
        <w:rPr>
          <w:rFonts w:ascii="Arial" w:hAnsi="Arial" w:cs="Arial"/>
          <w:b/>
          <w:sz w:val="20"/>
          <w:szCs w:val="20"/>
        </w:rPr>
      </w:pPr>
      <w:r w:rsidRPr="002F6882">
        <w:rPr>
          <w:rFonts w:ascii="Arial" w:hAnsi="Arial" w:cs="Arial"/>
          <w:b/>
          <w:sz w:val="20"/>
          <w:szCs w:val="20"/>
        </w:rPr>
        <w:t>Modernizacja toru wodnego, rozbudowa nabrzeży oraz poprawa warunków żeglugi w Porcie Wewnętrznym w Gdańsku</w:t>
      </w:r>
    </w:p>
    <w:p w14:paraId="080484CD" w14:textId="1FD8A13A" w:rsidR="00AF7E69" w:rsidRPr="002F6882" w:rsidRDefault="00D902DC" w:rsidP="002F6882">
      <w:pPr>
        <w:spacing w:before="120" w:after="120" w:line="276" w:lineRule="auto"/>
        <w:jc w:val="both"/>
        <w:rPr>
          <w:rFonts w:ascii="Arial" w:hAnsi="Arial" w:cs="Arial"/>
          <w:sz w:val="20"/>
          <w:szCs w:val="20"/>
        </w:rPr>
      </w:pPr>
      <w:r>
        <w:rPr>
          <w:rFonts w:ascii="Arial" w:hAnsi="Arial" w:cs="Arial"/>
          <w:sz w:val="20"/>
          <w:szCs w:val="20"/>
        </w:rPr>
        <w:t>Projekt realizowany jest w ramach</w:t>
      </w:r>
      <w:r w:rsidR="00B625F6">
        <w:rPr>
          <w:rFonts w:ascii="Arial" w:hAnsi="Arial" w:cs="Arial"/>
          <w:sz w:val="20"/>
          <w:szCs w:val="20"/>
        </w:rPr>
        <w:t xml:space="preserve"> instrumentu „Łącząc Europę” (CEF)</w:t>
      </w:r>
      <w:r w:rsidR="00AF7E69" w:rsidRPr="002F6882">
        <w:rPr>
          <w:rFonts w:ascii="Arial" w:hAnsi="Arial" w:cs="Arial"/>
          <w:sz w:val="20"/>
          <w:szCs w:val="20"/>
        </w:rPr>
        <w:t>, s</w:t>
      </w:r>
      <w:r w:rsidR="002F6882">
        <w:rPr>
          <w:rFonts w:ascii="Arial" w:hAnsi="Arial" w:cs="Arial"/>
          <w:sz w:val="20"/>
          <w:szCs w:val="20"/>
        </w:rPr>
        <w:t>zacowana wartość projektu</w:t>
      </w:r>
      <w:r w:rsidR="00AF7E69" w:rsidRPr="002F6882">
        <w:rPr>
          <w:rFonts w:ascii="Arial" w:hAnsi="Arial" w:cs="Arial"/>
          <w:sz w:val="20"/>
          <w:szCs w:val="20"/>
        </w:rPr>
        <w:t xml:space="preserve"> to 470 mln </w:t>
      </w:r>
      <w:r w:rsidR="002F6882">
        <w:rPr>
          <w:rFonts w:ascii="Arial" w:hAnsi="Arial" w:cs="Arial"/>
          <w:sz w:val="20"/>
          <w:szCs w:val="20"/>
        </w:rPr>
        <w:t>zł</w:t>
      </w:r>
      <w:r w:rsidR="00AF7E69" w:rsidRPr="002F6882">
        <w:rPr>
          <w:rFonts w:ascii="Arial" w:hAnsi="Arial" w:cs="Arial"/>
          <w:sz w:val="20"/>
          <w:szCs w:val="20"/>
        </w:rPr>
        <w:t xml:space="preserve"> przy współfinansowaniu na poziomie 85% (dotacja w kwocie 399,5 mln </w:t>
      </w:r>
      <w:r w:rsidR="002F6882">
        <w:rPr>
          <w:rFonts w:ascii="Arial" w:hAnsi="Arial" w:cs="Arial"/>
          <w:sz w:val="20"/>
          <w:szCs w:val="20"/>
        </w:rPr>
        <w:t>zł</w:t>
      </w:r>
      <w:r w:rsidR="00AF7E69" w:rsidRPr="002F6882">
        <w:rPr>
          <w:rFonts w:ascii="Arial" w:hAnsi="Arial" w:cs="Arial"/>
          <w:sz w:val="20"/>
          <w:szCs w:val="20"/>
        </w:rPr>
        <w:t>).</w:t>
      </w:r>
      <w:r w:rsidR="002F6882">
        <w:rPr>
          <w:rFonts w:ascii="Arial" w:hAnsi="Arial" w:cs="Arial"/>
          <w:sz w:val="20"/>
          <w:szCs w:val="20"/>
        </w:rPr>
        <w:t xml:space="preserve"> </w:t>
      </w:r>
      <w:r w:rsidR="00AF7E69" w:rsidRPr="002F6882">
        <w:rPr>
          <w:rFonts w:ascii="Arial" w:hAnsi="Arial" w:cs="Arial"/>
          <w:sz w:val="20"/>
          <w:szCs w:val="20"/>
        </w:rPr>
        <w:t>W wyniku przetargu nieograniczonego w marcu 2018 </w:t>
      </w:r>
      <w:r w:rsidR="002F6882">
        <w:rPr>
          <w:rFonts w:ascii="Arial" w:hAnsi="Arial" w:cs="Arial"/>
          <w:sz w:val="20"/>
          <w:szCs w:val="20"/>
        </w:rPr>
        <w:t xml:space="preserve">r. została zawarta umowa </w:t>
      </w:r>
      <w:r w:rsidR="00AF7E69" w:rsidRPr="002F6882">
        <w:rPr>
          <w:rFonts w:ascii="Arial" w:hAnsi="Arial" w:cs="Arial"/>
          <w:sz w:val="20"/>
          <w:szCs w:val="20"/>
        </w:rPr>
        <w:t>o świadcze</w:t>
      </w:r>
      <w:r w:rsidR="002F6882">
        <w:rPr>
          <w:rFonts w:ascii="Arial" w:hAnsi="Arial" w:cs="Arial"/>
          <w:sz w:val="20"/>
          <w:szCs w:val="20"/>
        </w:rPr>
        <w:t>nie usługi Inżyniera Kontraktu dla całego Projektu</w:t>
      </w:r>
      <w:r w:rsidR="00AF7E69" w:rsidRPr="002F6882">
        <w:rPr>
          <w:rFonts w:ascii="Arial" w:hAnsi="Arial" w:cs="Arial"/>
          <w:sz w:val="20"/>
          <w:szCs w:val="20"/>
        </w:rPr>
        <w:t xml:space="preserve"> z Konsorcjum reprezentowanym przez Lidera – Spółkę TRACTEBEL S.A.</w:t>
      </w:r>
      <w:r w:rsidR="004B65BF">
        <w:rPr>
          <w:rFonts w:ascii="Arial" w:hAnsi="Arial" w:cs="Arial"/>
          <w:sz w:val="20"/>
          <w:szCs w:val="20"/>
        </w:rPr>
        <w:t xml:space="preserve"> Realizacja projektu rozpoczęła się w sierpniu 2017 r</w:t>
      </w:r>
      <w:r w:rsidR="004A5C56">
        <w:rPr>
          <w:rFonts w:ascii="Arial" w:hAnsi="Arial" w:cs="Arial"/>
          <w:sz w:val="20"/>
          <w:szCs w:val="20"/>
        </w:rPr>
        <w:t>.</w:t>
      </w:r>
      <w:r w:rsidR="004B65BF">
        <w:rPr>
          <w:rFonts w:ascii="Arial" w:hAnsi="Arial" w:cs="Arial"/>
          <w:sz w:val="20"/>
          <w:szCs w:val="20"/>
        </w:rPr>
        <w:t>, a jego zakończenie jest planowane na grudzień 2020 r.</w:t>
      </w:r>
    </w:p>
    <w:p w14:paraId="306770A9" w14:textId="77777777" w:rsidR="00AF7E69" w:rsidRPr="002F6882" w:rsidRDefault="002F6882" w:rsidP="002F6882">
      <w:pPr>
        <w:spacing w:before="120" w:after="120" w:line="276" w:lineRule="auto"/>
        <w:jc w:val="both"/>
        <w:rPr>
          <w:rFonts w:ascii="Arial" w:hAnsi="Arial" w:cs="Arial"/>
          <w:sz w:val="20"/>
          <w:szCs w:val="20"/>
        </w:rPr>
      </w:pPr>
      <w:r>
        <w:rPr>
          <w:rFonts w:ascii="Arial" w:hAnsi="Arial" w:cs="Arial"/>
          <w:sz w:val="20"/>
          <w:szCs w:val="20"/>
        </w:rPr>
        <w:t>Proces</w:t>
      </w:r>
      <w:r w:rsidR="00AF7E69" w:rsidRPr="002F6882">
        <w:rPr>
          <w:rFonts w:ascii="Arial" w:hAnsi="Arial" w:cs="Arial"/>
          <w:sz w:val="20"/>
          <w:szCs w:val="20"/>
        </w:rPr>
        <w:t xml:space="preserve"> wyboru wykonawców i zawierania umów o roboty budowlane oraz realizacji robót dla poszczególnych zakresów jest </w:t>
      </w:r>
      <w:r>
        <w:rPr>
          <w:rFonts w:ascii="Arial" w:hAnsi="Arial" w:cs="Arial"/>
          <w:sz w:val="20"/>
          <w:szCs w:val="20"/>
        </w:rPr>
        <w:t>wyglądał następująco</w:t>
      </w:r>
      <w:r w:rsidR="00AF7E69" w:rsidRPr="002F6882">
        <w:rPr>
          <w:rFonts w:ascii="Arial" w:hAnsi="Arial" w:cs="Arial"/>
          <w:sz w:val="20"/>
          <w:szCs w:val="20"/>
        </w:rPr>
        <w:t>:</w:t>
      </w:r>
    </w:p>
    <w:p w14:paraId="0B59C21D" w14:textId="77777777" w:rsidR="00AF7E69" w:rsidRPr="002F6882" w:rsidRDefault="002F6882"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 xml:space="preserve">pogłębienie toru wodnego – w wyniku przetargu nieograniczonego został wybrany Wykonawca robót – w lipcu 2018 </w:t>
      </w:r>
      <w:r>
        <w:rPr>
          <w:rFonts w:ascii="Arial" w:hAnsi="Arial" w:cs="Arial"/>
          <w:sz w:val="20"/>
          <w:szCs w:val="20"/>
        </w:rPr>
        <w:t xml:space="preserve">r. </w:t>
      </w:r>
      <w:r w:rsidR="00AF7E69" w:rsidRPr="002F6882">
        <w:rPr>
          <w:rFonts w:ascii="Arial" w:hAnsi="Arial" w:cs="Arial"/>
          <w:sz w:val="20"/>
          <w:szCs w:val="20"/>
        </w:rPr>
        <w:t xml:space="preserve">podpisana została umowa z </w:t>
      </w:r>
      <w:r w:rsidR="00FF7FE0">
        <w:rPr>
          <w:rFonts w:ascii="Arial" w:hAnsi="Arial" w:cs="Arial"/>
          <w:sz w:val="20"/>
          <w:szCs w:val="20"/>
        </w:rPr>
        <w:t>w</w:t>
      </w:r>
      <w:r w:rsidR="00AF7E69" w:rsidRPr="002F6882">
        <w:rPr>
          <w:rFonts w:ascii="Arial" w:hAnsi="Arial" w:cs="Arial"/>
          <w:sz w:val="20"/>
          <w:szCs w:val="20"/>
        </w:rPr>
        <w:t>ykonawcą</w:t>
      </w:r>
      <w:r>
        <w:rPr>
          <w:rFonts w:ascii="Arial" w:hAnsi="Arial" w:cs="Arial"/>
          <w:sz w:val="20"/>
          <w:szCs w:val="20"/>
        </w:rPr>
        <w:t xml:space="preserve"> </w:t>
      </w:r>
      <w:r w:rsidR="00AF7E69" w:rsidRPr="002F6882">
        <w:rPr>
          <w:rFonts w:ascii="Arial" w:hAnsi="Arial" w:cs="Arial"/>
          <w:sz w:val="20"/>
          <w:szCs w:val="20"/>
        </w:rPr>
        <w:t xml:space="preserve">PRCiP Sp. z o.o. za kwotę 47.646.641,00 </w:t>
      </w:r>
      <w:r>
        <w:rPr>
          <w:rFonts w:ascii="Arial" w:hAnsi="Arial" w:cs="Arial"/>
          <w:sz w:val="20"/>
          <w:szCs w:val="20"/>
        </w:rPr>
        <w:t xml:space="preserve">zł netto, który </w:t>
      </w:r>
      <w:r w:rsidR="00AF7E69" w:rsidRPr="002F6882">
        <w:rPr>
          <w:rFonts w:ascii="Arial" w:hAnsi="Arial" w:cs="Arial"/>
          <w:sz w:val="20"/>
          <w:szCs w:val="20"/>
        </w:rPr>
        <w:t>przedłożył BIOZ i PZJ, Harmonogram Robót i Plan Płatności oraz realizował w 2018 r.</w:t>
      </w:r>
      <w:r>
        <w:rPr>
          <w:rFonts w:ascii="Arial" w:hAnsi="Arial" w:cs="Arial"/>
          <w:sz w:val="20"/>
          <w:szCs w:val="20"/>
        </w:rPr>
        <w:t xml:space="preserve"> roboty ferromagnetyczne;</w:t>
      </w:r>
    </w:p>
    <w:p w14:paraId="0D78874A" w14:textId="77777777" w:rsidR="00AF7E69" w:rsidRPr="002F6882" w:rsidRDefault="002F6882"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przebudowa 3 nabrzeży stanowiących obudowę toru wodnego (części nabrzeży: Nab. Szczecińskie, Nab. Wiślane i Nab. BON) – w wyniku przetargu nieograniczonego został wybrany Wyk</w:t>
      </w:r>
      <w:r>
        <w:rPr>
          <w:rFonts w:ascii="Arial" w:hAnsi="Arial" w:cs="Arial"/>
          <w:sz w:val="20"/>
          <w:szCs w:val="20"/>
        </w:rPr>
        <w:t>onawca robót –</w:t>
      </w:r>
      <w:r w:rsidR="00AF7E69" w:rsidRPr="002F6882">
        <w:rPr>
          <w:rFonts w:ascii="Arial" w:hAnsi="Arial" w:cs="Arial"/>
          <w:sz w:val="20"/>
          <w:szCs w:val="20"/>
        </w:rPr>
        <w:t xml:space="preserve">w lipcu 2018 </w:t>
      </w:r>
      <w:r>
        <w:rPr>
          <w:rFonts w:ascii="Arial" w:hAnsi="Arial" w:cs="Arial"/>
          <w:sz w:val="20"/>
          <w:szCs w:val="20"/>
        </w:rPr>
        <w:t xml:space="preserve">r. </w:t>
      </w:r>
      <w:r w:rsidR="00AF7E69" w:rsidRPr="002F6882">
        <w:rPr>
          <w:rFonts w:ascii="Arial" w:hAnsi="Arial" w:cs="Arial"/>
          <w:sz w:val="20"/>
          <w:szCs w:val="20"/>
        </w:rPr>
        <w:t xml:space="preserve">podpisano umowę z </w:t>
      </w:r>
      <w:r w:rsidR="00FF7FE0">
        <w:rPr>
          <w:rFonts w:ascii="Arial" w:hAnsi="Arial" w:cs="Arial"/>
          <w:sz w:val="20"/>
          <w:szCs w:val="20"/>
        </w:rPr>
        <w:t>w</w:t>
      </w:r>
      <w:r w:rsidR="00AF7E69" w:rsidRPr="002F6882">
        <w:rPr>
          <w:rFonts w:ascii="Arial" w:hAnsi="Arial" w:cs="Arial"/>
          <w:sz w:val="20"/>
          <w:szCs w:val="20"/>
        </w:rPr>
        <w:t xml:space="preserve">ykonawcą Doraco Sp. z o.o. za kwotę 31.705.177,55 </w:t>
      </w:r>
      <w:r>
        <w:rPr>
          <w:rFonts w:ascii="Arial" w:hAnsi="Arial" w:cs="Arial"/>
          <w:sz w:val="20"/>
          <w:szCs w:val="20"/>
        </w:rPr>
        <w:t>zł</w:t>
      </w:r>
      <w:r w:rsidR="00AF7E69" w:rsidRPr="002F6882">
        <w:rPr>
          <w:rFonts w:ascii="Arial" w:hAnsi="Arial" w:cs="Arial"/>
          <w:sz w:val="20"/>
          <w:szCs w:val="20"/>
        </w:rPr>
        <w:t xml:space="preserve"> netto. W</w:t>
      </w:r>
      <w:r>
        <w:rPr>
          <w:rFonts w:ascii="Arial" w:hAnsi="Arial" w:cs="Arial"/>
          <w:sz w:val="20"/>
          <w:szCs w:val="20"/>
        </w:rPr>
        <w:t>ykonawca</w:t>
      </w:r>
      <w:r w:rsidR="00AF7E69" w:rsidRPr="002F6882">
        <w:rPr>
          <w:rFonts w:ascii="Arial" w:hAnsi="Arial" w:cs="Arial"/>
          <w:sz w:val="20"/>
          <w:szCs w:val="20"/>
        </w:rPr>
        <w:t xml:space="preserve"> przedłożył BIOZ i PZJ, Harmonogram Robót i Plan Płatności oraz realizował roboty ferromagnetyczne </w:t>
      </w:r>
      <w:r>
        <w:rPr>
          <w:rFonts w:ascii="Arial" w:hAnsi="Arial" w:cs="Arial"/>
          <w:sz w:val="20"/>
          <w:szCs w:val="20"/>
        </w:rPr>
        <w:t>i przygotowawcze;</w:t>
      </w:r>
    </w:p>
    <w:p w14:paraId="63EAD090" w14:textId="77777777" w:rsidR="00AF7E69" w:rsidRPr="002F6882" w:rsidRDefault="002F6882"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 xml:space="preserve">Nabrzeże Obrońców Poczty Polskiej i Nabrzeże Mew - w sierpniu 2017 r. zawarto umowę z Doraco Sp. z o.o. na realizację robót na kwotę 32. 883 996,39 </w:t>
      </w:r>
      <w:r>
        <w:rPr>
          <w:rFonts w:ascii="Arial" w:hAnsi="Arial" w:cs="Arial"/>
          <w:sz w:val="20"/>
          <w:szCs w:val="20"/>
        </w:rPr>
        <w:t>zł</w:t>
      </w:r>
      <w:r w:rsidR="00AF7E69" w:rsidRPr="002F6882">
        <w:rPr>
          <w:rFonts w:ascii="Arial" w:hAnsi="Arial" w:cs="Arial"/>
          <w:sz w:val="20"/>
          <w:szCs w:val="20"/>
        </w:rPr>
        <w:t xml:space="preserve"> netto. Rozpoczęto roboty budowlane, których zaawansowanie na dzień 31.12.2018 </w:t>
      </w:r>
      <w:r w:rsidR="00FF7FE0">
        <w:rPr>
          <w:rFonts w:ascii="Arial" w:hAnsi="Arial" w:cs="Arial"/>
          <w:sz w:val="20"/>
          <w:szCs w:val="20"/>
        </w:rPr>
        <w:t>r. wykonawca określił na 22,9%;</w:t>
      </w:r>
    </w:p>
    <w:p w14:paraId="4250045F" w14:textId="77777777" w:rsidR="00AF7E69" w:rsidRPr="002F6882" w:rsidRDefault="00FF7FE0"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Nabrzeże Oliwskie – wybrano wykonawcę robót budowlanych Konsorcjum firm - Lider Strabag Sp.</w:t>
      </w:r>
      <w:r w:rsidR="009F206C">
        <w:rPr>
          <w:rFonts w:ascii="Arial" w:hAnsi="Arial" w:cs="Arial"/>
          <w:sz w:val="20"/>
          <w:szCs w:val="20"/>
        </w:rPr>
        <w:br/>
      </w:r>
      <w:r w:rsidR="00AF7E69" w:rsidRPr="002F6882">
        <w:rPr>
          <w:rFonts w:ascii="Arial" w:hAnsi="Arial" w:cs="Arial"/>
          <w:sz w:val="20"/>
          <w:szCs w:val="20"/>
        </w:rPr>
        <w:t xml:space="preserve"> z o.o. oraz Partner Ed. Zueblin A.G. na kwotę 148 625, 008,11 </w:t>
      </w:r>
      <w:r w:rsidR="003F218A">
        <w:rPr>
          <w:rFonts w:ascii="Arial" w:hAnsi="Arial" w:cs="Arial"/>
          <w:sz w:val="20"/>
          <w:szCs w:val="20"/>
        </w:rPr>
        <w:t>zł</w:t>
      </w:r>
      <w:r w:rsidR="00AF7E69" w:rsidRPr="002F6882">
        <w:rPr>
          <w:rFonts w:ascii="Arial" w:hAnsi="Arial" w:cs="Arial"/>
          <w:sz w:val="20"/>
          <w:szCs w:val="20"/>
        </w:rPr>
        <w:t xml:space="preserve"> netto</w:t>
      </w:r>
      <w:r w:rsidR="002F6882">
        <w:rPr>
          <w:rFonts w:ascii="Arial" w:hAnsi="Arial" w:cs="Arial"/>
          <w:sz w:val="20"/>
          <w:szCs w:val="20"/>
        </w:rPr>
        <w:t>.</w:t>
      </w:r>
      <w:r w:rsidR="00AF7E69" w:rsidRPr="002F6882">
        <w:rPr>
          <w:rFonts w:ascii="Arial" w:hAnsi="Arial" w:cs="Arial"/>
          <w:sz w:val="20"/>
          <w:szCs w:val="20"/>
        </w:rPr>
        <w:t xml:space="preserve"> Termin zakończenia inwestycji 102 tygodnie od dnia podpisania umowy, którą zawarto w dniu 09.01.2019 r.</w:t>
      </w:r>
      <w:r w:rsidR="000B0DEA">
        <w:rPr>
          <w:rFonts w:ascii="Arial" w:hAnsi="Arial" w:cs="Arial"/>
          <w:sz w:val="20"/>
          <w:szCs w:val="20"/>
        </w:rPr>
        <w:t>;</w:t>
      </w:r>
      <w:r w:rsidR="00AF7E69" w:rsidRPr="002F6882">
        <w:rPr>
          <w:rFonts w:ascii="Arial" w:hAnsi="Arial" w:cs="Arial"/>
          <w:sz w:val="20"/>
          <w:szCs w:val="20"/>
        </w:rPr>
        <w:t xml:space="preserve"> </w:t>
      </w:r>
    </w:p>
    <w:p w14:paraId="12C4851C" w14:textId="77777777" w:rsidR="00AF7E69" w:rsidRPr="002F6882" w:rsidRDefault="000B0DEA"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Nabrzeże Zbożowe – w wyniku przetargu nieograniczonego został wybrany Wykonawca robót – Doraco Sp. z o.o. za kwotę 24 179 927,74</w:t>
      </w:r>
      <w:r w:rsidR="00AF7E69" w:rsidRPr="002F6882" w:rsidDel="002300D8">
        <w:rPr>
          <w:rFonts w:ascii="Arial" w:hAnsi="Arial" w:cs="Arial"/>
          <w:sz w:val="20"/>
          <w:szCs w:val="20"/>
        </w:rPr>
        <w:t xml:space="preserve"> </w:t>
      </w:r>
      <w:r>
        <w:rPr>
          <w:rFonts w:ascii="Arial" w:hAnsi="Arial" w:cs="Arial"/>
          <w:sz w:val="20"/>
          <w:szCs w:val="20"/>
        </w:rPr>
        <w:t xml:space="preserve">zł netto. </w:t>
      </w:r>
      <w:r w:rsidR="00AF7E69" w:rsidRPr="002F6882">
        <w:rPr>
          <w:rFonts w:ascii="Arial" w:hAnsi="Arial" w:cs="Arial"/>
          <w:sz w:val="20"/>
          <w:szCs w:val="20"/>
        </w:rPr>
        <w:t xml:space="preserve">W lipcu 2018 r. została podpisana umowa </w:t>
      </w:r>
      <w:r>
        <w:rPr>
          <w:rFonts w:ascii="Arial" w:hAnsi="Arial" w:cs="Arial"/>
          <w:sz w:val="20"/>
          <w:szCs w:val="20"/>
        </w:rPr>
        <w:br/>
      </w:r>
      <w:r w:rsidR="00AF7E69" w:rsidRPr="002F6882">
        <w:rPr>
          <w:rFonts w:ascii="Arial" w:hAnsi="Arial" w:cs="Arial"/>
          <w:sz w:val="20"/>
          <w:szCs w:val="20"/>
        </w:rPr>
        <w:t>z Wykonawcą</w:t>
      </w:r>
      <w:r>
        <w:rPr>
          <w:rFonts w:ascii="Arial" w:hAnsi="Arial" w:cs="Arial"/>
          <w:sz w:val="20"/>
          <w:szCs w:val="20"/>
        </w:rPr>
        <w:t xml:space="preserve">, który </w:t>
      </w:r>
      <w:r w:rsidR="00AF7E69" w:rsidRPr="002F6882">
        <w:rPr>
          <w:rFonts w:ascii="Arial" w:hAnsi="Arial" w:cs="Arial"/>
          <w:sz w:val="20"/>
          <w:szCs w:val="20"/>
        </w:rPr>
        <w:t>przedłożył BIOZ i PZJ, Harmonogram Robót i Plan Płatności oraz realizował roboty fe</w:t>
      </w:r>
      <w:r>
        <w:rPr>
          <w:rFonts w:ascii="Arial" w:hAnsi="Arial" w:cs="Arial"/>
          <w:sz w:val="20"/>
          <w:szCs w:val="20"/>
        </w:rPr>
        <w:t>rromagnetyczne i przygotowawcze;</w:t>
      </w:r>
    </w:p>
    <w:p w14:paraId="1833396C" w14:textId="77777777" w:rsidR="00AF7E69" w:rsidRPr="002F6882" w:rsidRDefault="000B0DEA"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Nabrzeże Wisłoujście - w wyniku przetargu nieograniczonego został wybrany Wykonawca robót – Doraco Sp. z o.o. za kwotę 29 859 143,05 </w:t>
      </w:r>
      <w:r>
        <w:rPr>
          <w:rFonts w:ascii="Arial" w:hAnsi="Arial" w:cs="Arial"/>
          <w:sz w:val="20"/>
          <w:szCs w:val="20"/>
        </w:rPr>
        <w:t xml:space="preserve">zł netto. </w:t>
      </w:r>
      <w:r w:rsidR="00AF7E69" w:rsidRPr="002F6882">
        <w:rPr>
          <w:rFonts w:ascii="Arial" w:hAnsi="Arial" w:cs="Arial"/>
          <w:sz w:val="20"/>
          <w:szCs w:val="20"/>
        </w:rPr>
        <w:t>W lipcu 2018 r. zosta</w:t>
      </w:r>
      <w:r>
        <w:rPr>
          <w:rFonts w:ascii="Arial" w:hAnsi="Arial" w:cs="Arial"/>
          <w:sz w:val="20"/>
          <w:szCs w:val="20"/>
        </w:rPr>
        <w:t xml:space="preserve">ła podpisana umowa </w:t>
      </w:r>
      <w:r w:rsidR="009F206C">
        <w:rPr>
          <w:rFonts w:ascii="Arial" w:hAnsi="Arial" w:cs="Arial"/>
          <w:sz w:val="20"/>
          <w:szCs w:val="20"/>
        </w:rPr>
        <w:br/>
      </w:r>
      <w:r>
        <w:rPr>
          <w:rFonts w:ascii="Arial" w:hAnsi="Arial" w:cs="Arial"/>
          <w:sz w:val="20"/>
          <w:szCs w:val="20"/>
        </w:rPr>
        <w:t xml:space="preserve">z Wykonawcą, który </w:t>
      </w:r>
      <w:r w:rsidR="00AF7E69" w:rsidRPr="002F6882">
        <w:rPr>
          <w:rFonts w:ascii="Arial" w:hAnsi="Arial" w:cs="Arial"/>
          <w:sz w:val="20"/>
          <w:szCs w:val="20"/>
        </w:rPr>
        <w:t>przedłożył BIOZ i PZJ, Harmonogram Robót i Plan Płatności oraz realizował roboty fe</w:t>
      </w:r>
      <w:r>
        <w:rPr>
          <w:rFonts w:ascii="Arial" w:hAnsi="Arial" w:cs="Arial"/>
          <w:sz w:val="20"/>
          <w:szCs w:val="20"/>
        </w:rPr>
        <w:t>rromagnetyczne i przygotowawcze;</w:t>
      </w:r>
    </w:p>
    <w:p w14:paraId="002EAB32" w14:textId="77777777" w:rsidR="00AF7E69" w:rsidRPr="002F6882" w:rsidRDefault="000B0DEA"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 xml:space="preserve">Nabrzeże Dworzec Drzewny – </w:t>
      </w:r>
      <w:r>
        <w:rPr>
          <w:rFonts w:ascii="Arial" w:hAnsi="Arial" w:cs="Arial"/>
          <w:sz w:val="20"/>
          <w:szCs w:val="20"/>
        </w:rPr>
        <w:t xml:space="preserve">w dniu </w:t>
      </w:r>
      <w:r w:rsidR="00AF7E69" w:rsidRPr="002F6882">
        <w:rPr>
          <w:rFonts w:ascii="Arial" w:hAnsi="Arial" w:cs="Arial"/>
          <w:sz w:val="20"/>
          <w:szCs w:val="20"/>
        </w:rPr>
        <w:t>8.06.2018</w:t>
      </w:r>
      <w:r>
        <w:rPr>
          <w:rFonts w:ascii="Arial" w:hAnsi="Arial" w:cs="Arial"/>
          <w:sz w:val="20"/>
          <w:szCs w:val="20"/>
        </w:rPr>
        <w:t xml:space="preserve"> </w:t>
      </w:r>
      <w:r w:rsidR="00AF7E69" w:rsidRPr="002F6882">
        <w:rPr>
          <w:rFonts w:ascii="Arial" w:hAnsi="Arial" w:cs="Arial"/>
          <w:sz w:val="20"/>
          <w:szCs w:val="20"/>
        </w:rPr>
        <w:t xml:space="preserve">r. została zawarta umowa z Budimex S.A. za kwotę 153 706 813,35 </w:t>
      </w:r>
      <w:r>
        <w:rPr>
          <w:rFonts w:ascii="Arial" w:hAnsi="Arial" w:cs="Arial"/>
          <w:sz w:val="20"/>
          <w:szCs w:val="20"/>
        </w:rPr>
        <w:t>zł netto.</w:t>
      </w:r>
      <w:r w:rsidR="00AF7E69" w:rsidRPr="002F6882">
        <w:rPr>
          <w:rFonts w:ascii="Arial" w:hAnsi="Arial" w:cs="Arial"/>
          <w:sz w:val="20"/>
          <w:szCs w:val="20"/>
        </w:rPr>
        <w:t xml:space="preserve"> W</w:t>
      </w:r>
      <w:r>
        <w:rPr>
          <w:rFonts w:ascii="Arial" w:hAnsi="Arial" w:cs="Arial"/>
          <w:sz w:val="20"/>
          <w:szCs w:val="20"/>
        </w:rPr>
        <w:t>ykonawca</w:t>
      </w:r>
      <w:r w:rsidR="00AF7E69" w:rsidRPr="002F6882">
        <w:rPr>
          <w:rFonts w:ascii="Arial" w:hAnsi="Arial" w:cs="Arial"/>
          <w:sz w:val="20"/>
          <w:szCs w:val="20"/>
        </w:rPr>
        <w:t xml:space="preserve"> przedłożył BIOZ i PZJ, Harmonogram Robót i Plan Płatności. Wykonywane było przeszukanie ferromagnetyczne i roboty przygotowawcze oraz roboty ziemne, rozpoczęto wykonywanie pali CFA i roboty w branży wod.-</w:t>
      </w:r>
      <w:r w:rsidR="00D70250">
        <w:rPr>
          <w:rFonts w:ascii="Arial" w:hAnsi="Arial" w:cs="Arial"/>
          <w:sz w:val="20"/>
          <w:szCs w:val="20"/>
        </w:rPr>
        <w:t xml:space="preserve"> </w:t>
      </w:r>
      <w:r w:rsidR="00AF7E69" w:rsidRPr="002F6882">
        <w:rPr>
          <w:rFonts w:ascii="Arial" w:hAnsi="Arial" w:cs="Arial"/>
          <w:sz w:val="20"/>
          <w:szCs w:val="20"/>
        </w:rPr>
        <w:t>kan.</w:t>
      </w:r>
    </w:p>
    <w:p w14:paraId="196A512B" w14:textId="77777777" w:rsidR="00AF7E69" w:rsidRPr="000B0DEA" w:rsidRDefault="00AF7E69" w:rsidP="00BF76C0">
      <w:pPr>
        <w:pStyle w:val="Akapitzlist"/>
        <w:numPr>
          <w:ilvl w:val="0"/>
          <w:numId w:val="3"/>
        </w:numPr>
        <w:spacing w:before="120" w:after="120" w:line="276" w:lineRule="auto"/>
        <w:jc w:val="both"/>
        <w:rPr>
          <w:rFonts w:ascii="Arial" w:hAnsi="Arial" w:cs="Arial"/>
          <w:b/>
          <w:sz w:val="20"/>
          <w:szCs w:val="20"/>
        </w:rPr>
      </w:pPr>
      <w:r w:rsidRPr="000B0DEA">
        <w:rPr>
          <w:rFonts w:ascii="Arial" w:hAnsi="Arial" w:cs="Arial"/>
          <w:b/>
          <w:sz w:val="20"/>
          <w:szCs w:val="20"/>
        </w:rPr>
        <w:t>Rozbudowa i modernizacja sieci drogowej i kolejowej w Porcie Zewnętrznym w Gdańsku</w:t>
      </w:r>
    </w:p>
    <w:p w14:paraId="1EB89459" w14:textId="66AF9521" w:rsidR="00AF7E69" w:rsidRPr="002F6882" w:rsidRDefault="00B625F6" w:rsidP="002F6882">
      <w:pPr>
        <w:spacing w:before="120" w:after="120" w:line="276" w:lineRule="auto"/>
        <w:jc w:val="both"/>
        <w:rPr>
          <w:rFonts w:ascii="Arial" w:hAnsi="Arial" w:cs="Arial"/>
          <w:sz w:val="20"/>
          <w:szCs w:val="20"/>
        </w:rPr>
      </w:pPr>
      <w:r>
        <w:rPr>
          <w:rFonts w:ascii="Arial" w:hAnsi="Arial" w:cs="Arial"/>
          <w:sz w:val="20"/>
          <w:szCs w:val="20"/>
        </w:rPr>
        <w:t>Projekt realizowany jest w ramach instrumentu „Łącząc Europę” (CEF)</w:t>
      </w:r>
      <w:r w:rsidR="00AF7E69" w:rsidRPr="002F6882">
        <w:rPr>
          <w:rFonts w:ascii="Arial" w:hAnsi="Arial" w:cs="Arial"/>
          <w:sz w:val="20"/>
          <w:szCs w:val="20"/>
        </w:rPr>
        <w:t xml:space="preserve">, szacowana wartość projektu to 122 mln </w:t>
      </w:r>
      <w:r w:rsidR="003B0705">
        <w:rPr>
          <w:rFonts w:ascii="Arial" w:hAnsi="Arial" w:cs="Arial"/>
          <w:sz w:val="20"/>
          <w:szCs w:val="20"/>
        </w:rPr>
        <w:t>zł</w:t>
      </w:r>
      <w:r w:rsidR="00AF7E69" w:rsidRPr="002F6882">
        <w:rPr>
          <w:rFonts w:ascii="Arial" w:hAnsi="Arial" w:cs="Arial"/>
          <w:sz w:val="20"/>
          <w:szCs w:val="20"/>
        </w:rPr>
        <w:t xml:space="preserve"> przy współfinansowaniu na poziomie 85% (dotacja w kwocie 104 mln </w:t>
      </w:r>
      <w:r w:rsidR="009D5E40">
        <w:rPr>
          <w:rFonts w:ascii="Arial" w:hAnsi="Arial" w:cs="Arial"/>
          <w:sz w:val="20"/>
          <w:szCs w:val="20"/>
        </w:rPr>
        <w:t>zł</w:t>
      </w:r>
      <w:r w:rsidR="00AF7E69" w:rsidRPr="002F6882">
        <w:rPr>
          <w:rFonts w:ascii="Arial" w:hAnsi="Arial" w:cs="Arial"/>
          <w:sz w:val="20"/>
          <w:szCs w:val="20"/>
        </w:rPr>
        <w:t>).</w:t>
      </w:r>
      <w:r w:rsidR="009D5E40">
        <w:rPr>
          <w:rFonts w:ascii="Arial" w:hAnsi="Arial" w:cs="Arial"/>
          <w:sz w:val="20"/>
          <w:szCs w:val="20"/>
        </w:rPr>
        <w:t xml:space="preserve"> </w:t>
      </w:r>
      <w:r w:rsidR="00401EFC">
        <w:rPr>
          <w:rFonts w:ascii="Arial" w:hAnsi="Arial" w:cs="Arial"/>
          <w:sz w:val="20"/>
          <w:szCs w:val="20"/>
        </w:rPr>
        <w:t>Realizacja projektu rozpoczęła się w lipcu 2018 r</w:t>
      </w:r>
      <w:r w:rsidR="00E825FF">
        <w:rPr>
          <w:rFonts w:ascii="Arial" w:hAnsi="Arial" w:cs="Arial"/>
          <w:sz w:val="20"/>
          <w:szCs w:val="20"/>
        </w:rPr>
        <w:t>.</w:t>
      </w:r>
      <w:r w:rsidR="00401EFC">
        <w:rPr>
          <w:rFonts w:ascii="Arial" w:hAnsi="Arial" w:cs="Arial"/>
          <w:sz w:val="20"/>
          <w:szCs w:val="20"/>
        </w:rPr>
        <w:t xml:space="preserve">, a jego zakończenie jest planowane na październik 2020 r. </w:t>
      </w:r>
      <w:r w:rsidR="00AF7E69" w:rsidRPr="002F6882">
        <w:rPr>
          <w:rFonts w:ascii="Arial" w:hAnsi="Arial" w:cs="Arial"/>
          <w:sz w:val="20"/>
          <w:szCs w:val="20"/>
        </w:rPr>
        <w:t>W</w:t>
      </w:r>
      <w:r w:rsidR="009C0CD5">
        <w:rPr>
          <w:rFonts w:ascii="Arial" w:hAnsi="Arial" w:cs="Arial"/>
          <w:sz w:val="20"/>
          <w:szCs w:val="20"/>
        </w:rPr>
        <w:t> </w:t>
      </w:r>
      <w:r w:rsidR="00AF7E69" w:rsidRPr="002F6882">
        <w:rPr>
          <w:rFonts w:ascii="Arial" w:hAnsi="Arial" w:cs="Arial"/>
          <w:sz w:val="20"/>
          <w:szCs w:val="20"/>
        </w:rPr>
        <w:t xml:space="preserve">wyniku przeprowadzonych postępowań przetargowych podpisano następujące umowy:   </w:t>
      </w:r>
    </w:p>
    <w:p w14:paraId="2A1FE53E" w14:textId="77777777" w:rsidR="009D5E40" w:rsidRDefault="009D5E40"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w marcu 2018 r. - z Inżynierem Kontraktu - firmą Sweco Consulting Sp. z o.o. na pełnienie nadzoru inwestorskiego zgodnie z prawem budowlanym oraz świadczenia usług Inżyniera według warunków FIDIC;</w:t>
      </w:r>
    </w:p>
    <w:p w14:paraId="24AA4F72" w14:textId="42C8F38B" w:rsidR="00AF7E69" w:rsidRPr="002F6882" w:rsidRDefault="009D5E40" w:rsidP="002F6882">
      <w:pPr>
        <w:spacing w:before="120" w:after="120" w:line="276" w:lineRule="auto"/>
        <w:jc w:val="both"/>
        <w:rPr>
          <w:rFonts w:ascii="Arial" w:hAnsi="Arial" w:cs="Arial"/>
          <w:sz w:val="20"/>
          <w:szCs w:val="20"/>
        </w:rPr>
      </w:pPr>
      <w:r>
        <w:rPr>
          <w:rFonts w:ascii="Arial" w:hAnsi="Arial" w:cs="Arial"/>
          <w:sz w:val="20"/>
          <w:szCs w:val="20"/>
        </w:rPr>
        <w:t>- w</w:t>
      </w:r>
      <w:r w:rsidR="00AF7E69" w:rsidRPr="002F6882">
        <w:rPr>
          <w:rFonts w:ascii="Arial" w:hAnsi="Arial" w:cs="Arial"/>
          <w:sz w:val="20"/>
          <w:szCs w:val="20"/>
        </w:rPr>
        <w:t xml:space="preserve"> lipcu 2018 r. umowa z Konsorcjum NDI S.A. i NDI Sp. z o.o. na wykonanie robot budowlanych. Kwota ryczałtowa Kontraktu: 142 961 707,45 </w:t>
      </w:r>
      <w:r w:rsidR="007D26D0">
        <w:rPr>
          <w:rFonts w:ascii="Arial" w:hAnsi="Arial" w:cs="Arial"/>
          <w:sz w:val="20"/>
          <w:szCs w:val="20"/>
        </w:rPr>
        <w:t>zł</w:t>
      </w:r>
      <w:r w:rsidR="00AF7E69" w:rsidRPr="002F6882">
        <w:rPr>
          <w:rFonts w:ascii="Arial" w:hAnsi="Arial" w:cs="Arial"/>
          <w:sz w:val="20"/>
          <w:szCs w:val="20"/>
        </w:rPr>
        <w:t xml:space="preserve"> netto. Wykonawca</w:t>
      </w:r>
      <w:r w:rsidR="007D26D0">
        <w:rPr>
          <w:rFonts w:ascii="Arial" w:hAnsi="Arial" w:cs="Arial"/>
          <w:sz w:val="20"/>
          <w:szCs w:val="20"/>
        </w:rPr>
        <w:t xml:space="preserve"> w 2018 r.</w:t>
      </w:r>
      <w:r w:rsidR="00AF7E69" w:rsidRPr="002F6882">
        <w:rPr>
          <w:rFonts w:ascii="Arial" w:hAnsi="Arial" w:cs="Arial"/>
          <w:sz w:val="20"/>
          <w:szCs w:val="20"/>
        </w:rPr>
        <w:t xml:space="preserve"> przekazał raport </w:t>
      </w:r>
      <w:r w:rsidR="007D26D0">
        <w:rPr>
          <w:rFonts w:ascii="Arial" w:hAnsi="Arial" w:cs="Arial"/>
          <w:sz w:val="20"/>
          <w:szCs w:val="20"/>
        </w:rPr>
        <w:br/>
      </w:r>
      <w:r w:rsidR="00AF7E69" w:rsidRPr="002F6882">
        <w:rPr>
          <w:rFonts w:ascii="Arial" w:hAnsi="Arial" w:cs="Arial"/>
          <w:sz w:val="20"/>
          <w:szCs w:val="20"/>
        </w:rPr>
        <w:t>z przeszukania ferromagnetycznego oraz dokonał inwentaryzacji obiektów budowlanych znajdujących się w obrębie Terenu Budowy i jego otoczeniu. Wykonawca wykonywał roboty</w:t>
      </w:r>
      <w:r w:rsidR="008058EC">
        <w:rPr>
          <w:rFonts w:ascii="Arial" w:hAnsi="Arial" w:cs="Arial"/>
          <w:sz w:val="20"/>
          <w:szCs w:val="20"/>
        </w:rPr>
        <w:t>, w tym</w:t>
      </w:r>
      <w:r w:rsidR="00AF7E69" w:rsidRPr="002F6882">
        <w:rPr>
          <w:rFonts w:ascii="Arial" w:hAnsi="Arial" w:cs="Arial"/>
          <w:sz w:val="20"/>
          <w:szCs w:val="20"/>
        </w:rPr>
        <w:t xml:space="preserve"> </w:t>
      </w:r>
      <w:r w:rsidR="0017019A">
        <w:rPr>
          <w:rFonts w:ascii="Arial" w:hAnsi="Arial" w:cs="Arial"/>
          <w:sz w:val="20"/>
          <w:szCs w:val="20"/>
        </w:rPr>
        <w:t xml:space="preserve">roboty </w:t>
      </w:r>
      <w:r w:rsidR="00AF7E69" w:rsidRPr="002F6882">
        <w:rPr>
          <w:rFonts w:ascii="Arial" w:hAnsi="Arial" w:cs="Arial"/>
          <w:sz w:val="20"/>
          <w:szCs w:val="20"/>
        </w:rPr>
        <w:t xml:space="preserve">przygotowawcze: obsługa geodezyjna, organizacja i utrzymanie zaplecza budowy, mobilizacja laboratorium, tymczasowa organizacja ruchu (objazdy tymczasowe, oznakowanie poziome, pionowe, projekty) wraz z jej utrzymaniem, utrzymanie czystości nawierzchni drogowych, odhumusowanie, roboty ziemne, wzmocnienia podłoża, podpory, obiekty inżynierskie, odwodnienie, montaż kanałów, montaż studni, kolizje elektryczne, kolizje sanitarne, kolizje telekomunikacyjne, montaż wpustów ulicznych, wycinki, nasypy. </w:t>
      </w:r>
      <w:r w:rsidR="007D26D0">
        <w:rPr>
          <w:rFonts w:ascii="Arial" w:hAnsi="Arial" w:cs="Arial"/>
          <w:sz w:val="20"/>
          <w:szCs w:val="20"/>
        </w:rPr>
        <w:t>W</w:t>
      </w:r>
      <w:r w:rsidR="00AF7E69" w:rsidRPr="002F6882">
        <w:rPr>
          <w:rFonts w:ascii="Arial" w:hAnsi="Arial" w:cs="Arial"/>
          <w:sz w:val="20"/>
          <w:szCs w:val="20"/>
        </w:rPr>
        <w:t xml:space="preserve"> toku realizacji są także certyfikacja podsystemów kolejowych i zmiana posadowienia obiektów inżynierskich i wzmocnienia gruntu. </w:t>
      </w:r>
    </w:p>
    <w:p w14:paraId="34B68CAD" w14:textId="77777777" w:rsidR="00AF7E69" w:rsidRPr="0017019A" w:rsidRDefault="00AF7E69" w:rsidP="00BF76C0">
      <w:pPr>
        <w:pStyle w:val="Akapitzlist"/>
        <w:numPr>
          <w:ilvl w:val="0"/>
          <w:numId w:val="3"/>
        </w:numPr>
        <w:spacing w:before="120" w:after="120" w:line="276" w:lineRule="auto"/>
        <w:jc w:val="both"/>
        <w:rPr>
          <w:rFonts w:ascii="Arial" w:hAnsi="Arial" w:cs="Arial"/>
          <w:b/>
          <w:sz w:val="20"/>
          <w:szCs w:val="20"/>
        </w:rPr>
      </w:pPr>
      <w:r w:rsidRPr="0017019A">
        <w:rPr>
          <w:rFonts w:ascii="Arial" w:hAnsi="Arial" w:cs="Arial"/>
          <w:b/>
          <w:sz w:val="20"/>
          <w:szCs w:val="20"/>
        </w:rPr>
        <w:t>Dokumentacja projektowa i środowiskowa dla rozbudowy i modernizacji węzłów  sieci bazowej w Porcie Gdańsk w zakresie inf</w:t>
      </w:r>
      <w:r w:rsidR="00406AF1">
        <w:rPr>
          <w:rFonts w:ascii="Arial" w:hAnsi="Arial" w:cs="Arial"/>
          <w:b/>
          <w:sz w:val="20"/>
          <w:szCs w:val="20"/>
        </w:rPr>
        <w:t>rastruktury drogowo - kolejowej</w:t>
      </w:r>
    </w:p>
    <w:p w14:paraId="5A3F8E88"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 xml:space="preserve">Projekt realizowany jest ze wsparciem z Programu CEF w wysokości 50 % kosztów kwalifikowanych. Wysokość dotacji udzielonej na niniejszy Projekt, to 527 492,00 </w:t>
      </w:r>
      <w:r w:rsidR="003C551C">
        <w:rPr>
          <w:rFonts w:ascii="Arial" w:hAnsi="Arial" w:cs="Arial"/>
          <w:sz w:val="20"/>
          <w:szCs w:val="20"/>
        </w:rPr>
        <w:t>e</w:t>
      </w:r>
      <w:r w:rsidRPr="002F6882">
        <w:rPr>
          <w:rFonts w:ascii="Arial" w:hAnsi="Arial" w:cs="Arial"/>
          <w:sz w:val="20"/>
          <w:szCs w:val="20"/>
        </w:rPr>
        <w:t>uro.</w:t>
      </w:r>
    </w:p>
    <w:p w14:paraId="534BCE66"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Działanie składa się z 3 zadań projektowych:</w:t>
      </w:r>
    </w:p>
    <w:p w14:paraId="1E39F47A" w14:textId="77777777" w:rsidR="00AF7E69" w:rsidRPr="002F6882" w:rsidRDefault="00E34A66"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 xml:space="preserve">Zad. 1  –  Układ drogowo – kolejowy rejonu Basenu Górniczego; </w:t>
      </w:r>
    </w:p>
    <w:p w14:paraId="3064A27F" w14:textId="77777777" w:rsidR="00AF7E69" w:rsidRPr="002F6882" w:rsidRDefault="00E34A66"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 xml:space="preserve">Zad. 2  –  Układ drogowo – kolejowy rejonu Nabrzeża Przemysłowego; </w:t>
      </w:r>
    </w:p>
    <w:p w14:paraId="1FBAA221" w14:textId="77777777" w:rsidR="00AF7E69" w:rsidRPr="002F6882" w:rsidRDefault="00E34A66"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Zad. 3 – Miejski układ drogowy wraz z lokalizacją zjazdów, obsługujący rejony Basenu Górniczego oraz Nabrzeża Przemysłowego.</w:t>
      </w:r>
    </w:p>
    <w:p w14:paraId="55EA841C"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 xml:space="preserve">Wykonawca przekazał ostateczną wersję Projektu wykonawczego, a następnie złożył wnioski do PUW o wydanie PnB. </w:t>
      </w:r>
    </w:p>
    <w:p w14:paraId="20DB01E3" w14:textId="77777777" w:rsidR="00AF7E69" w:rsidRPr="002378ED" w:rsidRDefault="00AF7E69" w:rsidP="00E34A66">
      <w:pPr>
        <w:pStyle w:val="spis2"/>
        <w:rPr>
          <w:rFonts w:ascii="Arial" w:hAnsi="Arial" w:cs="Arial"/>
          <w:sz w:val="20"/>
          <w:szCs w:val="20"/>
        </w:rPr>
      </w:pPr>
      <w:r w:rsidRPr="002378ED">
        <w:rPr>
          <w:rFonts w:ascii="Arial" w:hAnsi="Arial" w:cs="Arial"/>
          <w:sz w:val="20"/>
          <w:szCs w:val="20"/>
        </w:rPr>
        <w:t>Poprawa stanu środowiska morskiego i ochrona brzegu morskiego</w:t>
      </w:r>
      <w:r w:rsidR="00E34A66" w:rsidRPr="002378ED">
        <w:rPr>
          <w:rFonts w:ascii="Arial" w:hAnsi="Arial" w:cs="Arial"/>
          <w:sz w:val="20"/>
          <w:szCs w:val="20"/>
        </w:rPr>
        <w:t>.</w:t>
      </w:r>
    </w:p>
    <w:p w14:paraId="0CE42188"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Zgodnie z obowiązkiem ustawowym, podobnie jak w latach poprzednich, w 2018 r</w:t>
      </w:r>
      <w:r w:rsidR="00E34A66">
        <w:rPr>
          <w:rFonts w:ascii="Arial" w:hAnsi="Arial" w:cs="Arial"/>
          <w:sz w:val="20"/>
          <w:szCs w:val="20"/>
        </w:rPr>
        <w:t>.</w:t>
      </w:r>
      <w:r w:rsidRPr="002F6882">
        <w:rPr>
          <w:rFonts w:ascii="Arial" w:hAnsi="Arial" w:cs="Arial"/>
          <w:sz w:val="20"/>
          <w:szCs w:val="20"/>
        </w:rPr>
        <w:t xml:space="preserve"> ZMPG S</w:t>
      </w:r>
      <w:r w:rsidR="00E34A66">
        <w:rPr>
          <w:rFonts w:ascii="Arial" w:hAnsi="Arial" w:cs="Arial"/>
          <w:sz w:val="20"/>
          <w:szCs w:val="20"/>
        </w:rPr>
        <w:t>.</w:t>
      </w:r>
      <w:r w:rsidRPr="002F6882">
        <w:rPr>
          <w:rFonts w:ascii="Arial" w:hAnsi="Arial" w:cs="Arial"/>
          <w:sz w:val="20"/>
          <w:szCs w:val="20"/>
        </w:rPr>
        <w:t>A</w:t>
      </w:r>
      <w:r w:rsidR="00E34A66">
        <w:rPr>
          <w:rFonts w:ascii="Arial" w:hAnsi="Arial" w:cs="Arial"/>
          <w:sz w:val="20"/>
          <w:szCs w:val="20"/>
        </w:rPr>
        <w:t>.</w:t>
      </w:r>
      <w:r w:rsidRPr="002F6882">
        <w:rPr>
          <w:rFonts w:ascii="Arial" w:hAnsi="Arial" w:cs="Arial"/>
          <w:sz w:val="20"/>
          <w:szCs w:val="20"/>
        </w:rPr>
        <w:t xml:space="preserve"> wykonywał monitoring poziomu substancji zanieczyszczających w basenach portowych oraz wejściach do portu. Wyniki badań wskazują, że poziom zanieczyszczeń w wodach portowych jest niski. Zgodnie z warunkami obowiązujących decyzji na specjalne korzystanie z wód, wykonywane są badania ścieków opadowych oraz bytowych odprowadzanych przez portową sieć kanalizacyjną.</w:t>
      </w:r>
    </w:p>
    <w:p w14:paraId="26E71D7F"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 roku 2018 ZMPG S.A. zle</w:t>
      </w:r>
      <w:r w:rsidR="001C7873">
        <w:rPr>
          <w:rFonts w:ascii="Arial" w:hAnsi="Arial" w:cs="Arial"/>
          <w:sz w:val="20"/>
          <w:szCs w:val="20"/>
        </w:rPr>
        <w:t>cił wykonanie na pirsie Rudowym w Porcie Północnym</w:t>
      </w:r>
      <w:r w:rsidRPr="002F6882">
        <w:rPr>
          <w:rFonts w:ascii="Arial" w:hAnsi="Arial" w:cs="Arial"/>
          <w:sz w:val="20"/>
          <w:szCs w:val="20"/>
        </w:rPr>
        <w:t xml:space="preserve"> siedlisk zastępczych dla kolonii lęgowej rybitw rzecznych, która stanowi przedmiot ochrony w obszarze Natura 2000 Zatoka Pucka PLB 220005. W wyniku przedmiotowych prac powstało 5 platform znajdujących się na bocznych podporach wygrodzonej części pirsu Rudowego. W 2018 </w:t>
      </w:r>
      <w:r w:rsidR="001C7873">
        <w:rPr>
          <w:rFonts w:ascii="Arial" w:hAnsi="Arial" w:cs="Arial"/>
          <w:sz w:val="20"/>
          <w:szCs w:val="20"/>
        </w:rPr>
        <w:t xml:space="preserve">r. </w:t>
      </w:r>
      <w:r w:rsidRPr="002F6882">
        <w:rPr>
          <w:rFonts w:ascii="Arial" w:hAnsi="Arial" w:cs="Arial"/>
          <w:sz w:val="20"/>
          <w:szCs w:val="20"/>
        </w:rPr>
        <w:t>na platformach i poza nimi gniazdowało łącznie co najmniej 150 par rybitw rzecznych i 13 par śmieszek.</w:t>
      </w:r>
    </w:p>
    <w:p w14:paraId="0B6368BB"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 xml:space="preserve">W 2018 </w:t>
      </w:r>
      <w:r w:rsidR="00002236">
        <w:rPr>
          <w:rFonts w:ascii="Arial" w:hAnsi="Arial" w:cs="Arial"/>
          <w:sz w:val="20"/>
          <w:szCs w:val="20"/>
        </w:rPr>
        <w:t xml:space="preserve">r. </w:t>
      </w:r>
      <w:r w:rsidRPr="002F6882">
        <w:rPr>
          <w:rFonts w:ascii="Arial" w:hAnsi="Arial" w:cs="Arial"/>
          <w:sz w:val="20"/>
          <w:szCs w:val="20"/>
        </w:rPr>
        <w:t xml:space="preserve">na Nabrzeżu Westerplatte rozpoczęto inwestycję przebudowy sieci wodociągowej i kanalizacji sanitarnej, w ramach której ZMPG </w:t>
      </w:r>
      <w:r w:rsidR="002B72C2">
        <w:rPr>
          <w:rFonts w:ascii="Arial" w:hAnsi="Arial" w:cs="Arial"/>
          <w:sz w:val="20"/>
          <w:szCs w:val="20"/>
        </w:rPr>
        <w:t xml:space="preserve">S.A. </w:t>
      </w:r>
      <w:r w:rsidRPr="002F6882">
        <w:rPr>
          <w:rFonts w:ascii="Arial" w:hAnsi="Arial" w:cs="Arial"/>
          <w:sz w:val="20"/>
          <w:szCs w:val="20"/>
        </w:rPr>
        <w:t>realizuje przedsięwzięcia polegające na budowie 5 punktów odbioru ścieków ze statków. Ponadto w ramach modernizacji nabrzeży wyłoniony wykonawca na przebudo</w:t>
      </w:r>
      <w:r w:rsidR="002B72C2">
        <w:rPr>
          <w:rFonts w:ascii="Arial" w:hAnsi="Arial" w:cs="Arial"/>
          <w:sz w:val="20"/>
          <w:szCs w:val="20"/>
        </w:rPr>
        <w:t xml:space="preserve">wę Nabrzeży Dworca Drzewnego i Nabrzeża Ziółkowskiego </w:t>
      </w:r>
      <w:r w:rsidRPr="002F6882">
        <w:rPr>
          <w:rFonts w:ascii="Arial" w:hAnsi="Arial" w:cs="Arial"/>
          <w:sz w:val="20"/>
          <w:szCs w:val="20"/>
        </w:rPr>
        <w:t>wykona 3 punkty odbioru ścieków ze statków.</w:t>
      </w:r>
    </w:p>
    <w:p w14:paraId="7FB58E5E"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 celu ograniczenia emisji zanieczyszczeń do wód powierzchniowych z dzia</w:t>
      </w:r>
      <w:r w:rsidR="003817CC">
        <w:rPr>
          <w:rFonts w:ascii="Arial" w:hAnsi="Arial" w:cs="Arial"/>
          <w:sz w:val="20"/>
          <w:szCs w:val="20"/>
        </w:rPr>
        <w:t>łalności portowej</w:t>
      </w:r>
      <w:r w:rsidRPr="002F6882">
        <w:rPr>
          <w:rFonts w:ascii="Arial" w:hAnsi="Arial" w:cs="Arial"/>
          <w:sz w:val="20"/>
          <w:szCs w:val="20"/>
        </w:rPr>
        <w:t xml:space="preserve"> w ramach tr</w:t>
      </w:r>
      <w:r w:rsidR="003817CC">
        <w:rPr>
          <w:rFonts w:ascii="Arial" w:hAnsi="Arial" w:cs="Arial"/>
          <w:sz w:val="20"/>
          <w:szCs w:val="20"/>
        </w:rPr>
        <w:t xml:space="preserve">wających  modernizacji nabrzeży kontynuowane są prace </w:t>
      </w:r>
      <w:r w:rsidRPr="002F6882">
        <w:rPr>
          <w:rFonts w:ascii="Arial" w:hAnsi="Arial" w:cs="Arial"/>
          <w:sz w:val="20"/>
          <w:szCs w:val="20"/>
        </w:rPr>
        <w:t>rozbudowy sieci kanalizacji deszczowej oraz systemów podczyszczania wszystkich odprowadzanych ścieków opadowych.</w:t>
      </w:r>
    </w:p>
    <w:p w14:paraId="7323B471"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 związku z wejściem w życie Międzynarodowej konwencji o</w:t>
      </w:r>
      <w:r w:rsidR="003817CC">
        <w:rPr>
          <w:rFonts w:ascii="Arial" w:hAnsi="Arial" w:cs="Arial"/>
          <w:sz w:val="20"/>
          <w:szCs w:val="20"/>
        </w:rPr>
        <w:t xml:space="preserve"> kontroli i postępowaniu </w:t>
      </w:r>
      <w:r w:rsidRPr="002F6882">
        <w:rPr>
          <w:rFonts w:ascii="Arial" w:hAnsi="Arial" w:cs="Arial"/>
          <w:sz w:val="20"/>
          <w:szCs w:val="20"/>
        </w:rPr>
        <w:t xml:space="preserve">z wodami balastowymi i osadami ze statków, ZMPG S.A. realizuje badania środowiska wód portowych pod kątem obecności gatunków obcych. Badania odbywają się zgodnie z procedurą wypracowaną przez wspólną Grupę Roboczą powołaną przez Sekretariaty Konwencji HELCOM i Konwencji OSPAR. Wyniki badań dadzą podstawę merytoryczną na potrzeby procedury udzielania zwolnień ze stosowania wymogów konwencji balastowej (standardu D-2). Zwolnienia będą udzielane statkom przez administrację morską na wniosek armatora. W połowie kwietnia </w:t>
      </w:r>
      <w:r w:rsidR="003A2406">
        <w:rPr>
          <w:rFonts w:ascii="Arial" w:hAnsi="Arial" w:cs="Arial"/>
          <w:sz w:val="20"/>
          <w:szCs w:val="20"/>
        </w:rPr>
        <w:t xml:space="preserve">2018 r. </w:t>
      </w:r>
      <w:r w:rsidRPr="002F6882">
        <w:rPr>
          <w:rFonts w:ascii="Arial" w:hAnsi="Arial" w:cs="Arial"/>
          <w:sz w:val="20"/>
          <w:szCs w:val="20"/>
        </w:rPr>
        <w:t>odbył się pierwszy pobór prób</w:t>
      </w:r>
      <w:r w:rsidR="003A2406">
        <w:rPr>
          <w:rFonts w:ascii="Arial" w:hAnsi="Arial" w:cs="Arial"/>
          <w:sz w:val="20"/>
          <w:szCs w:val="20"/>
        </w:rPr>
        <w:t>ek</w:t>
      </w:r>
      <w:r w:rsidRPr="002F6882">
        <w:rPr>
          <w:rFonts w:ascii="Arial" w:hAnsi="Arial" w:cs="Arial"/>
          <w:sz w:val="20"/>
          <w:szCs w:val="20"/>
        </w:rPr>
        <w:t xml:space="preserve"> oraz wystawienie zestawów do porastania na sześciu stanowiskach badawczych. Pobrano próbki do badań ws</w:t>
      </w:r>
      <w:r w:rsidR="003A2406">
        <w:rPr>
          <w:rFonts w:ascii="Arial" w:hAnsi="Arial" w:cs="Arial"/>
          <w:sz w:val="20"/>
          <w:szCs w:val="20"/>
        </w:rPr>
        <w:t xml:space="preserve">zystkich wymaganych parametrów. </w:t>
      </w:r>
      <w:r w:rsidRPr="002F6882">
        <w:rPr>
          <w:rFonts w:ascii="Arial" w:hAnsi="Arial" w:cs="Arial"/>
          <w:sz w:val="20"/>
          <w:szCs w:val="20"/>
        </w:rPr>
        <w:t>Kolejny etap badań odbył się w okresie letniego maksimum rozwoju organizmów wodnych (sierpień/wrzesień). Od pierwszego poboru prób trwa</w:t>
      </w:r>
      <w:r w:rsidR="003A2406">
        <w:rPr>
          <w:rFonts w:ascii="Arial" w:hAnsi="Arial" w:cs="Arial"/>
          <w:sz w:val="20"/>
          <w:szCs w:val="20"/>
        </w:rPr>
        <w:t>ła</w:t>
      </w:r>
      <w:r w:rsidRPr="002F6882">
        <w:rPr>
          <w:rFonts w:ascii="Arial" w:hAnsi="Arial" w:cs="Arial"/>
          <w:sz w:val="20"/>
          <w:szCs w:val="20"/>
        </w:rPr>
        <w:t xml:space="preserve"> analiza laboratoryjna pobranego materiału. Trwa opracowywanie Protokołów badania portu dla poszczególnych stanowisk. W związku z wyizolowaniem bakterii chorobotwórczych (nie objętych zapisami k</w:t>
      </w:r>
      <w:r w:rsidR="003A2406">
        <w:rPr>
          <w:rFonts w:ascii="Arial" w:hAnsi="Arial" w:cs="Arial"/>
          <w:sz w:val="20"/>
          <w:szCs w:val="20"/>
        </w:rPr>
        <w:t xml:space="preserve">onwencji balastowej) </w:t>
      </w:r>
      <w:r w:rsidR="003A2406">
        <w:rPr>
          <w:rFonts w:ascii="Arial" w:hAnsi="Arial" w:cs="Arial"/>
          <w:sz w:val="20"/>
          <w:szCs w:val="20"/>
        </w:rPr>
        <w:br/>
        <w:t xml:space="preserve">w próbkach </w:t>
      </w:r>
      <w:r w:rsidRPr="002F6882">
        <w:rPr>
          <w:rFonts w:ascii="Arial" w:hAnsi="Arial" w:cs="Arial"/>
          <w:sz w:val="20"/>
          <w:szCs w:val="20"/>
        </w:rPr>
        <w:t xml:space="preserve">mikrobiologicznych, trwa przygotowanie informacji na temat ewentualnych zagrożeń. </w:t>
      </w:r>
    </w:p>
    <w:p w14:paraId="3BCE3C7A"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 związku z intensywnym rozwojem prawodawstwa w roku 2018, podobnie jak w latach poprzednich, przedstawiciele ZMPG S.A. uczestniczyli we wszelkich konsultacjach aktów prawnych dotyczących ochrony środowiska. Jednocześnie przedstawiciele ZMPG biorą czynny udział w pracach grup takich jak: GREEN TEAM, HELCOM/OSPAR TG BALLAST, Cooperation Platform on Special Area According to MARPOL Annex IV (CP PRF).</w:t>
      </w:r>
    </w:p>
    <w:p w14:paraId="71F2DDAC" w14:textId="77777777" w:rsidR="00AF7E69" w:rsidRPr="00FD3333" w:rsidRDefault="00AF7E69" w:rsidP="00BF76C0">
      <w:pPr>
        <w:pStyle w:val="Akapitzlist"/>
        <w:numPr>
          <w:ilvl w:val="0"/>
          <w:numId w:val="3"/>
        </w:numPr>
        <w:spacing w:before="120" w:after="120" w:line="276" w:lineRule="auto"/>
        <w:jc w:val="both"/>
        <w:rPr>
          <w:rFonts w:ascii="Arial" w:hAnsi="Arial" w:cs="Arial"/>
          <w:b/>
          <w:sz w:val="20"/>
          <w:szCs w:val="20"/>
        </w:rPr>
      </w:pPr>
      <w:r w:rsidRPr="00FD3333">
        <w:rPr>
          <w:rFonts w:ascii="Arial" w:hAnsi="Arial" w:cs="Arial"/>
          <w:b/>
          <w:sz w:val="20"/>
          <w:szCs w:val="20"/>
        </w:rPr>
        <w:t>Rozwój i modernizacja portów, przystani oraz pomostów cumowniczych służących do aktywnego uprawiania turystyki</w:t>
      </w:r>
      <w:r w:rsidR="00FD3333">
        <w:rPr>
          <w:rFonts w:ascii="Arial" w:hAnsi="Arial" w:cs="Arial"/>
          <w:b/>
          <w:sz w:val="20"/>
          <w:szCs w:val="20"/>
        </w:rPr>
        <w:t xml:space="preserve"> i sportów morskich</w:t>
      </w:r>
    </w:p>
    <w:p w14:paraId="0D2F0906"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 xml:space="preserve">W ramach projektu „Estetyzacja Portu Gdańsk” ZMPG </w:t>
      </w:r>
      <w:r w:rsidR="00FD3333">
        <w:rPr>
          <w:rFonts w:ascii="Arial" w:hAnsi="Arial" w:cs="Arial"/>
          <w:sz w:val="20"/>
          <w:szCs w:val="20"/>
        </w:rPr>
        <w:t xml:space="preserve">S.A. </w:t>
      </w:r>
      <w:r w:rsidRPr="002F6882">
        <w:rPr>
          <w:rFonts w:ascii="Arial" w:hAnsi="Arial" w:cs="Arial"/>
          <w:sz w:val="20"/>
          <w:szCs w:val="20"/>
        </w:rPr>
        <w:t>realizuje przedsięwzięcie budowy tzw. Infoboxu - obiektu kubaturowego na Główce Portu, który ma składać się z</w:t>
      </w:r>
      <w:r w:rsidR="00FD3333">
        <w:rPr>
          <w:rFonts w:ascii="Arial" w:hAnsi="Arial" w:cs="Arial"/>
          <w:sz w:val="20"/>
          <w:szCs w:val="20"/>
        </w:rPr>
        <w:t xml:space="preserve"> sali wielofunkcyjnej</w:t>
      </w:r>
      <w:r w:rsidRPr="002F6882">
        <w:rPr>
          <w:rFonts w:ascii="Arial" w:hAnsi="Arial" w:cs="Arial"/>
          <w:sz w:val="20"/>
          <w:szCs w:val="20"/>
        </w:rPr>
        <w:t>,</w:t>
      </w:r>
      <w:r w:rsidR="00FD3333">
        <w:rPr>
          <w:rFonts w:ascii="Arial" w:hAnsi="Arial" w:cs="Arial"/>
          <w:sz w:val="20"/>
          <w:szCs w:val="20"/>
        </w:rPr>
        <w:t xml:space="preserve"> powierzchni</w:t>
      </w:r>
      <w:r w:rsidRPr="002F6882">
        <w:rPr>
          <w:rFonts w:ascii="Arial" w:hAnsi="Arial" w:cs="Arial"/>
          <w:sz w:val="20"/>
          <w:szCs w:val="20"/>
        </w:rPr>
        <w:t xml:space="preserve"> ekspozycyjno-edukacyjn</w:t>
      </w:r>
      <w:r w:rsidR="00FD3333">
        <w:rPr>
          <w:rFonts w:ascii="Arial" w:hAnsi="Arial" w:cs="Arial"/>
          <w:sz w:val="20"/>
          <w:szCs w:val="20"/>
        </w:rPr>
        <w:t>ej</w:t>
      </w:r>
      <w:r w:rsidRPr="002F6882">
        <w:rPr>
          <w:rFonts w:ascii="Arial" w:hAnsi="Arial" w:cs="Arial"/>
          <w:sz w:val="20"/>
          <w:szCs w:val="20"/>
        </w:rPr>
        <w:t xml:space="preserve"> w po</w:t>
      </w:r>
      <w:r w:rsidR="00FD3333">
        <w:rPr>
          <w:rFonts w:ascii="Arial" w:hAnsi="Arial" w:cs="Arial"/>
          <w:sz w:val="20"/>
          <w:szCs w:val="20"/>
        </w:rPr>
        <w:t>staci infoboxu nt. Portu Gdańsk oraz szkółki żeglarskiej</w:t>
      </w:r>
      <w:r w:rsidRPr="002F6882">
        <w:rPr>
          <w:rFonts w:ascii="Arial" w:hAnsi="Arial" w:cs="Arial"/>
          <w:sz w:val="20"/>
          <w:szCs w:val="20"/>
        </w:rPr>
        <w:t xml:space="preserve"> dla dzieci i młodzieży.</w:t>
      </w:r>
    </w:p>
    <w:p w14:paraId="6079D044"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Wykonano dokumentację projektową na budowę wielofunkcyjnego obiektu kubaturowego oraz służącą przygotowaniu i przeprowadze</w:t>
      </w:r>
      <w:r w:rsidR="00765351">
        <w:rPr>
          <w:rFonts w:ascii="Arial" w:hAnsi="Arial" w:cs="Arial"/>
          <w:sz w:val="20"/>
          <w:szCs w:val="20"/>
        </w:rPr>
        <w:t xml:space="preserve">niu postępowania przetargowego </w:t>
      </w:r>
      <w:r w:rsidRPr="002F6882">
        <w:rPr>
          <w:rFonts w:ascii="Arial" w:hAnsi="Arial" w:cs="Arial"/>
          <w:sz w:val="20"/>
          <w:szCs w:val="20"/>
        </w:rPr>
        <w:t>na wybór wykonawcy robót budowlanych. Wstępnie planuje się przeprowadzenie postępowania przetargowego na wybór Wykonawcy Robót  Budowl</w:t>
      </w:r>
      <w:r w:rsidR="00765351">
        <w:rPr>
          <w:rFonts w:ascii="Arial" w:hAnsi="Arial" w:cs="Arial"/>
          <w:sz w:val="20"/>
          <w:szCs w:val="20"/>
        </w:rPr>
        <w:t xml:space="preserve">anych </w:t>
      </w:r>
      <w:r w:rsidRPr="002F6882">
        <w:rPr>
          <w:rFonts w:ascii="Arial" w:hAnsi="Arial" w:cs="Arial"/>
          <w:sz w:val="20"/>
          <w:szCs w:val="20"/>
        </w:rPr>
        <w:t>w III kwartale 2019 r.</w:t>
      </w:r>
    </w:p>
    <w:p w14:paraId="3C37BD89" w14:textId="77777777" w:rsidR="00AF7E69" w:rsidRPr="001601A8" w:rsidRDefault="001601A8" w:rsidP="00BF76C0">
      <w:pPr>
        <w:pStyle w:val="Akapitzlist"/>
        <w:numPr>
          <w:ilvl w:val="0"/>
          <w:numId w:val="3"/>
        </w:numPr>
        <w:spacing w:before="120" w:after="120" w:line="276" w:lineRule="auto"/>
        <w:jc w:val="both"/>
        <w:rPr>
          <w:rFonts w:ascii="Arial" w:hAnsi="Arial" w:cs="Arial"/>
          <w:b/>
          <w:sz w:val="20"/>
          <w:szCs w:val="20"/>
        </w:rPr>
      </w:pPr>
      <w:r>
        <w:rPr>
          <w:rFonts w:ascii="Arial" w:hAnsi="Arial" w:cs="Arial"/>
          <w:b/>
          <w:sz w:val="20"/>
          <w:szCs w:val="20"/>
        </w:rPr>
        <w:t>Współpraca ze startupami</w:t>
      </w:r>
    </w:p>
    <w:p w14:paraId="416EFBC6"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Zarząd Morskiego Portu Gdańsk S</w:t>
      </w:r>
      <w:r w:rsidR="00AD46E0">
        <w:rPr>
          <w:rFonts w:ascii="Arial" w:hAnsi="Arial" w:cs="Arial"/>
          <w:sz w:val="20"/>
          <w:szCs w:val="20"/>
        </w:rPr>
        <w:t>.</w:t>
      </w:r>
      <w:r w:rsidRPr="002F6882">
        <w:rPr>
          <w:rFonts w:ascii="Arial" w:hAnsi="Arial" w:cs="Arial"/>
          <w:sz w:val="20"/>
          <w:szCs w:val="20"/>
        </w:rPr>
        <w:t>A</w:t>
      </w:r>
      <w:r w:rsidR="00AD46E0">
        <w:rPr>
          <w:rFonts w:ascii="Arial" w:hAnsi="Arial" w:cs="Arial"/>
          <w:sz w:val="20"/>
          <w:szCs w:val="20"/>
        </w:rPr>
        <w:t>.</w:t>
      </w:r>
      <w:r w:rsidRPr="002F6882">
        <w:rPr>
          <w:rFonts w:ascii="Arial" w:hAnsi="Arial" w:cs="Arial"/>
          <w:sz w:val="20"/>
          <w:szCs w:val="20"/>
        </w:rPr>
        <w:t xml:space="preserve"> posiada doświadczenie w realizacji projektów innowacyjnych we współpracy ze startupami. ZMPG </w:t>
      </w:r>
      <w:r w:rsidR="00C62DB6">
        <w:rPr>
          <w:rFonts w:ascii="Arial" w:hAnsi="Arial" w:cs="Arial"/>
          <w:sz w:val="20"/>
          <w:szCs w:val="20"/>
        </w:rPr>
        <w:t xml:space="preserve">S.A. </w:t>
      </w:r>
      <w:r w:rsidRPr="002F6882">
        <w:rPr>
          <w:rFonts w:ascii="Arial" w:hAnsi="Arial" w:cs="Arial"/>
          <w:sz w:val="20"/>
          <w:szCs w:val="20"/>
        </w:rPr>
        <w:t>był partnerem w organizowanym przez Pomorską Specjalną Strefę Ekonomiczną programie akceleracyjnym Space3ac Intermodal Transportation, rea</w:t>
      </w:r>
      <w:r w:rsidR="00C62DB6">
        <w:rPr>
          <w:rFonts w:ascii="Arial" w:hAnsi="Arial" w:cs="Arial"/>
          <w:sz w:val="20"/>
          <w:szCs w:val="20"/>
        </w:rPr>
        <w:t xml:space="preserve">lizowanym </w:t>
      </w:r>
      <w:r w:rsidR="00C62DB6">
        <w:rPr>
          <w:rFonts w:ascii="Arial" w:hAnsi="Arial" w:cs="Arial"/>
          <w:sz w:val="20"/>
          <w:szCs w:val="20"/>
        </w:rPr>
        <w:br/>
        <w:t xml:space="preserve">w ramach projektu pn. </w:t>
      </w:r>
      <w:r w:rsidRPr="002F6882">
        <w:rPr>
          <w:rFonts w:ascii="Arial" w:hAnsi="Arial" w:cs="Arial"/>
          <w:sz w:val="20"/>
          <w:szCs w:val="20"/>
        </w:rPr>
        <w:t>„Techniki satelitarne dla transportu intermodalnego” wsp</w:t>
      </w:r>
      <w:r w:rsidR="00C62DB6">
        <w:rPr>
          <w:rFonts w:ascii="Arial" w:hAnsi="Arial" w:cs="Arial"/>
          <w:sz w:val="20"/>
          <w:szCs w:val="20"/>
        </w:rPr>
        <w:t>ółfinansowanego ze środków UE</w:t>
      </w:r>
      <w:r w:rsidRPr="002F6882">
        <w:rPr>
          <w:rFonts w:ascii="Arial" w:hAnsi="Arial" w:cs="Arial"/>
          <w:sz w:val="20"/>
          <w:szCs w:val="20"/>
        </w:rPr>
        <w:t>. Celem programu był rozwój polskiego przemysłu kosmicznego poprzez łączenie potrzeb dużych przedsiębiorstw z poten</w:t>
      </w:r>
      <w:r w:rsidR="001601A8">
        <w:rPr>
          <w:rFonts w:ascii="Arial" w:hAnsi="Arial" w:cs="Arial"/>
          <w:sz w:val="20"/>
          <w:szCs w:val="20"/>
        </w:rPr>
        <w:t xml:space="preserve">cjałem startupów. </w:t>
      </w:r>
      <w:r w:rsidRPr="002F6882">
        <w:rPr>
          <w:rFonts w:ascii="Arial" w:hAnsi="Arial" w:cs="Arial"/>
          <w:sz w:val="20"/>
          <w:szCs w:val="20"/>
        </w:rPr>
        <w:t>Efektem końcowym programu było wdrożenie produktów wypracowanych przez startupy. W ramach programu w Porcie Gdańsk wdrożono dwa innowacyjne rozwiązania:</w:t>
      </w:r>
    </w:p>
    <w:p w14:paraId="59BDADF3" w14:textId="77777777" w:rsidR="00AF7E69" w:rsidRPr="002F6882" w:rsidRDefault="008A7150"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system zarządzania ruchem na terenie Nabrzeża Oliwskiego</w:t>
      </w:r>
      <w:r>
        <w:rPr>
          <w:rFonts w:ascii="Arial" w:hAnsi="Arial" w:cs="Arial"/>
          <w:sz w:val="20"/>
          <w:szCs w:val="20"/>
        </w:rPr>
        <w:t xml:space="preserve"> - c</w:t>
      </w:r>
      <w:r w:rsidR="00AF7E69" w:rsidRPr="002F6882">
        <w:rPr>
          <w:rFonts w:ascii="Arial" w:hAnsi="Arial" w:cs="Arial"/>
          <w:sz w:val="20"/>
          <w:szCs w:val="20"/>
        </w:rPr>
        <w:t>elem projektu zrealizowanego przez startup Parkanizer sp. z o.o. jest rozpoznanie, kontrola dostępu i zarządzanie ruchem w zakresie pojazdów w obszarze parkingów buforowych i terminali w centrach logistycznych Portu Gdańsk</w:t>
      </w:r>
      <w:r>
        <w:rPr>
          <w:rFonts w:ascii="Arial" w:hAnsi="Arial" w:cs="Arial"/>
          <w:sz w:val="20"/>
          <w:szCs w:val="20"/>
        </w:rPr>
        <w:t>;</w:t>
      </w:r>
    </w:p>
    <w:p w14:paraId="5CC72701" w14:textId="77777777" w:rsidR="00AF7E69" w:rsidRPr="002F6882" w:rsidRDefault="008A7150"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system detektorów do pomiarów hałasu, zapylenia i emisji odorów na wybranych terenach w Porcie Gdańsk</w:t>
      </w:r>
      <w:r>
        <w:rPr>
          <w:rFonts w:ascii="Arial" w:hAnsi="Arial" w:cs="Arial"/>
          <w:sz w:val="20"/>
          <w:szCs w:val="20"/>
        </w:rPr>
        <w:t xml:space="preserve"> - </w:t>
      </w:r>
      <w:r w:rsidR="00AF7E69" w:rsidRPr="002F6882">
        <w:rPr>
          <w:rFonts w:ascii="Arial" w:hAnsi="Arial" w:cs="Arial"/>
          <w:sz w:val="20"/>
          <w:szCs w:val="20"/>
        </w:rPr>
        <w:t>projekt zrealizowany przez startup SeaData sp. z o.o. zainstalował na terenie Portu Gdańsk platformę analityczną oraz urządzenia końcowe do pomiaru, przetwarzania i wizualizacji parametrów jakości powietrza (yetiBox &amp; yetiSense).</w:t>
      </w:r>
      <w:r>
        <w:rPr>
          <w:rFonts w:ascii="Arial" w:hAnsi="Arial" w:cs="Arial"/>
          <w:sz w:val="20"/>
          <w:szCs w:val="20"/>
        </w:rPr>
        <w:t xml:space="preserve"> </w:t>
      </w:r>
      <w:r w:rsidR="00AF7E69" w:rsidRPr="002F6882">
        <w:rPr>
          <w:rFonts w:ascii="Arial" w:hAnsi="Arial" w:cs="Arial"/>
          <w:sz w:val="20"/>
          <w:szCs w:val="20"/>
        </w:rPr>
        <w:t>Dwa podstawowe elementy systemu to:</w:t>
      </w:r>
    </w:p>
    <w:p w14:paraId="5F30487F" w14:textId="77777777" w:rsidR="00AF7E69" w:rsidRPr="002F6882" w:rsidRDefault="008A7150"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warstwa pomiarowa, wyposażona w zestaw sześciu odpowiednio dobranych sensorów, pozwalających na stały monitoring podstawowych parametrów hałasu, zapylenia (PM10, PM2.5), emisji odorów (związków azotu: amoniaku, aminów, heterocyklicznych związków organicznych zawierających azot; związków siarki: siarkowodoru, sulfidów, disulfidów, tioli praz heterocyklicznych związków organicznych zawierających siarkę; a także związków powstających w procesach fermentacyjnych – aldehydów, ketonów i estrów), również czujników prędkości i kierunku wiatru</w:t>
      </w:r>
      <w:r>
        <w:rPr>
          <w:rFonts w:ascii="Arial" w:hAnsi="Arial" w:cs="Arial"/>
          <w:sz w:val="20"/>
          <w:szCs w:val="20"/>
        </w:rPr>
        <w:t>;</w:t>
      </w:r>
    </w:p>
    <w:p w14:paraId="5A5A28FF" w14:textId="77777777" w:rsidR="00AF7E69" w:rsidRPr="002F6882" w:rsidRDefault="008A7150"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warstwa komunikacyjna, wyposażona w moduły łączności bezprzewodowej, zdolnej do pokrycia komunikacyjnego przestrzeni portu.</w:t>
      </w:r>
    </w:p>
    <w:p w14:paraId="4FE397F3"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Zarząd Morskiego Portu w Gdańsku jest jednym z Pa</w:t>
      </w:r>
      <w:r w:rsidR="00687EB6">
        <w:rPr>
          <w:rFonts w:ascii="Arial" w:hAnsi="Arial" w:cs="Arial"/>
          <w:sz w:val="20"/>
          <w:szCs w:val="20"/>
        </w:rPr>
        <w:t xml:space="preserve">rtnerów projektu realizowanego </w:t>
      </w:r>
      <w:r w:rsidRPr="002F6882">
        <w:rPr>
          <w:rFonts w:ascii="Arial" w:hAnsi="Arial" w:cs="Arial"/>
          <w:sz w:val="20"/>
          <w:szCs w:val="20"/>
        </w:rPr>
        <w:t xml:space="preserve">z programu Poland Prize, który zakłada współpracę ze startupami spoza Polski. Każdy ze starupów, który zostanie przez ZMPG </w:t>
      </w:r>
      <w:r w:rsidR="00687EB6">
        <w:rPr>
          <w:rFonts w:ascii="Arial" w:hAnsi="Arial" w:cs="Arial"/>
          <w:sz w:val="20"/>
          <w:szCs w:val="20"/>
        </w:rPr>
        <w:t xml:space="preserve">S.A. </w:t>
      </w:r>
      <w:r w:rsidRPr="002F6882">
        <w:rPr>
          <w:rFonts w:ascii="Arial" w:hAnsi="Arial" w:cs="Arial"/>
          <w:sz w:val="20"/>
          <w:szCs w:val="20"/>
        </w:rPr>
        <w:t xml:space="preserve">wyłoniony do współpracy uzyska dotację w wysokości ok. 200 tys. </w:t>
      </w:r>
      <w:r w:rsidR="00687EB6">
        <w:rPr>
          <w:rFonts w:ascii="Arial" w:hAnsi="Arial" w:cs="Arial"/>
          <w:sz w:val="20"/>
          <w:szCs w:val="20"/>
        </w:rPr>
        <w:t>zł</w:t>
      </w:r>
      <w:r w:rsidRPr="002F6882">
        <w:rPr>
          <w:rFonts w:ascii="Arial" w:hAnsi="Arial" w:cs="Arial"/>
          <w:sz w:val="20"/>
          <w:szCs w:val="20"/>
        </w:rPr>
        <w:t xml:space="preserve"> na realizację wyznaczonego przez Port wyzwania. We wrześniu 2018 r. rozpoczął się nabór startupów, </w:t>
      </w:r>
      <w:r w:rsidR="00687EB6">
        <w:rPr>
          <w:rFonts w:ascii="Arial" w:hAnsi="Arial" w:cs="Arial"/>
          <w:sz w:val="20"/>
          <w:szCs w:val="20"/>
        </w:rPr>
        <w:t>podczas którego</w:t>
      </w:r>
      <w:r w:rsidRPr="002F6882">
        <w:rPr>
          <w:rFonts w:ascii="Arial" w:hAnsi="Arial" w:cs="Arial"/>
          <w:sz w:val="20"/>
          <w:szCs w:val="20"/>
        </w:rPr>
        <w:t xml:space="preserve"> zostały wybrane podmioty, które zrealizują dwa ogłoszone przez Port wyzwań:</w:t>
      </w:r>
    </w:p>
    <w:p w14:paraId="694932E5" w14:textId="77777777" w:rsidR="00AF7E69" w:rsidRPr="002F6882" w:rsidRDefault="00687EB6"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Wyzwanie 1 – Stworzenie automatyczneg</w:t>
      </w:r>
      <w:r>
        <w:rPr>
          <w:rFonts w:ascii="Arial" w:hAnsi="Arial" w:cs="Arial"/>
          <w:sz w:val="20"/>
          <w:szCs w:val="20"/>
        </w:rPr>
        <w:t xml:space="preserve">o systemu pomiaru, monitoringu </w:t>
      </w:r>
      <w:r w:rsidR="00AF7E69" w:rsidRPr="002F6882">
        <w:rPr>
          <w:rFonts w:ascii="Arial" w:hAnsi="Arial" w:cs="Arial"/>
          <w:sz w:val="20"/>
          <w:szCs w:val="20"/>
        </w:rPr>
        <w:t>i prezentacji stanów wody w Porcie Gdańsk.</w:t>
      </w:r>
    </w:p>
    <w:p w14:paraId="3832716E"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Przedmiotem projektu jest rozmieszczenie kilkunastu czujników rejestrujących stany wody w Porcie Gdańskim, opracowanie oprogramowania  rejestrującego zbierane dane z prezentacją ich w czasie rzeczywistym oraz z możliwością przeglądania zasobów archiwalnych. Aplikacja powinna wskazywać oraz przesyłać powiadomienia po przekroczeniu stanów alarmowych bądź granicznych ustawionych przez użytkownika.</w:t>
      </w:r>
    </w:p>
    <w:p w14:paraId="02365491" w14:textId="77777777" w:rsidR="00AF7E69" w:rsidRPr="002F6882" w:rsidRDefault="00687EB6" w:rsidP="002F6882">
      <w:pPr>
        <w:spacing w:before="120" w:after="120" w:line="276" w:lineRule="auto"/>
        <w:jc w:val="both"/>
        <w:rPr>
          <w:rFonts w:ascii="Arial" w:hAnsi="Arial" w:cs="Arial"/>
          <w:sz w:val="20"/>
          <w:szCs w:val="20"/>
        </w:rPr>
      </w:pPr>
      <w:r>
        <w:rPr>
          <w:rFonts w:ascii="Arial" w:hAnsi="Arial" w:cs="Arial"/>
          <w:sz w:val="20"/>
          <w:szCs w:val="20"/>
        </w:rPr>
        <w:t xml:space="preserve">- </w:t>
      </w:r>
      <w:r w:rsidR="00AF7E69" w:rsidRPr="002F6882">
        <w:rPr>
          <w:rFonts w:ascii="Arial" w:hAnsi="Arial" w:cs="Arial"/>
          <w:sz w:val="20"/>
          <w:szCs w:val="20"/>
        </w:rPr>
        <w:t>Wyzwanie   2   –   Stworzenie nowoczesnej bazy GIS</w:t>
      </w:r>
      <w:r>
        <w:rPr>
          <w:rFonts w:ascii="Arial" w:hAnsi="Arial" w:cs="Arial"/>
          <w:sz w:val="20"/>
          <w:szCs w:val="20"/>
        </w:rPr>
        <w:t>.</w:t>
      </w:r>
      <w:r w:rsidR="00AF7E69" w:rsidRPr="002F6882">
        <w:rPr>
          <w:rFonts w:ascii="Arial" w:hAnsi="Arial" w:cs="Arial"/>
          <w:sz w:val="20"/>
          <w:szCs w:val="20"/>
        </w:rPr>
        <w:t xml:space="preserve"> </w:t>
      </w:r>
    </w:p>
    <w:p w14:paraId="7956FCB7"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 xml:space="preserve">Przedmiotem projektu jest </w:t>
      </w:r>
      <w:r w:rsidR="00687EB6">
        <w:rPr>
          <w:rFonts w:ascii="Arial" w:hAnsi="Arial" w:cs="Arial"/>
          <w:sz w:val="20"/>
          <w:szCs w:val="20"/>
        </w:rPr>
        <w:t>stworzenie nowoczesnej bazy GIS. O</w:t>
      </w:r>
      <w:r w:rsidRPr="002F6882">
        <w:rPr>
          <w:rFonts w:ascii="Arial" w:hAnsi="Arial" w:cs="Arial"/>
          <w:sz w:val="20"/>
          <w:szCs w:val="20"/>
        </w:rPr>
        <w:t>becnie zgromadzone przez ZMPG S.A. informacje mogłyby stanowić podstawę do zasilenia systemu, który oferowałby różne funkcjonalności.</w:t>
      </w:r>
    </w:p>
    <w:p w14:paraId="1929E19C"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Ponadto pozyskano kolejne środki na współpracę ze Startupami z programu Scale Up II w ramach dotychczasowej współpracy z akceleratorem Space3ac.</w:t>
      </w:r>
    </w:p>
    <w:p w14:paraId="76C0E214"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 grudniu 2018 r. podpisano Umowę inwestycyjną w sprawie udzielenia pożyczki na realizację projektu pod nazwą: „Kompleksowa rewitalizacja nieruchomości na potrzeby utworzenia Inkubatora Morskiego w Porcie Gdańsk”, w ramach Instrumentu Finansowego wdrażanego w ramach Regionalnego Programu Operacyjnego WP na lata 2014-2020.</w:t>
      </w:r>
    </w:p>
    <w:p w14:paraId="60AE133F"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 xml:space="preserve">Realizacja </w:t>
      </w:r>
      <w:r w:rsidR="00687EB6">
        <w:rPr>
          <w:rFonts w:ascii="Arial" w:hAnsi="Arial" w:cs="Arial"/>
          <w:sz w:val="20"/>
          <w:szCs w:val="20"/>
        </w:rPr>
        <w:t>tego</w:t>
      </w:r>
      <w:r w:rsidRPr="002F6882">
        <w:rPr>
          <w:rFonts w:ascii="Arial" w:hAnsi="Arial" w:cs="Arial"/>
          <w:sz w:val="20"/>
          <w:szCs w:val="20"/>
        </w:rPr>
        <w:t xml:space="preserve"> projektu w pełni odpowiada realizowanej przez ZMPG S.A. polityce społecznej. Jednym z nadrzędnych celów społecznych w związku z powstaniem inkubatora będzie przede wszystkim wspieranie przedsiębiorczości wśród młodych podmiotów (startupów) funkcjonujących w branży morsko-logistycznej. Powstanie ink</w:t>
      </w:r>
      <w:r w:rsidR="00687EB6">
        <w:rPr>
          <w:rFonts w:ascii="Arial" w:hAnsi="Arial" w:cs="Arial"/>
          <w:sz w:val="20"/>
          <w:szCs w:val="20"/>
        </w:rPr>
        <w:t>ubatora pozwoli na koncentrację</w:t>
      </w:r>
      <w:r w:rsidRPr="002F6882">
        <w:rPr>
          <w:rFonts w:ascii="Arial" w:hAnsi="Arial" w:cs="Arial"/>
          <w:sz w:val="20"/>
          <w:szCs w:val="20"/>
        </w:rPr>
        <w:t xml:space="preserve"> młodych podmiotów z branży morskiej wokó</w:t>
      </w:r>
      <w:r w:rsidR="00687EB6">
        <w:rPr>
          <w:rFonts w:ascii="Arial" w:hAnsi="Arial" w:cs="Arial"/>
          <w:sz w:val="20"/>
          <w:szCs w:val="20"/>
        </w:rPr>
        <w:t xml:space="preserve">ł portu oraz wykorzystanie ich </w:t>
      </w:r>
      <w:r w:rsidRPr="002F6882">
        <w:rPr>
          <w:rFonts w:ascii="Arial" w:hAnsi="Arial" w:cs="Arial"/>
          <w:sz w:val="20"/>
          <w:szCs w:val="20"/>
        </w:rPr>
        <w:t>potencjału wraz z infrastrukturą i zasobami ZMPG S.A. Powyższe pozwoli na zdefiniowanie i rozwiązanie wyzwań biznesowych, które stoją przed portem. Działania skoncentrowane wokół startupów spowodują ożywienie gospodarcze, pojawienie się  nowych podmiotów gospodarczych, a co za tym</w:t>
      </w:r>
      <w:r w:rsidR="00687EB6">
        <w:rPr>
          <w:rFonts w:ascii="Arial" w:hAnsi="Arial" w:cs="Arial"/>
          <w:sz w:val="20"/>
          <w:szCs w:val="20"/>
        </w:rPr>
        <w:t xml:space="preserve"> idzie realizację nowych </w:t>
      </w:r>
      <w:r w:rsidRPr="002F6882">
        <w:rPr>
          <w:rFonts w:ascii="Arial" w:hAnsi="Arial" w:cs="Arial"/>
          <w:sz w:val="20"/>
          <w:szCs w:val="20"/>
        </w:rPr>
        <w:t>inwestycji, czy powstanie innowacyjnych produktów i usług.</w:t>
      </w:r>
    </w:p>
    <w:p w14:paraId="11254D01" w14:textId="77777777" w:rsidR="00AF7E69" w:rsidRPr="002F6882" w:rsidRDefault="00AF7E69" w:rsidP="002F6882">
      <w:pPr>
        <w:spacing w:before="120" w:after="120" w:line="276" w:lineRule="auto"/>
        <w:jc w:val="both"/>
        <w:rPr>
          <w:rFonts w:ascii="Arial" w:hAnsi="Arial" w:cs="Arial"/>
          <w:sz w:val="20"/>
          <w:szCs w:val="20"/>
        </w:rPr>
      </w:pPr>
      <w:r w:rsidRPr="002F6882">
        <w:rPr>
          <w:rFonts w:ascii="Arial" w:hAnsi="Arial" w:cs="Arial"/>
          <w:sz w:val="20"/>
          <w:szCs w:val="20"/>
        </w:rPr>
        <w:t>W ramach realizowanego pr</w:t>
      </w:r>
      <w:r w:rsidR="00C87ED8">
        <w:rPr>
          <w:rFonts w:ascii="Arial" w:hAnsi="Arial" w:cs="Arial"/>
          <w:sz w:val="20"/>
          <w:szCs w:val="20"/>
        </w:rPr>
        <w:t>ojektu planuje się również zaada</w:t>
      </w:r>
      <w:r w:rsidRPr="002F6882">
        <w:rPr>
          <w:rFonts w:ascii="Arial" w:hAnsi="Arial" w:cs="Arial"/>
          <w:sz w:val="20"/>
          <w:szCs w:val="20"/>
        </w:rPr>
        <w:t xml:space="preserve">ptowanie przestrzeni zrewitalizowanych budynków na Centrum Kompetencji Kadr Gospodarki Morskiej, które pozwoli na prowadzenie kursów </w:t>
      </w:r>
      <w:r w:rsidR="00014A5C">
        <w:rPr>
          <w:rFonts w:ascii="Arial" w:hAnsi="Arial" w:cs="Arial"/>
          <w:sz w:val="20"/>
          <w:szCs w:val="20"/>
        </w:rPr>
        <w:br/>
      </w:r>
      <w:r w:rsidRPr="002F6882">
        <w:rPr>
          <w:rFonts w:ascii="Arial" w:hAnsi="Arial" w:cs="Arial"/>
          <w:sz w:val="20"/>
          <w:szCs w:val="20"/>
        </w:rPr>
        <w:t>z wykorzystaniem symulatorów urządzeń dźwigowych. Centrum stanowić będzie atrakcyjną ofertę dla kontrahentów ZMPG</w:t>
      </w:r>
      <w:r w:rsidR="00DA2E90">
        <w:rPr>
          <w:rFonts w:ascii="Arial" w:hAnsi="Arial" w:cs="Arial"/>
          <w:sz w:val="20"/>
          <w:szCs w:val="20"/>
        </w:rPr>
        <w:t xml:space="preserve"> S.A.</w:t>
      </w:r>
      <w:r w:rsidRPr="002F6882">
        <w:rPr>
          <w:rFonts w:ascii="Arial" w:hAnsi="Arial" w:cs="Arial"/>
          <w:sz w:val="20"/>
          <w:szCs w:val="20"/>
        </w:rPr>
        <w:t xml:space="preserve">, u których można zaobserwować niedobory kadrowe. </w:t>
      </w:r>
      <w:r w:rsidR="00DA2E90">
        <w:rPr>
          <w:rFonts w:ascii="Arial" w:hAnsi="Arial" w:cs="Arial"/>
          <w:sz w:val="20"/>
          <w:szCs w:val="20"/>
        </w:rPr>
        <w:t>Realizacja projektu pozwoli na stworzenie realistycznego środowiska</w:t>
      </w:r>
      <w:r w:rsidRPr="002F6882">
        <w:rPr>
          <w:rFonts w:ascii="Arial" w:hAnsi="Arial" w:cs="Arial"/>
          <w:sz w:val="20"/>
          <w:szCs w:val="20"/>
        </w:rPr>
        <w:t xml:space="preserve"> edukacyjnego, które um</w:t>
      </w:r>
      <w:r w:rsidR="00687EB6">
        <w:rPr>
          <w:rFonts w:ascii="Arial" w:hAnsi="Arial" w:cs="Arial"/>
          <w:sz w:val="20"/>
          <w:szCs w:val="20"/>
        </w:rPr>
        <w:t xml:space="preserve">ożliwi rozwinięcie umiejętności </w:t>
      </w:r>
      <w:r w:rsidRPr="002F6882">
        <w:rPr>
          <w:rFonts w:ascii="Arial" w:hAnsi="Arial" w:cs="Arial"/>
          <w:sz w:val="20"/>
          <w:szCs w:val="20"/>
        </w:rPr>
        <w:t xml:space="preserve">uczniów szkół zawodowych </w:t>
      </w:r>
      <w:r w:rsidR="00DA2E90">
        <w:rPr>
          <w:rFonts w:ascii="Arial" w:hAnsi="Arial" w:cs="Arial"/>
          <w:sz w:val="20"/>
          <w:szCs w:val="20"/>
        </w:rPr>
        <w:t>oraz</w:t>
      </w:r>
      <w:r w:rsidRPr="002F6882">
        <w:rPr>
          <w:rFonts w:ascii="Arial" w:hAnsi="Arial" w:cs="Arial"/>
          <w:sz w:val="20"/>
          <w:szCs w:val="20"/>
        </w:rPr>
        <w:t xml:space="preserve"> przygotowywanie ich do wykonywania zadań w realnym środowisku pracy.  Co istotne, niniejszy projekt realizuje cele społeczne nakierowane przede wszystkim na społeczną lokalność dzielnicy. W ramach powstania inkubatora, planowane jest zorganizowanie stałej wystawy dotyczącej historii portu.  </w:t>
      </w:r>
    </w:p>
    <w:p w14:paraId="5F07CF2A" w14:textId="50E497E4" w:rsidR="00B2707D" w:rsidRDefault="00084F5E" w:rsidP="00FA7C99">
      <w:pPr>
        <w:spacing w:before="120" w:after="120" w:line="276" w:lineRule="auto"/>
        <w:jc w:val="both"/>
        <w:rPr>
          <w:rFonts w:ascii="Arial" w:hAnsi="Arial" w:cs="Arial"/>
          <w:sz w:val="20"/>
          <w:szCs w:val="20"/>
        </w:rPr>
      </w:pPr>
      <w:r>
        <w:rPr>
          <w:rFonts w:ascii="Arial" w:hAnsi="Arial" w:cs="Arial"/>
          <w:sz w:val="20"/>
          <w:szCs w:val="20"/>
        </w:rPr>
        <w:t xml:space="preserve">Ponadto </w:t>
      </w:r>
      <w:r w:rsidR="00AF7E69" w:rsidRPr="002F6882">
        <w:rPr>
          <w:rFonts w:ascii="Arial" w:hAnsi="Arial" w:cs="Arial"/>
          <w:sz w:val="20"/>
          <w:szCs w:val="20"/>
        </w:rPr>
        <w:t>Zar</w:t>
      </w:r>
      <w:r>
        <w:rPr>
          <w:rFonts w:ascii="Arial" w:hAnsi="Arial" w:cs="Arial"/>
          <w:sz w:val="20"/>
          <w:szCs w:val="20"/>
        </w:rPr>
        <w:t xml:space="preserve">ząd Morskiego Portu Gdańsk S.A. </w:t>
      </w:r>
      <w:r w:rsidR="00AF7E69" w:rsidRPr="002F6882">
        <w:rPr>
          <w:rFonts w:ascii="Arial" w:hAnsi="Arial" w:cs="Arial"/>
          <w:sz w:val="20"/>
          <w:szCs w:val="20"/>
        </w:rPr>
        <w:t>aktywnie współpracuje z takimi uczelniami jak: Uniwersytet Gdański, Uniwersytet Morski w Gdyni, Politechnika Gdańska czy Wyższa Szkoła Bezpieczeństwa. Pracownicy ZMPG S.A. angażują się w wykłady prowadzone na rzecz studentów, obejmują ich opieką podczas odbywania praktyk w</w:t>
      </w:r>
      <w:r>
        <w:rPr>
          <w:rFonts w:ascii="Arial" w:hAnsi="Arial" w:cs="Arial"/>
          <w:sz w:val="20"/>
          <w:szCs w:val="20"/>
        </w:rPr>
        <w:t xml:space="preserve"> firmie, a także </w:t>
      </w:r>
      <w:r w:rsidR="00D01908">
        <w:rPr>
          <w:rFonts w:ascii="Arial" w:hAnsi="Arial" w:cs="Arial"/>
          <w:sz w:val="20"/>
          <w:szCs w:val="20"/>
        </w:rPr>
        <w:t>dzielą się z praktykantami</w:t>
      </w:r>
      <w:r w:rsidR="00AF7E69" w:rsidRPr="002F6882">
        <w:rPr>
          <w:rFonts w:ascii="Arial" w:hAnsi="Arial" w:cs="Arial"/>
          <w:sz w:val="20"/>
          <w:szCs w:val="20"/>
        </w:rPr>
        <w:t xml:space="preserve"> praktyczną wiedzą techniczną z zakresu hydrotechniki, infrastruktury lądowej itp. </w:t>
      </w:r>
    </w:p>
    <w:p w14:paraId="6CA3E3B6" w14:textId="0345D3C0" w:rsidR="00C649E7" w:rsidRDefault="00C649E7" w:rsidP="00FA7C99">
      <w:pPr>
        <w:spacing w:before="120" w:after="120" w:line="276" w:lineRule="auto"/>
        <w:jc w:val="both"/>
        <w:rPr>
          <w:rFonts w:ascii="Arial" w:hAnsi="Arial" w:cs="Arial"/>
          <w:sz w:val="20"/>
          <w:szCs w:val="20"/>
        </w:rPr>
      </w:pPr>
    </w:p>
    <w:p w14:paraId="28D90DA5" w14:textId="520E9750" w:rsidR="00C649E7" w:rsidRDefault="00C649E7" w:rsidP="00FA7C99">
      <w:pPr>
        <w:spacing w:before="120" w:after="120" w:line="276" w:lineRule="auto"/>
        <w:jc w:val="both"/>
        <w:rPr>
          <w:rFonts w:ascii="Arial" w:hAnsi="Arial" w:cs="Arial"/>
          <w:sz w:val="20"/>
          <w:szCs w:val="20"/>
        </w:rPr>
      </w:pPr>
    </w:p>
    <w:p w14:paraId="14CFABC3" w14:textId="77777777" w:rsidR="00C649E7" w:rsidRPr="009B007B" w:rsidRDefault="00C649E7" w:rsidP="00FA7C99">
      <w:pPr>
        <w:spacing w:before="120" w:after="120" w:line="276" w:lineRule="auto"/>
        <w:jc w:val="both"/>
        <w:rPr>
          <w:rFonts w:ascii="Arial" w:hAnsi="Arial" w:cs="Arial"/>
          <w:sz w:val="20"/>
          <w:szCs w:val="20"/>
        </w:rPr>
      </w:pPr>
    </w:p>
    <w:p w14:paraId="49A37A1D" w14:textId="77777777" w:rsidR="00816614" w:rsidRPr="009B007B" w:rsidRDefault="00452285" w:rsidP="00452285">
      <w:pPr>
        <w:pStyle w:val="spis1"/>
        <w:rPr>
          <w:rFonts w:ascii="Arial" w:hAnsi="Arial" w:cs="Arial"/>
          <w:sz w:val="20"/>
          <w:szCs w:val="20"/>
        </w:rPr>
      </w:pPr>
      <w:bookmarkStart w:id="5" w:name="_Toc3385283"/>
      <w:r w:rsidRPr="009B007B">
        <w:rPr>
          <w:rFonts w:ascii="Arial" w:hAnsi="Arial" w:cs="Arial"/>
          <w:sz w:val="20"/>
          <w:szCs w:val="20"/>
        </w:rPr>
        <w:t xml:space="preserve">Port </w:t>
      </w:r>
      <w:r w:rsidR="00BF107A">
        <w:rPr>
          <w:rFonts w:ascii="Arial" w:hAnsi="Arial" w:cs="Arial"/>
          <w:sz w:val="20"/>
          <w:szCs w:val="20"/>
        </w:rPr>
        <w:t xml:space="preserve">w </w:t>
      </w:r>
      <w:r w:rsidRPr="009B007B">
        <w:rPr>
          <w:rFonts w:ascii="Arial" w:hAnsi="Arial" w:cs="Arial"/>
          <w:sz w:val="20"/>
          <w:szCs w:val="20"/>
        </w:rPr>
        <w:t>Gdyni</w:t>
      </w:r>
      <w:bookmarkEnd w:id="5"/>
    </w:p>
    <w:p w14:paraId="1F908E0B" w14:textId="77777777" w:rsidR="002F7850" w:rsidRPr="00731248" w:rsidRDefault="00452285" w:rsidP="00731248">
      <w:pPr>
        <w:pStyle w:val="spis2"/>
        <w:rPr>
          <w:rFonts w:ascii="Arial" w:hAnsi="Arial" w:cs="Arial"/>
          <w:sz w:val="20"/>
          <w:szCs w:val="20"/>
        </w:rPr>
      </w:pPr>
      <w:bookmarkStart w:id="6" w:name="_Toc353272847"/>
      <w:bookmarkStart w:id="7" w:name="_Toc360089562"/>
      <w:bookmarkStart w:id="8" w:name="_Toc387140284"/>
      <w:bookmarkStart w:id="9" w:name="_Toc487804039"/>
      <w:bookmarkStart w:id="10" w:name="_Toc3385284"/>
      <w:r w:rsidRPr="006D5507">
        <w:rPr>
          <w:rFonts w:ascii="Arial" w:hAnsi="Arial" w:cs="Arial"/>
          <w:sz w:val="20"/>
          <w:szCs w:val="20"/>
        </w:rPr>
        <w:t xml:space="preserve">Przeładunki wg grup towarowych w tys. ton </w:t>
      </w:r>
      <w:r w:rsidR="00731248" w:rsidRPr="002F7850">
        <w:rPr>
          <w:rFonts w:eastAsia="Times New Roman" w:cstheme="minorHAnsi"/>
          <w:lang w:eastAsia="pl-PL"/>
        </w:rPr>
        <w:t>w 2018 r.</w:t>
      </w:r>
      <w:r w:rsidR="00731248" w:rsidRPr="006D5507">
        <w:rPr>
          <w:rFonts w:ascii="Arial" w:hAnsi="Arial" w:cs="Arial"/>
          <w:sz w:val="20"/>
          <w:szCs w:val="20"/>
        </w:rPr>
        <w:t xml:space="preserve"> </w:t>
      </w:r>
      <w:r w:rsidRPr="006D5507">
        <w:rPr>
          <w:rFonts w:ascii="Arial" w:hAnsi="Arial" w:cs="Arial"/>
          <w:sz w:val="20"/>
          <w:szCs w:val="20"/>
        </w:rPr>
        <w:t>(dane Zarządu Morskiego Portu Gdynia S.A.).</w:t>
      </w:r>
      <w:bookmarkEnd w:id="6"/>
      <w:bookmarkEnd w:id="7"/>
      <w:bookmarkEnd w:id="8"/>
      <w:bookmarkEnd w:id="9"/>
      <w:bookmarkEnd w:id="10"/>
    </w:p>
    <w:p w14:paraId="07A5F7DE" w14:textId="77777777" w:rsidR="002F7850" w:rsidRPr="00EA2C35" w:rsidRDefault="002F7850" w:rsidP="002F7850">
      <w:pPr>
        <w:spacing w:after="0" w:line="240" w:lineRule="auto"/>
        <w:rPr>
          <w:rFonts w:ascii="Arial" w:eastAsia="Times New Roman" w:hAnsi="Arial" w:cs="Arial"/>
          <w:b/>
          <w:sz w:val="20"/>
          <w:szCs w:val="20"/>
          <w:lang w:eastAsia="pl-PL"/>
        </w:rPr>
      </w:pPr>
      <w:r w:rsidRPr="002F7850">
        <w:rPr>
          <w:rFonts w:ascii="Arial" w:eastAsia="Times New Roman" w:hAnsi="Arial" w:cs="Arial"/>
          <w:b/>
          <w:sz w:val="20"/>
          <w:szCs w:val="20"/>
          <w:lang w:eastAsia="pl-PL"/>
        </w:rPr>
        <w:t>Tab. 1.</w:t>
      </w:r>
      <w:r w:rsidRPr="002F7850">
        <w:rPr>
          <w:rFonts w:ascii="Arial" w:eastAsia="Times New Roman" w:hAnsi="Arial" w:cs="Arial"/>
          <w:sz w:val="20"/>
          <w:szCs w:val="20"/>
          <w:lang w:eastAsia="pl-PL"/>
        </w:rPr>
        <w:t xml:space="preserve"> </w:t>
      </w:r>
      <w:r w:rsidRPr="00EA2C35">
        <w:rPr>
          <w:rFonts w:ascii="Arial" w:eastAsia="Times New Roman" w:hAnsi="Arial" w:cs="Arial"/>
          <w:b/>
          <w:sz w:val="20"/>
          <w:szCs w:val="20"/>
          <w:lang w:eastAsia="pl-PL"/>
        </w:rPr>
        <w:t xml:space="preserve">Statki zawijające do Portu </w:t>
      </w:r>
      <w:r w:rsidR="00A26E3B" w:rsidRPr="00EA2C35">
        <w:rPr>
          <w:rFonts w:ascii="Arial" w:eastAsia="Times New Roman" w:hAnsi="Arial" w:cs="Arial"/>
          <w:b/>
          <w:sz w:val="20"/>
          <w:szCs w:val="20"/>
          <w:lang w:eastAsia="pl-PL"/>
        </w:rPr>
        <w:t xml:space="preserve">w Gdyni </w:t>
      </w:r>
      <w:r w:rsidRPr="00EA2C35">
        <w:rPr>
          <w:rFonts w:ascii="Arial" w:eastAsia="Times New Roman" w:hAnsi="Arial" w:cs="Arial"/>
          <w:b/>
          <w:sz w:val="20"/>
          <w:szCs w:val="20"/>
          <w:lang w:eastAsia="pl-PL"/>
        </w:rPr>
        <w:t>w latach 2016-2018</w:t>
      </w:r>
    </w:p>
    <w:tbl>
      <w:tblPr>
        <w:tblW w:w="8920" w:type="dxa"/>
        <w:tblInd w:w="55" w:type="dxa"/>
        <w:tblCellMar>
          <w:left w:w="70" w:type="dxa"/>
          <w:right w:w="70" w:type="dxa"/>
        </w:tblCellMar>
        <w:tblLook w:val="04A0" w:firstRow="1" w:lastRow="0" w:firstColumn="1" w:lastColumn="0" w:noHBand="0" w:noVBand="1"/>
      </w:tblPr>
      <w:tblGrid>
        <w:gridCol w:w="3160"/>
        <w:gridCol w:w="1120"/>
        <w:gridCol w:w="1240"/>
        <w:gridCol w:w="1140"/>
        <w:gridCol w:w="1140"/>
        <w:gridCol w:w="1120"/>
      </w:tblGrid>
      <w:tr w:rsidR="002F7850" w:rsidRPr="002F7850" w14:paraId="6C8ACC5C" w14:textId="77777777" w:rsidTr="002D4AFF">
        <w:trPr>
          <w:trHeight w:val="300"/>
        </w:trPr>
        <w:tc>
          <w:tcPr>
            <w:tcW w:w="3160" w:type="dxa"/>
            <w:tcBorders>
              <w:top w:val="nil"/>
              <w:left w:val="nil"/>
              <w:bottom w:val="nil"/>
              <w:right w:val="nil"/>
            </w:tcBorders>
            <w:shd w:val="clear" w:color="auto" w:fill="auto"/>
            <w:noWrap/>
            <w:vAlign w:val="bottom"/>
            <w:hideMark/>
          </w:tcPr>
          <w:p w14:paraId="0522B826"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20" w:type="dxa"/>
            <w:tcBorders>
              <w:top w:val="nil"/>
              <w:left w:val="nil"/>
              <w:bottom w:val="nil"/>
              <w:right w:val="nil"/>
            </w:tcBorders>
            <w:shd w:val="clear" w:color="auto" w:fill="auto"/>
            <w:noWrap/>
            <w:vAlign w:val="bottom"/>
            <w:hideMark/>
          </w:tcPr>
          <w:p w14:paraId="1FFF3BA2"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240" w:type="dxa"/>
            <w:tcBorders>
              <w:top w:val="nil"/>
              <w:left w:val="nil"/>
              <w:bottom w:val="nil"/>
              <w:right w:val="nil"/>
            </w:tcBorders>
            <w:shd w:val="clear" w:color="auto" w:fill="auto"/>
            <w:noWrap/>
            <w:vAlign w:val="bottom"/>
            <w:hideMark/>
          </w:tcPr>
          <w:p w14:paraId="1D9F87AD"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40" w:type="dxa"/>
            <w:tcBorders>
              <w:top w:val="nil"/>
              <w:left w:val="nil"/>
              <w:bottom w:val="nil"/>
              <w:right w:val="nil"/>
            </w:tcBorders>
            <w:shd w:val="clear" w:color="auto" w:fill="auto"/>
            <w:noWrap/>
            <w:vAlign w:val="bottom"/>
            <w:hideMark/>
          </w:tcPr>
          <w:p w14:paraId="0C24B8D0"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226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7D2C98B"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zmiana 2018/2017</w:t>
            </w:r>
          </w:p>
        </w:tc>
      </w:tr>
      <w:tr w:rsidR="002F7850" w:rsidRPr="002F7850" w14:paraId="31970CEA" w14:textId="77777777" w:rsidTr="002D4AFF">
        <w:trPr>
          <w:trHeight w:val="600"/>
        </w:trPr>
        <w:tc>
          <w:tcPr>
            <w:tcW w:w="3160" w:type="dxa"/>
            <w:tcBorders>
              <w:top w:val="single" w:sz="4" w:space="0" w:color="auto"/>
              <w:left w:val="single" w:sz="4" w:space="0" w:color="auto"/>
              <w:bottom w:val="nil"/>
              <w:right w:val="nil"/>
            </w:tcBorders>
            <w:shd w:val="clear" w:color="000000" w:fill="C5D9F1"/>
            <w:vAlign w:val="bottom"/>
            <w:hideMark/>
          </w:tcPr>
          <w:p w14:paraId="23CED0CC" w14:textId="77777777" w:rsidR="002F7850" w:rsidRPr="002F7850" w:rsidRDefault="002F7850" w:rsidP="002F7850">
            <w:pPr>
              <w:spacing w:after="0" w:line="240" w:lineRule="auto"/>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Wyszczególnienie</w:t>
            </w:r>
          </w:p>
        </w:tc>
        <w:tc>
          <w:tcPr>
            <w:tcW w:w="1120" w:type="dxa"/>
            <w:tcBorders>
              <w:top w:val="single" w:sz="4" w:space="0" w:color="auto"/>
              <w:left w:val="single" w:sz="4" w:space="0" w:color="auto"/>
              <w:bottom w:val="single" w:sz="4" w:space="0" w:color="auto"/>
              <w:right w:val="nil"/>
            </w:tcBorders>
            <w:shd w:val="clear" w:color="000000" w:fill="C5D9F1"/>
            <w:vAlign w:val="bottom"/>
            <w:hideMark/>
          </w:tcPr>
          <w:p w14:paraId="502CE0D3"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2016</w:t>
            </w:r>
          </w:p>
        </w:tc>
        <w:tc>
          <w:tcPr>
            <w:tcW w:w="1240" w:type="dxa"/>
            <w:tcBorders>
              <w:top w:val="single" w:sz="4" w:space="0" w:color="auto"/>
              <w:left w:val="nil"/>
              <w:bottom w:val="single" w:sz="4" w:space="0" w:color="auto"/>
              <w:right w:val="nil"/>
            </w:tcBorders>
            <w:shd w:val="clear" w:color="000000" w:fill="C5D9F1"/>
            <w:vAlign w:val="bottom"/>
            <w:hideMark/>
          </w:tcPr>
          <w:p w14:paraId="64B9D9C3"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2017</w:t>
            </w:r>
          </w:p>
        </w:tc>
        <w:tc>
          <w:tcPr>
            <w:tcW w:w="1140" w:type="dxa"/>
            <w:tcBorders>
              <w:top w:val="single" w:sz="4" w:space="0" w:color="auto"/>
              <w:left w:val="nil"/>
              <w:bottom w:val="single" w:sz="4" w:space="0" w:color="auto"/>
              <w:right w:val="single" w:sz="4" w:space="0" w:color="auto"/>
            </w:tcBorders>
            <w:shd w:val="clear" w:color="000000" w:fill="C5D9F1"/>
            <w:vAlign w:val="bottom"/>
            <w:hideMark/>
          </w:tcPr>
          <w:p w14:paraId="48E4093F"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2018</w:t>
            </w:r>
          </w:p>
        </w:tc>
        <w:tc>
          <w:tcPr>
            <w:tcW w:w="1140" w:type="dxa"/>
            <w:tcBorders>
              <w:top w:val="nil"/>
              <w:left w:val="nil"/>
              <w:bottom w:val="nil"/>
              <w:right w:val="single" w:sz="4" w:space="0" w:color="auto"/>
            </w:tcBorders>
            <w:shd w:val="clear" w:color="000000" w:fill="C5D9F1"/>
            <w:vAlign w:val="bottom"/>
            <w:hideMark/>
          </w:tcPr>
          <w:p w14:paraId="6F4395F1"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liczba statków</w:t>
            </w:r>
          </w:p>
        </w:tc>
        <w:tc>
          <w:tcPr>
            <w:tcW w:w="1120" w:type="dxa"/>
            <w:tcBorders>
              <w:top w:val="nil"/>
              <w:left w:val="nil"/>
              <w:bottom w:val="nil"/>
              <w:right w:val="single" w:sz="4" w:space="0" w:color="auto"/>
            </w:tcBorders>
            <w:shd w:val="clear" w:color="000000" w:fill="C5D9F1"/>
            <w:vAlign w:val="bottom"/>
            <w:hideMark/>
          </w:tcPr>
          <w:p w14:paraId="0EDC3983"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 %</w:t>
            </w:r>
          </w:p>
        </w:tc>
      </w:tr>
      <w:tr w:rsidR="002F7850" w:rsidRPr="002F7850" w14:paraId="73DB8B48" w14:textId="77777777" w:rsidTr="002D4AFF">
        <w:trPr>
          <w:trHeight w:val="30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0AD73AF0"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Statki</w:t>
            </w:r>
          </w:p>
        </w:tc>
        <w:tc>
          <w:tcPr>
            <w:tcW w:w="1120" w:type="dxa"/>
            <w:tcBorders>
              <w:top w:val="nil"/>
              <w:left w:val="single" w:sz="4" w:space="0" w:color="auto"/>
              <w:bottom w:val="single" w:sz="4" w:space="0" w:color="auto"/>
              <w:right w:val="nil"/>
            </w:tcBorders>
            <w:shd w:val="clear" w:color="auto" w:fill="auto"/>
            <w:vAlign w:val="bottom"/>
            <w:hideMark/>
          </w:tcPr>
          <w:p w14:paraId="7DFCB910"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3 465</w:t>
            </w:r>
          </w:p>
        </w:tc>
        <w:tc>
          <w:tcPr>
            <w:tcW w:w="1240" w:type="dxa"/>
            <w:tcBorders>
              <w:top w:val="nil"/>
              <w:left w:val="nil"/>
              <w:bottom w:val="single" w:sz="4" w:space="0" w:color="auto"/>
              <w:right w:val="nil"/>
            </w:tcBorders>
            <w:shd w:val="clear" w:color="auto" w:fill="auto"/>
            <w:vAlign w:val="bottom"/>
            <w:hideMark/>
          </w:tcPr>
          <w:p w14:paraId="63549DA3"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3 618</w:t>
            </w:r>
          </w:p>
        </w:tc>
        <w:tc>
          <w:tcPr>
            <w:tcW w:w="1140" w:type="dxa"/>
            <w:tcBorders>
              <w:top w:val="nil"/>
              <w:left w:val="nil"/>
              <w:bottom w:val="single" w:sz="4" w:space="0" w:color="auto"/>
              <w:right w:val="single" w:sz="4" w:space="0" w:color="auto"/>
            </w:tcBorders>
            <w:shd w:val="clear" w:color="auto" w:fill="auto"/>
            <w:noWrap/>
            <w:vAlign w:val="bottom"/>
            <w:hideMark/>
          </w:tcPr>
          <w:p w14:paraId="403055C0" w14:textId="77777777" w:rsidR="002F7850" w:rsidRPr="002F7850" w:rsidRDefault="002F7850" w:rsidP="002F7850">
            <w:pPr>
              <w:spacing w:after="0" w:line="240" w:lineRule="auto"/>
              <w:jc w:val="right"/>
              <w:rPr>
                <w:rFonts w:ascii="Arial" w:eastAsia="Times New Roman" w:hAnsi="Arial" w:cs="Arial"/>
                <w:sz w:val="20"/>
                <w:szCs w:val="20"/>
                <w:lang w:eastAsia="pl-PL"/>
              </w:rPr>
            </w:pPr>
            <w:r w:rsidRPr="002F7850">
              <w:rPr>
                <w:rFonts w:ascii="Arial" w:eastAsia="Times New Roman" w:hAnsi="Arial" w:cs="Arial"/>
                <w:sz w:val="20"/>
                <w:szCs w:val="20"/>
                <w:lang w:eastAsia="pl-PL"/>
              </w:rPr>
              <w:t>4 332</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195670EF"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714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24372D8F"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119,7</w:t>
            </w:r>
          </w:p>
        </w:tc>
      </w:tr>
    </w:tbl>
    <w:p w14:paraId="487B3C2C" w14:textId="77777777" w:rsidR="002F7850" w:rsidRPr="002F7850" w:rsidRDefault="002F7850" w:rsidP="002F7850">
      <w:pPr>
        <w:spacing w:after="0" w:line="240" w:lineRule="auto"/>
        <w:rPr>
          <w:rFonts w:ascii="Arial" w:eastAsia="Times New Roman" w:hAnsi="Arial" w:cs="Arial"/>
          <w:sz w:val="20"/>
          <w:szCs w:val="20"/>
          <w:lang w:eastAsia="pl-PL"/>
        </w:rPr>
      </w:pPr>
    </w:p>
    <w:p w14:paraId="3AC036EE" w14:textId="77777777" w:rsidR="002F7850" w:rsidRPr="002F7850" w:rsidRDefault="002F7850" w:rsidP="002F7850">
      <w:pPr>
        <w:spacing w:after="0" w:line="240" w:lineRule="auto"/>
        <w:rPr>
          <w:rFonts w:ascii="Arial" w:eastAsia="Times New Roman" w:hAnsi="Arial" w:cs="Arial"/>
          <w:sz w:val="20"/>
          <w:szCs w:val="20"/>
          <w:lang w:eastAsia="pl-PL"/>
        </w:rPr>
      </w:pPr>
    </w:p>
    <w:p w14:paraId="7B082538" w14:textId="77777777" w:rsidR="002F7850" w:rsidRPr="002F7850" w:rsidRDefault="002F7850" w:rsidP="002F7850">
      <w:pPr>
        <w:spacing w:after="0" w:line="240" w:lineRule="auto"/>
        <w:rPr>
          <w:rFonts w:ascii="Arial" w:eastAsia="Times New Roman" w:hAnsi="Arial" w:cs="Arial"/>
          <w:sz w:val="20"/>
          <w:szCs w:val="20"/>
          <w:lang w:eastAsia="pl-PL"/>
        </w:rPr>
      </w:pPr>
      <w:r w:rsidRPr="002F7850">
        <w:rPr>
          <w:rFonts w:ascii="Arial" w:eastAsia="Times New Roman" w:hAnsi="Arial" w:cs="Arial"/>
          <w:b/>
          <w:sz w:val="20"/>
          <w:szCs w:val="20"/>
          <w:lang w:eastAsia="pl-PL"/>
        </w:rPr>
        <w:t>Tab. 2.</w:t>
      </w:r>
      <w:r w:rsidRPr="002F7850">
        <w:rPr>
          <w:rFonts w:ascii="Arial" w:eastAsia="Times New Roman" w:hAnsi="Arial" w:cs="Arial"/>
          <w:sz w:val="20"/>
          <w:szCs w:val="20"/>
          <w:lang w:eastAsia="pl-PL"/>
        </w:rPr>
        <w:t xml:space="preserve"> </w:t>
      </w:r>
      <w:r w:rsidRPr="00EA2C35">
        <w:rPr>
          <w:rFonts w:ascii="Arial" w:eastAsia="Times New Roman" w:hAnsi="Arial" w:cs="Arial"/>
          <w:b/>
          <w:sz w:val="20"/>
          <w:szCs w:val="20"/>
          <w:lang w:eastAsia="pl-PL"/>
        </w:rPr>
        <w:t>Przeładunki wg. grup towarowych w latach 2016-2018 w tys. ton</w:t>
      </w:r>
    </w:p>
    <w:tbl>
      <w:tblPr>
        <w:tblW w:w="8920" w:type="dxa"/>
        <w:tblInd w:w="55" w:type="dxa"/>
        <w:tblCellMar>
          <w:left w:w="70" w:type="dxa"/>
          <w:right w:w="70" w:type="dxa"/>
        </w:tblCellMar>
        <w:tblLook w:val="04A0" w:firstRow="1" w:lastRow="0" w:firstColumn="1" w:lastColumn="0" w:noHBand="0" w:noVBand="1"/>
      </w:tblPr>
      <w:tblGrid>
        <w:gridCol w:w="3160"/>
        <w:gridCol w:w="1120"/>
        <w:gridCol w:w="1240"/>
        <w:gridCol w:w="1140"/>
        <w:gridCol w:w="1140"/>
        <w:gridCol w:w="1120"/>
      </w:tblGrid>
      <w:tr w:rsidR="002F7850" w:rsidRPr="002F7850" w14:paraId="7EBECB67" w14:textId="77777777" w:rsidTr="002D4AFF">
        <w:trPr>
          <w:trHeight w:val="315"/>
        </w:trPr>
        <w:tc>
          <w:tcPr>
            <w:tcW w:w="3160" w:type="dxa"/>
            <w:tcBorders>
              <w:top w:val="nil"/>
              <w:left w:val="nil"/>
              <w:bottom w:val="nil"/>
              <w:right w:val="nil"/>
            </w:tcBorders>
            <w:shd w:val="clear" w:color="auto" w:fill="auto"/>
            <w:noWrap/>
            <w:vAlign w:val="bottom"/>
            <w:hideMark/>
          </w:tcPr>
          <w:p w14:paraId="0288D09B"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20" w:type="dxa"/>
            <w:tcBorders>
              <w:top w:val="nil"/>
              <w:left w:val="nil"/>
              <w:bottom w:val="nil"/>
              <w:right w:val="nil"/>
            </w:tcBorders>
            <w:shd w:val="clear" w:color="auto" w:fill="auto"/>
            <w:noWrap/>
            <w:vAlign w:val="bottom"/>
            <w:hideMark/>
          </w:tcPr>
          <w:p w14:paraId="55B77624"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240" w:type="dxa"/>
            <w:tcBorders>
              <w:top w:val="nil"/>
              <w:left w:val="nil"/>
              <w:bottom w:val="nil"/>
              <w:right w:val="nil"/>
            </w:tcBorders>
            <w:shd w:val="clear" w:color="auto" w:fill="auto"/>
            <w:noWrap/>
            <w:vAlign w:val="bottom"/>
            <w:hideMark/>
          </w:tcPr>
          <w:p w14:paraId="7A3C26E2"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40" w:type="dxa"/>
            <w:tcBorders>
              <w:top w:val="nil"/>
              <w:left w:val="nil"/>
              <w:bottom w:val="nil"/>
              <w:right w:val="nil"/>
            </w:tcBorders>
            <w:shd w:val="clear" w:color="auto" w:fill="auto"/>
            <w:noWrap/>
            <w:vAlign w:val="bottom"/>
            <w:hideMark/>
          </w:tcPr>
          <w:p w14:paraId="70AC9AD8"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226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8BD3C4B"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zmiana 2018/2017</w:t>
            </w:r>
          </w:p>
        </w:tc>
      </w:tr>
      <w:tr w:rsidR="002F7850" w:rsidRPr="002F7850" w14:paraId="28C081B2" w14:textId="77777777" w:rsidTr="002D4AFF">
        <w:trPr>
          <w:trHeight w:val="315"/>
        </w:trPr>
        <w:tc>
          <w:tcPr>
            <w:tcW w:w="3160" w:type="dxa"/>
            <w:tcBorders>
              <w:top w:val="single" w:sz="4" w:space="0" w:color="auto"/>
              <w:left w:val="single" w:sz="4" w:space="0" w:color="auto"/>
              <w:bottom w:val="nil"/>
              <w:right w:val="nil"/>
            </w:tcBorders>
            <w:shd w:val="clear" w:color="000000" w:fill="C5D9F1"/>
            <w:vAlign w:val="bottom"/>
            <w:hideMark/>
          </w:tcPr>
          <w:p w14:paraId="788E3D87"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Wyszczególnienie</w:t>
            </w:r>
          </w:p>
        </w:tc>
        <w:tc>
          <w:tcPr>
            <w:tcW w:w="1120" w:type="dxa"/>
            <w:tcBorders>
              <w:top w:val="single" w:sz="4" w:space="0" w:color="auto"/>
              <w:left w:val="single" w:sz="4" w:space="0" w:color="auto"/>
              <w:bottom w:val="single" w:sz="4" w:space="0" w:color="auto"/>
              <w:right w:val="nil"/>
            </w:tcBorders>
            <w:shd w:val="clear" w:color="000000" w:fill="C5D9F1"/>
            <w:vAlign w:val="bottom"/>
            <w:hideMark/>
          </w:tcPr>
          <w:p w14:paraId="03DB61DA"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2016</w:t>
            </w:r>
          </w:p>
        </w:tc>
        <w:tc>
          <w:tcPr>
            <w:tcW w:w="1240" w:type="dxa"/>
            <w:tcBorders>
              <w:top w:val="single" w:sz="4" w:space="0" w:color="auto"/>
              <w:left w:val="nil"/>
              <w:bottom w:val="single" w:sz="4" w:space="0" w:color="auto"/>
              <w:right w:val="nil"/>
            </w:tcBorders>
            <w:shd w:val="clear" w:color="000000" w:fill="C5D9F1"/>
            <w:vAlign w:val="bottom"/>
            <w:hideMark/>
          </w:tcPr>
          <w:p w14:paraId="12459AC6"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2017</w:t>
            </w:r>
          </w:p>
        </w:tc>
        <w:tc>
          <w:tcPr>
            <w:tcW w:w="1140" w:type="dxa"/>
            <w:tcBorders>
              <w:top w:val="single" w:sz="4" w:space="0" w:color="auto"/>
              <w:left w:val="nil"/>
              <w:bottom w:val="single" w:sz="4" w:space="0" w:color="auto"/>
              <w:right w:val="single" w:sz="4" w:space="0" w:color="auto"/>
            </w:tcBorders>
            <w:shd w:val="clear" w:color="000000" w:fill="C5D9F1"/>
            <w:vAlign w:val="bottom"/>
            <w:hideMark/>
          </w:tcPr>
          <w:p w14:paraId="134F68B6"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2018</w:t>
            </w:r>
          </w:p>
        </w:tc>
        <w:tc>
          <w:tcPr>
            <w:tcW w:w="1140" w:type="dxa"/>
            <w:tcBorders>
              <w:top w:val="nil"/>
              <w:left w:val="nil"/>
              <w:bottom w:val="nil"/>
              <w:right w:val="single" w:sz="4" w:space="0" w:color="auto"/>
            </w:tcBorders>
            <w:shd w:val="clear" w:color="000000" w:fill="C5D9F1"/>
            <w:vAlign w:val="bottom"/>
            <w:hideMark/>
          </w:tcPr>
          <w:p w14:paraId="6870CC3B"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tys. ton</w:t>
            </w:r>
          </w:p>
        </w:tc>
        <w:tc>
          <w:tcPr>
            <w:tcW w:w="1120" w:type="dxa"/>
            <w:tcBorders>
              <w:top w:val="nil"/>
              <w:left w:val="nil"/>
              <w:bottom w:val="nil"/>
              <w:right w:val="single" w:sz="4" w:space="0" w:color="auto"/>
            </w:tcBorders>
            <w:shd w:val="clear" w:color="000000" w:fill="C5D9F1"/>
            <w:vAlign w:val="bottom"/>
            <w:hideMark/>
          </w:tcPr>
          <w:p w14:paraId="4A57E387"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 %</w:t>
            </w:r>
          </w:p>
        </w:tc>
      </w:tr>
      <w:tr w:rsidR="002F7850" w:rsidRPr="002F7850" w14:paraId="66363EB7" w14:textId="77777777" w:rsidTr="002D4AFF">
        <w:trPr>
          <w:trHeight w:val="315"/>
        </w:trPr>
        <w:tc>
          <w:tcPr>
            <w:tcW w:w="3160" w:type="dxa"/>
            <w:tcBorders>
              <w:top w:val="single" w:sz="4" w:space="0" w:color="auto"/>
              <w:left w:val="single" w:sz="4" w:space="0" w:color="auto"/>
              <w:bottom w:val="nil"/>
              <w:right w:val="nil"/>
            </w:tcBorders>
            <w:shd w:val="clear" w:color="000000" w:fill="FFFFFF"/>
            <w:noWrap/>
            <w:vAlign w:val="center"/>
            <w:hideMark/>
          </w:tcPr>
          <w:p w14:paraId="7C3C405C"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Węgiel i koks</w:t>
            </w:r>
          </w:p>
        </w:tc>
        <w:tc>
          <w:tcPr>
            <w:tcW w:w="1120" w:type="dxa"/>
            <w:tcBorders>
              <w:top w:val="nil"/>
              <w:left w:val="single" w:sz="4" w:space="0" w:color="auto"/>
              <w:bottom w:val="nil"/>
              <w:right w:val="nil"/>
            </w:tcBorders>
            <w:shd w:val="clear" w:color="000000" w:fill="FFFFFF"/>
            <w:vAlign w:val="bottom"/>
            <w:hideMark/>
          </w:tcPr>
          <w:p w14:paraId="2E7DFA31"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1 485,8</w:t>
            </w:r>
          </w:p>
        </w:tc>
        <w:tc>
          <w:tcPr>
            <w:tcW w:w="1240" w:type="dxa"/>
            <w:tcBorders>
              <w:top w:val="nil"/>
              <w:left w:val="nil"/>
              <w:bottom w:val="nil"/>
              <w:right w:val="nil"/>
            </w:tcBorders>
            <w:shd w:val="clear" w:color="000000" w:fill="FFFFFF"/>
            <w:noWrap/>
            <w:vAlign w:val="center"/>
            <w:hideMark/>
          </w:tcPr>
          <w:p w14:paraId="31F3EB84"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2 134,5</w:t>
            </w:r>
          </w:p>
        </w:tc>
        <w:tc>
          <w:tcPr>
            <w:tcW w:w="1140" w:type="dxa"/>
            <w:tcBorders>
              <w:top w:val="nil"/>
              <w:left w:val="nil"/>
              <w:bottom w:val="nil"/>
              <w:right w:val="single" w:sz="4" w:space="0" w:color="auto"/>
            </w:tcBorders>
            <w:shd w:val="clear" w:color="000000" w:fill="FFFFFF"/>
            <w:noWrap/>
            <w:vAlign w:val="center"/>
            <w:hideMark/>
          </w:tcPr>
          <w:p w14:paraId="759EE5E4"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2 629,3</w:t>
            </w:r>
          </w:p>
        </w:tc>
        <w:tc>
          <w:tcPr>
            <w:tcW w:w="1140" w:type="dxa"/>
            <w:tcBorders>
              <w:top w:val="single" w:sz="4" w:space="0" w:color="auto"/>
              <w:left w:val="nil"/>
              <w:bottom w:val="nil"/>
              <w:right w:val="single" w:sz="4" w:space="0" w:color="auto"/>
            </w:tcBorders>
            <w:shd w:val="clear" w:color="000000" w:fill="FFFFFF"/>
            <w:noWrap/>
            <w:vAlign w:val="center"/>
            <w:hideMark/>
          </w:tcPr>
          <w:p w14:paraId="6BE64BD8"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494,8</w:t>
            </w:r>
          </w:p>
        </w:tc>
        <w:tc>
          <w:tcPr>
            <w:tcW w:w="1120" w:type="dxa"/>
            <w:tcBorders>
              <w:top w:val="single" w:sz="4" w:space="0" w:color="auto"/>
              <w:left w:val="nil"/>
              <w:bottom w:val="nil"/>
              <w:right w:val="single" w:sz="4" w:space="0" w:color="auto"/>
            </w:tcBorders>
            <w:shd w:val="clear" w:color="000000" w:fill="FFFFFF"/>
            <w:noWrap/>
            <w:vAlign w:val="center"/>
            <w:hideMark/>
          </w:tcPr>
          <w:p w14:paraId="7CF88C96"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123,2%</w:t>
            </w:r>
          </w:p>
        </w:tc>
      </w:tr>
      <w:tr w:rsidR="002F7850" w:rsidRPr="002F7850" w14:paraId="03A2D0C6" w14:textId="77777777" w:rsidTr="002D4AFF">
        <w:trPr>
          <w:trHeight w:val="315"/>
        </w:trPr>
        <w:tc>
          <w:tcPr>
            <w:tcW w:w="3160" w:type="dxa"/>
            <w:tcBorders>
              <w:top w:val="nil"/>
              <w:left w:val="single" w:sz="4" w:space="0" w:color="auto"/>
              <w:bottom w:val="nil"/>
              <w:right w:val="nil"/>
            </w:tcBorders>
            <w:shd w:val="clear" w:color="000000" w:fill="FFFFFF"/>
            <w:noWrap/>
            <w:vAlign w:val="center"/>
            <w:hideMark/>
          </w:tcPr>
          <w:p w14:paraId="4A10E5CB"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Rudy</w:t>
            </w:r>
          </w:p>
        </w:tc>
        <w:tc>
          <w:tcPr>
            <w:tcW w:w="1120" w:type="dxa"/>
            <w:tcBorders>
              <w:top w:val="nil"/>
              <w:left w:val="single" w:sz="4" w:space="0" w:color="auto"/>
              <w:bottom w:val="nil"/>
              <w:right w:val="nil"/>
            </w:tcBorders>
            <w:shd w:val="clear" w:color="000000" w:fill="FFFFFF"/>
            <w:noWrap/>
            <w:vAlign w:val="bottom"/>
            <w:hideMark/>
          </w:tcPr>
          <w:p w14:paraId="054C8B7E"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6,3</w:t>
            </w:r>
          </w:p>
        </w:tc>
        <w:tc>
          <w:tcPr>
            <w:tcW w:w="1240" w:type="dxa"/>
            <w:tcBorders>
              <w:top w:val="nil"/>
              <w:left w:val="nil"/>
              <w:bottom w:val="nil"/>
              <w:right w:val="nil"/>
            </w:tcBorders>
            <w:shd w:val="clear" w:color="000000" w:fill="FFFFFF"/>
            <w:noWrap/>
            <w:vAlign w:val="center"/>
            <w:hideMark/>
          </w:tcPr>
          <w:p w14:paraId="64902615"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15,1</w:t>
            </w:r>
          </w:p>
        </w:tc>
        <w:tc>
          <w:tcPr>
            <w:tcW w:w="1140" w:type="dxa"/>
            <w:tcBorders>
              <w:top w:val="nil"/>
              <w:left w:val="nil"/>
              <w:bottom w:val="nil"/>
              <w:right w:val="single" w:sz="4" w:space="0" w:color="auto"/>
            </w:tcBorders>
            <w:shd w:val="clear" w:color="000000" w:fill="FFFFFF"/>
            <w:noWrap/>
            <w:vAlign w:val="center"/>
            <w:hideMark/>
          </w:tcPr>
          <w:p w14:paraId="0911CE25"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0,0</w:t>
            </w:r>
          </w:p>
        </w:tc>
        <w:tc>
          <w:tcPr>
            <w:tcW w:w="1140" w:type="dxa"/>
            <w:tcBorders>
              <w:top w:val="single" w:sz="4" w:space="0" w:color="auto"/>
              <w:left w:val="nil"/>
              <w:bottom w:val="nil"/>
              <w:right w:val="single" w:sz="4" w:space="0" w:color="auto"/>
            </w:tcBorders>
            <w:shd w:val="clear" w:color="000000" w:fill="FFFFFF"/>
            <w:noWrap/>
            <w:vAlign w:val="center"/>
            <w:hideMark/>
          </w:tcPr>
          <w:p w14:paraId="0B1E251B"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-15,1</w:t>
            </w:r>
          </w:p>
        </w:tc>
        <w:tc>
          <w:tcPr>
            <w:tcW w:w="1120" w:type="dxa"/>
            <w:tcBorders>
              <w:top w:val="single" w:sz="4" w:space="0" w:color="auto"/>
              <w:left w:val="nil"/>
              <w:bottom w:val="nil"/>
              <w:right w:val="single" w:sz="4" w:space="0" w:color="auto"/>
            </w:tcBorders>
            <w:shd w:val="clear" w:color="000000" w:fill="FFFFFF"/>
            <w:noWrap/>
            <w:vAlign w:val="center"/>
            <w:hideMark/>
          </w:tcPr>
          <w:p w14:paraId="1E82311C"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0,0%</w:t>
            </w:r>
          </w:p>
        </w:tc>
      </w:tr>
      <w:tr w:rsidR="002F7850" w:rsidRPr="002F7850" w14:paraId="0B1CE363" w14:textId="77777777" w:rsidTr="002D4AFF">
        <w:trPr>
          <w:trHeight w:val="315"/>
        </w:trPr>
        <w:tc>
          <w:tcPr>
            <w:tcW w:w="3160" w:type="dxa"/>
            <w:tcBorders>
              <w:top w:val="nil"/>
              <w:left w:val="single" w:sz="4" w:space="0" w:color="auto"/>
              <w:bottom w:val="nil"/>
              <w:right w:val="nil"/>
            </w:tcBorders>
            <w:shd w:val="clear" w:color="000000" w:fill="FFFFFF"/>
            <w:noWrap/>
            <w:vAlign w:val="center"/>
            <w:hideMark/>
          </w:tcPr>
          <w:p w14:paraId="182FE7FE"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Inne masowe</w:t>
            </w:r>
          </w:p>
        </w:tc>
        <w:tc>
          <w:tcPr>
            <w:tcW w:w="1120" w:type="dxa"/>
            <w:tcBorders>
              <w:top w:val="nil"/>
              <w:left w:val="single" w:sz="4" w:space="0" w:color="auto"/>
              <w:bottom w:val="nil"/>
              <w:right w:val="nil"/>
            </w:tcBorders>
            <w:shd w:val="clear" w:color="000000" w:fill="FFFFFF"/>
            <w:noWrap/>
            <w:vAlign w:val="bottom"/>
            <w:hideMark/>
          </w:tcPr>
          <w:p w14:paraId="00E3A743"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1 100,9</w:t>
            </w:r>
          </w:p>
        </w:tc>
        <w:tc>
          <w:tcPr>
            <w:tcW w:w="1240" w:type="dxa"/>
            <w:tcBorders>
              <w:top w:val="nil"/>
              <w:left w:val="nil"/>
              <w:bottom w:val="nil"/>
              <w:right w:val="nil"/>
            </w:tcBorders>
            <w:shd w:val="clear" w:color="000000" w:fill="FFFFFF"/>
            <w:noWrap/>
            <w:vAlign w:val="center"/>
            <w:hideMark/>
          </w:tcPr>
          <w:p w14:paraId="38945A5B"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1 079,3</w:t>
            </w:r>
          </w:p>
        </w:tc>
        <w:tc>
          <w:tcPr>
            <w:tcW w:w="1140" w:type="dxa"/>
            <w:tcBorders>
              <w:top w:val="nil"/>
              <w:left w:val="nil"/>
              <w:bottom w:val="nil"/>
              <w:right w:val="single" w:sz="4" w:space="0" w:color="auto"/>
            </w:tcBorders>
            <w:shd w:val="clear" w:color="000000" w:fill="FFFFFF"/>
            <w:noWrap/>
            <w:vAlign w:val="center"/>
            <w:hideMark/>
          </w:tcPr>
          <w:p w14:paraId="2E5B248F"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1 311,3</w:t>
            </w:r>
          </w:p>
        </w:tc>
        <w:tc>
          <w:tcPr>
            <w:tcW w:w="1140" w:type="dxa"/>
            <w:tcBorders>
              <w:top w:val="single" w:sz="4" w:space="0" w:color="auto"/>
              <w:left w:val="nil"/>
              <w:bottom w:val="nil"/>
              <w:right w:val="single" w:sz="4" w:space="0" w:color="auto"/>
            </w:tcBorders>
            <w:shd w:val="clear" w:color="000000" w:fill="FFFFFF"/>
            <w:noWrap/>
            <w:vAlign w:val="center"/>
            <w:hideMark/>
          </w:tcPr>
          <w:p w14:paraId="79965C89"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232,0</w:t>
            </w:r>
          </w:p>
        </w:tc>
        <w:tc>
          <w:tcPr>
            <w:tcW w:w="1120" w:type="dxa"/>
            <w:tcBorders>
              <w:top w:val="single" w:sz="4" w:space="0" w:color="auto"/>
              <w:left w:val="nil"/>
              <w:bottom w:val="nil"/>
              <w:right w:val="single" w:sz="4" w:space="0" w:color="auto"/>
            </w:tcBorders>
            <w:shd w:val="clear" w:color="000000" w:fill="FFFFFF"/>
            <w:noWrap/>
            <w:vAlign w:val="center"/>
            <w:hideMark/>
          </w:tcPr>
          <w:p w14:paraId="1868E4C4"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121,5%</w:t>
            </w:r>
          </w:p>
        </w:tc>
      </w:tr>
      <w:tr w:rsidR="002F7850" w:rsidRPr="002F7850" w14:paraId="06BA3AA3" w14:textId="77777777" w:rsidTr="002D4AFF">
        <w:trPr>
          <w:trHeight w:val="315"/>
        </w:trPr>
        <w:tc>
          <w:tcPr>
            <w:tcW w:w="3160" w:type="dxa"/>
            <w:tcBorders>
              <w:top w:val="nil"/>
              <w:left w:val="single" w:sz="4" w:space="0" w:color="auto"/>
              <w:bottom w:val="nil"/>
              <w:right w:val="nil"/>
            </w:tcBorders>
            <w:shd w:val="clear" w:color="000000" w:fill="FFFFFF"/>
            <w:noWrap/>
            <w:vAlign w:val="center"/>
            <w:hideMark/>
          </w:tcPr>
          <w:p w14:paraId="6E4BF892"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Zboże</w:t>
            </w:r>
          </w:p>
        </w:tc>
        <w:tc>
          <w:tcPr>
            <w:tcW w:w="1120" w:type="dxa"/>
            <w:tcBorders>
              <w:top w:val="nil"/>
              <w:left w:val="single" w:sz="4" w:space="0" w:color="auto"/>
              <w:bottom w:val="nil"/>
              <w:right w:val="nil"/>
            </w:tcBorders>
            <w:shd w:val="clear" w:color="000000" w:fill="FFFFFF"/>
            <w:noWrap/>
            <w:vAlign w:val="bottom"/>
            <w:hideMark/>
          </w:tcPr>
          <w:p w14:paraId="738BEE4D"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4 090,5</w:t>
            </w:r>
          </w:p>
        </w:tc>
        <w:tc>
          <w:tcPr>
            <w:tcW w:w="1240" w:type="dxa"/>
            <w:tcBorders>
              <w:top w:val="nil"/>
              <w:left w:val="nil"/>
              <w:bottom w:val="nil"/>
              <w:right w:val="nil"/>
            </w:tcBorders>
            <w:shd w:val="clear" w:color="000000" w:fill="FFFFFF"/>
            <w:noWrap/>
            <w:vAlign w:val="center"/>
            <w:hideMark/>
          </w:tcPr>
          <w:p w14:paraId="5A41E427"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3 482,7</w:t>
            </w:r>
          </w:p>
        </w:tc>
        <w:tc>
          <w:tcPr>
            <w:tcW w:w="1140" w:type="dxa"/>
            <w:tcBorders>
              <w:top w:val="nil"/>
              <w:left w:val="nil"/>
              <w:bottom w:val="nil"/>
              <w:right w:val="single" w:sz="4" w:space="0" w:color="auto"/>
            </w:tcBorders>
            <w:shd w:val="clear" w:color="000000" w:fill="FFFFFF"/>
            <w:noWrap/>
            <w:vAlign w:val="center"/>
            <w:hideMark/>
          </w:tcPr>
          <w:p w14:paraId="2CDA8077"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2 994,8</w:t>
            </w:r>
          </w:p>
        </w:tc>
        <w:tc>
          <w:tcPr>
            <w:tcW w:w="1140" w:type="dxa"/>
            <w:tcBorders>
              <w:top w:val="single" w:sz="4" w:space="0" w:color="auto"/>
              <w:left w:val="nil"/>
              <w:bottom w:val="nil"/>
              <w:right w:val="single" w:sz="4" w:space="0" w:color="auto"/>
            </w:tcBorders>
            <w:shd w:val="clear" w:color="000000" w:fill="FFFFFF"/>
            <w:noWrap/>
            <w:vAlign w:val="center"/>
            <w:hideMark/>
          </w:tcPr>
          <w:p w14:paraId="557F15F8"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-487,9</w:t>
            </w:r>
          </w:p>
        </w:tc>
        <w:tc>
          <w:tcPr>
            <w:tcW w:w="1120" w:type="dxa"/>
            <w:tcBorders>
              <w:top w:val="single" w:sz="4" w:space="0" w:color="auto"/>
              <w:left w:val="nil"/>
              <w:bottom w:val="nil"/>
              <w:right w:val="single" w:sz="4" w:space="0" w:color="auto"/>
            </w:tcBorders>
            <w:shd w:val="clear" w:color="000000" w:fill="FFFFFF"/>
            <w:noWrap/>
            <w:vAlign w:val="center"/>
            <w:hideMark/>
          </w:tcPr>
          <w:p w14:paraId="077AA28A"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86,0%</w:t>
            </w:r>
          </w:p>
        </w:tc>
      </w:tr>
      <w:tr w:rsidR="002F7850" w:rsidRPr="002F7850" w14:paraId="59D06D33" w14:textId="77777777" w:rsidTr="002D4AFF">
        <w:trPr>
          <w:trHeight w:val="315"/>
        </w:trPr>
        <w:tc>
          <w:tcPr>
            <w:tcW w:w="3160" w:type="dxa"/>
            <w:tcBorders>
              <w:top w:val="nil"/>
              <w:left w:val="single" w:sz="4" w:space="0" w:color="auto"/>
              <w:bottom w:val="nil"/>
              <w:right w:val="nil"/>
            </w:tcBorders>
            <w:shd w:val="clear" w:color="000000" w:fill="FFFFFF"/>
            <w:noWrap/>
            <w:vAlign w:val="center"/>
            <w:hideMark/>
          </w:tcPr>
          <w:p w14:paraId="31684307"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Drewno</w:t>
            </w:r>
          </w:p>
        </w:tc>
        <w:tc>
          <w:tcPr>
            <w:tcW w:w="1120" w:type="dxa"/>
            <w:tcBorders>
              <w:top w:val="nil"/>
              <w:left w:val="single" w:sz="4" w:space="0" w:color="auto"/>
              <w:bottom w:val="nil"/>
              <w:right w:val="nil"/>
            </w:tcBorders>
            <w:shd w:val="clear" w:color="000000" w:fill="FFFFFF"/>
            <w:noWrap/>
            <w:vAlign w:val="bottom"/>
            <w:hideMark/>
          </w:tcPr>
          <w:p w14:paraId="07E025C9"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62,9</w:t>
            </w:r>
          </w:p>
        </w:tc>
        <w:tc>
          <w:tcPr>
            <w:tcW w:w="1240" w:type="dxa"/>
            <w:tcBorders>
              <w:top w:val="nil"/>
              <w:left w:val="nil"/>
              <w:bottom w:val="nil"/>
              <w:right w:val="nil"/>
            </w:tcBorders>
            <w:shd w:val="clear" w:color="000000" w:fill="FFFFFF"/>
            <w:noWrap/>
            <w:vAlign w:val="center"/>
            <w:hideMark/>
          </w:tcPr>
          <w:p w14:paraId="3D163303"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234,0</w:t>
            </w:r>
          </w:p>
        </w:tc>
        <w:tc>
          <w:tcPr>
            <w:tcW w:w="1140" w:type="dxa"/>
            <w:tcBorders>
              <w:top w:val="nil"/>
              <w:left w:val="nil"/>
              <w:bottom w:val="nil"/>
              <w:right w:val="single" w:sz="4" w:space="0" w:color="auto"/>
            </w:tcBorders>
            <w:shd w:val="clear" w:color="000000" w:fill="FFFFFF"/>
            <w:noWrap/>
            <w:vAlign w:val="center"/>
            <w:hideMark/>
          </w:tcPr>
          <w:p w14:paraId="17AFCD43"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979,2</w:t>
            </w:r>
          </w:p>
        </w:tc>
        <w:tc>
          <w:tcPr>
            <w:tcW w:w="1140" w:type="dxa"/>
            <w:tcBorders>
              <w:top w:val="single" w:sz="4" w:space="0" w:color="auto"/>
              <w:left w:val="nil"/>
              <w:bottom w:val="nil"/>
              <w:right w:val="single" w:sz="4" w:space="0" w:color="auto"/>
            </w:tcBorders>
            <w:shd w:val="clear" w:color="000000" w:fill="FFFFFF"/>
            <w:noWrap/>
            <w:vAlign w:val="center"/>
            <w:hideMark/>
          </w:tcPr>
          <w:p w14:paraId="4E624EA4"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745,2</w:t>
            </w:r>
          </w:p>
        </w:tc>
        <w:tc>
          <w:tcPr>
            <w:tcW w:w="1120" w:type="dxa"/>
            <w:tcBorders>
              <w:top w:val="single" w:sz="4" w:space="0" w:color="auto"/>
              <w:left w:val="nil"/>
              <w:bottom w:val="nil"/>
              <w:right w:val="single" w:sz="4" w:space="0" w:color="auto"/>
            </w:tcBorders>
            <w:shd w:val="clear" w:color="000000" w:fill="FFFFFF"/>
            <w:noWrap/>
            <w:vAlign w:val="center"/>
            <w:hideMark/>
          </w:tcPr>
          <w:p w14:paraId="2C6FD879"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418,5%</w:t>
            </w:r>
          </w:p>
        </w:tc>
      </w:tr>
      <w:tr w:rsidR="002F7850" w:rsidRPr="002F7850" w14:paraId="50622FE8" w14:textId="77777777" w:rsidTr="002D4AFF">
        <w:trPr>
          <w:trHeight w:val="315"/>
        </w:trPr>
        <w:tc>
          <w:tcPr>
            <w:tcW w:w="3160" w:type="dxa"/>
            <w:tcBorders>
              <w:top w:val="nil"/>
              <w:left w:val="single" w:sz="4" w:space="0" w:color="auto"/>
              <w:bottom w:val="nil"/>
              <w:right w:val="nil"/>
            </w:tcBorders>
            <w:shd w:val="clear" w:color="000000" w:fill="FFFFFF"/>
            <w:noWrap/>
            <w:vAlign w:val="center"/>
            <w:hideMark/>
          </w:tcPr>
          <w:p w14:paraId="2BFA362A"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Drobnica</w:t>
            </w:r>
          </w:p>
        </w:tc>
        <w:tc>
          <w:tcPr>
            <w:tcW w:w="1120" w:type="dxa"/>
            <w:tcBorders>
              <w:top w:val="nil"/>
              <w:left w:val="single" w:sz="4" w:space="0" w:color="auto"/>
              <w:bottom w:val="nil"/>
              <w:right w:val="nil"/>
            </w:tcBorders>
            <w:shd w:val="clear" w:color="000000" w:fill="FFFFFF"/>
            <w:noWrap/>
            <w:vAlign w:val="bottom"/>
            <w:hideMark/>
          </w:tcPr>
          <w:p w14:paraId="38FCADAB"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11 465,5</w:t>
            </w:r>
          </w:p>
        </w:tc>
        <w:tc>
          <w:tcPr>
            <w:tcW w:w="1240" w:type="dxa"/>
            <w:tcBorders>
              <w:top w:val="nil"/>
              <w:left w:val="nil"/>
              <w:bottom w:val="nil"/>
              <w:right w:val="nil"/>
            </w:tcBorders>
            <w:shd w:val="clear" w:color="000000" w:fill="FFFFFF"/>
            <w:noWrap/>
            <w:vAlign w:val="center"/>
            <w:hideMark/>
          </w:tcPr>
          <w:p w14:paraId="509F4CBE"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12 460,4</w:t>
            </w:r>
          </w:p>
        </w:tc>
        <w:tc>
          <w:tcPr>
            <w:tcW w:w="1140" w:type="dxa"/>
            <w:tcBorders>
              <w:top w:val="nil"/>
              <w:left w:val="nil"/>
              <w:bottom w:val="nil"/>
              <w:right w:val="single" w:sz="4" w:space="0" w:color="auto"/>
            </w:tcBorders>
            <w:shd w:val="clear" w:color="000000" w:fill="FFFFFF"/>
            <w:noWrap/>
            <w:vAlign w:val="center"/>
            <w:hideMark/>
          </w:tcPr>
          <w:p w14:paraId="0A4FE3C7"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13 817,9</w:t>
            </w:r>
          </w:p>
        </w:tc>
        <w:tc>
          <w:tcPr>
            <w:tcW w:w="1140" w:type="dxa"/>
            <w:tcBorders>
              <w:top w:val="single" w:sz="4" w:space="0" w:color="auto"/>
              <w:left w:val="nil"/>
              <w:bottom w:val="nil"/>
              <w:right w:val="single" w:sz="4" w:space="0" w:color="auto"/>
            </w:tcBorders>
            <w:shd w:val="clear" w:color="000000" w:fill="FFFFFF"/>
            <w:noWrap/>
            <w:vAlign w:val="center"/>
            <w:hideMark/>
          </w:tcPr>
          <w:p w14:paraId="35E1F919"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1 357,5</w:t>
            </w:r>
          </w:p>
        </w:tc>
        <w:tc>
          <w:tcPr>
            <w:tcW w:w="1120" w:type="dxa"/>
            <w:tcBorders>
              <w:top w:val="single" w:sz="4" w:space="0" w:color="auto"/>
              <w:left w:val="nil"/>
              <w:bottom w:val="nil"/>
              <w:right w:val="single" w:sz="4" w:space="0" w:color="auto"/>
            </w:tcBorders>
            <w:shd w:val="clear" w:color="000000" w:fill="FFFFFF"/>
            <w:noWrap/>
            <w:vAlign w:val="center"/>
            <w:hideMark/>
          </w:tcPr>
          <w:p w14:paraId="391E0993"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110,9%</w:t>
            </w:r>
          </w:p>
        </w:tc>
      </w:tr>
      <w:tr w:rsidR="002F7850" w:rsidRPr="002F7850" w14:paraId="1BB09593" w14:textId="77777777" w:rsidTr="002D4AFF">
        <w:trPr>
          <w:trHeight w:val="315"/>
        </w:trPr>
        <w:tc>
          <w:tcPr>
            <w:tcW w:w="3160" w:type="dxa"/>
            <w:tcBorders>
              <w:top w:val="nil"/>
              <w:left w:val="single" w:sz="4" w:space="0" w:color="auto"/>
              <w:bottom w:val="nil"/>
              <w:right w:val="nil"/>
            </w:tcBorders>
            <w:shd w:val="clear" w:color="000000" w:fill="FFFFFF"/>
            <w:noWrap/>
            <w:vAlign w:val="center"/>
            <w:hideMark/>
          </w:tcPr>
          <w:p w14:paraId="61D4B983"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Paliwa płynne</w:t>
            </w:r>
          </w:p>
        </w:tc>
        <w:tc>
          <w:tcPr>
            <w:tcW w:w="1120" w:type="dxa"/>
            <w:tcBorders>
              <w:top w:val="nil"/>
              <w:left w:val="single" w:sz="4" w:space="0" w:color="auto"/>
              <w:bottom w:val="nil"/>
              <w:right w:val="nil"/>
            </w:tcBorders>
            <w:shd w:val="clear" w:color="000000" w:fill="FFFFFF"/>
            <w:noWrap/>
            <w:vAlign w:val="bottom"/>
            <w:hideMark/>
          </w:tcPr>
          <w:p w14:paraId="38DDB573"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1 324,4</w:t>
            </w:r>
          </w:p>
        </w:tc>
        <w:tc>
          <w:tcPr>
            <w:tcW w:w="1240" w:type="dxa"/>
            <w:tcBorders>
              <w:top w:val="nil"/>
              <w:left w:val="nil"/>
              <w:bottom w:val="nil"/>
              <w:right w:val="nil"/>
            </w:tcBorders>
            <w:shd w:val="clear" w:color="000000" w:fill="FFFFFF"/>
            <w:noWrap/>
            <w:vAlign w:val="center"/>
            <w:hideMark/>
          </w:tcPr>
          <w:p w14:paraId="2C86D4F8"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1 819,1</w:t>
            </w:r>
          </w:p>
        </w:tc>
        <w:tc>
          <w:tcPr>
            <w:tcW w:w="1140" w:type="dxa"/>
            <w:tcBorders>
              <w:top w:val="nil"/>
              <w:left w:val="nil"/>
              <w:bottom w:val="nil"/>
              <w:right w:val="single" w:sz="4" w:space="0" w:color="auto"/>
            </w:tcBorders>
            <w:shd w:val="clear" w:color="000000" w:fill="FFFFFF"/>
            <w:noWrap/>
            <w:vAlign w:val="center"/>
            <w:hideMark/>
          </w:tcPr>
          <w:p w14:paraId="4BA4FFEA"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1 759,6</w:t>
            </w:r>
          </w:p>
        </w:tc>
        <w:tc>
          <w:tcPr>
            <w:tcW w:w="1140" w:type="dxa"/>
            <w:tcBorders>
              <w:top w:val="single" w:sz="4" w:space="0" w:color="auto"/>
              <w:left w:val="nil"/>
              <w:bottom w:val="nil"/>
              <w:right w:val="single" w:sz="4" w:space="0" w:color="auto"/>
            </w:tcBorders>
            <w:shd w:val="clear" w:color="000000" w:fill="FFFFFF"/>
            <w:noWrap/>
            <w:vAlign w:val="center"/>
            <w:hideMark/>
          </w:tcPr>
          <w:p w14:paraId="13FA9B56"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-59,5</w:t>
            </w:r>
          </w:p>
        </w:tc>
        <w:tc>
          <w:tcPr>
            <w:tcW w:w="1120" w:type="dxa"/>
            <w:tcBorders>
              <w:top w:val="single" w:sz="4" w:space="0" w:color="auto"/>
              <w:left w:val="nil"/>
              <w:bottom w:val="nil"/>
              <w:right w:val="single" w:sz="4" w:space="0" w:color="auto"/>
            </w:tcBorders>
            <w:shd w:val="clear" w:color="000000" w:fill="FFFFFF"/>
            <w:noWrap/>
            <w:vAlign w:val="center"/>
            <w:hideMark/>
          </w:tcPr>
          <w:p w14:paraId="1025F83A"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96,7%</w:t>
            </w:r>
          </w:p>
        </w:tc>
      </w:tr>
      <w:tr w:rsidR="002F7850" w:rsidRPr="002F7850" w14:paraId="364D3535" w14:textId="77777777" w:rsidTr="002D4AFF">
        <w:trPr>
          <w:trHeight w:val="300"/>
        </w:trPr>
        <w:tc>
          <w:tcPr>
            <w:tcW w:w="3160" w:type="dxa"/>
            <w:tcBorders>
              <w:top w:val="single" w:sz="4" w:space="0" w:color="auto"/>
              <w:left w:val="single" w:sz="4" w:space="0" w:color="auto"/>
              <w:bottom w:val="single" w:sz="4" w:space="0" w:color="auto"/>
              <w:right w:val="nil"/>
            </w:tcBorders>
            <w:shd w:val="clear" w:color="000000" w:fill="FFFFFF"/>
            <w:noWrap/>
            <w:vAlign w:val="center"/>
            <w:hideMark/>
          </w:tcPr>
          <w:p w14:paraId="6066ED56"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Przeładunki ogółem</w:t>
            </w:r>
          </w:p>
        </w:tc>
        <w:tc>
          <w:tcPr>
            <w:tcW w:w="1120" w:type="dxa"/>
            <w:tcBorders>
              <w:top w:val="single" w:sz="4" w:space="0" w:color="auto"/>
              <w:left w:val="single" w:sz="4" w:space="0" w:color="auto"/>
              <w:bottom w:val="single" w:sz="4" w:space="0" w:color="auto"/>
              <w:right w:val="nil"/>
            </w:tcBorders>
            <w:shd w:val="clear" w:color="000000" w:fill="FFFFFF"/>
            <w:noWrap/>
            <w:vAlign w:val="bottom"/>
            <w:hideMark/>
          </w:tcPr>
          <w:p w14:paraId="67ABDA46"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19 536,3</w:t>
            </w:r>
          </w:p>
        </w:tc>
        <w:tc>
          <w:tcPr>
            <w:tcW w:w="1240" w:type="dxa"/>
            <w:tcBorders>
              <w:top w:val="single" w:sz="4" w:space="0" w:color="auto"/>
              <w:left w:val="nil"/>
              <w:bottom w:val="single" w:sz="4" w:space="0" w:color="auto"/>
              <w:right w:val="nil"/>
            </w:tcBorders>
            <w:shd w:val="clear" w:color="000000" w:fill="FFFFFF"/>
            <w:noWrap/>
            <w:vAlign w:val="center"/>
            <w:hideMark/>
          </w:tcPr>
          <w:p w14:paraId="46E1AE0F"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21 225,2</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14:paraId="5ADF4E3D"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23 492,0</w:t>
            </w:r>
          </w:p>
        </w:tc>
        <w:tc>
          <w:tcPr>
            <w:tcW w:w="1140" w:type="dxa"/>
            <w:tcBorders>
              <w:top w:val="single" w:sz="4" w:space="0" w:color="auto"/>
              <w:left w:val="nil"/>
              <w:bottom w:val="single" w:sz="4" w:space="0" w:color="auto"/>
              <w:right w:val="nil"/>
            </w:tcBorders>
            <w:shd w:val="clear" w:color="000000" w:fill="FFFFFF"/>
            <w:noWrap/>
            <w:vAlign w:val="center"/>
            <w:hideMark/>
          </w:tcPr>
          <w:p w14:paraId="43C95D5E"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2 266,2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FA582"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110,7%</w:t>
            </w:r>
          </w:p>
        </w:tc>
      </w:tr>
    </w:tbl>
    <w:p w14:paraId="4AFF08F2" w14:textId="77777777" w:rsidR="002F7850" w:rsidRPr="002F7850" w:rsidRDefault="002F7850" w:rsidP="002F7850">
      <w:pPr>
        <w:spacing w:after="0" w:line="240" w:lineRule="auto"/>
        <w:rPr>
          <w:rFonts w:ascii="Arial" w:eastAsia="Times New Roman" w:hAnsi="Arial" w:cs="Arial"/>
          <w:sz w:val="20"/>
          <w:szCs w:val="20"/>
          <w:lang w:eastAsia="pl-PL"/>
        </w:rPr>
      </w:pPr>
    </w:p>
    <w:p w14:paraId="35070BD3" w14:textId="77777777" w:rsidR="002F7850" w:rsidRPr="002F7850" w:rsidRDefault="002F7850" w:rsidP="002F7850">
      <w:pPr>
        <w:spacing w:after="0" w:line="240" w:lineRule="auto"/>
        <w:rPr>
          <w:rFonts w:ascii="Arial" w:eastAsia="Times New Roman" w:hAnsi="Arial" w:cs="Arial"/>
          <w:sz w:val="20"/>
          <w:szCs w:val="20"/>
          <w:lang w:eastAsia="pl-PL"/>
        </w:rPr>
      </w:pPr>
    </w:p>
    <w:p w14:paraId="6A5D644F" w14:textId="77777777" w:rsidR="002F7850" w:rsidRPr="002F7850" w:rsidRDefault="002F7850" w:rsidP="002F7850">
      <w:pPr>
        <w:spacing w:after="0" w:line="240" w:lineRule="auto"/>
        <w:rPr>
          <w:rFonts w:ascii="Arial" w:eastAsia="Times New Roman" w:hAnsi="Arial" w:cs="Arial"/>
          <w:sz w:val="20"/>
          <w:szCs w:val="20"/>
          <w:lang w:eastAsia="pl-PL"/>
        </w:rPr>
      </w:pPr>
      <w:r w:rsidRPr="002F7850">
        <w:rPr>
          <w:rFonts w:ascii="Arial" w:eastAsia="Times New Roman" w:hAnsi="Arial" w:cs="Arial"/>
          <w:b/>
          <w:sz w:val="20"/>
          <w:szCs w:val="20"/>
          <w:lang w:eastAsia="pl-PL"/>
        </w:rPr>
        <w:t>Tab. 3.</w:t>
      </w:r>
      <w:r w:rsidRPr="002F7850">
        <w:rPr>
          <w:rFonts w:ascii="Arial" w:eastAsia="Times New Roman" w:hAnsi="Arial" w:cs="Arial"/>
          <w:sz w:val="20"/>
          <w:szCs w:val="20"/>
          <w:lang w:eastAsia="pl-PL"/>
        </w:rPr>
        <w:t xml:space="preserve"> </w:t>
      </w:r>
      <w:r w:rsidRPr="00EA2C35">
        <w:rPr>
          <w:rFonts w:ascii="Arial" w:eastAsia="Times New Roman" w:hAnsi="Arial" w:cs="Arial"/>
          <w:b/>
          <w:sz w:val="20"/>
          <w:szCs w:val="20"/>
          <w:lang w:eastAsia="pl-PL"/>
        </w:rPr>
        <w:t>Liczba pasażerów statków typu Cruise w latach 2016-2018</w:t>
      </w:r>
    </w:p>
    <w:tbl>
      <w:tblPr>
        <w:tblW w:w="8920" w:type="dxa"/>
        <w:tblInd w:w="55" w:type="dxa"/>
        <w:tblCellMar>
          <w:left w:w="70" w:type="dxa"/>
          <w:right w:w="70" w:type="dxa"/>
        </w:tblCellMar>
        <w:tblLook w:val="04A0" w:firstRow="1" w:lastRow="0" w:firstColumn="1" w:lastColumn="0" w:noHBand="0" w:noVBand="1"/>
      </w:tblPr>
      <w:tblGrid>
        <w:gridCol w:w="3160"/>
        <w:gridCol w:w="1120"/>
        <w:gridCol w:w="1240"/>
        <w:gridCol w:w="1140"/>
        <w:gridCol w:w="1140"/>
        <w:gridCol w:w="1120"/>
      </w:tblGrid>
      <w:tr w:rsidR="002F7850" w:rsidRPr="002F7850" w14:paraId="67BFEC28" w14:textId="77777777" w:rsidTr="002D4AFF">
        <w:trPr>
          <w:trHeight w:val="300"/>
        </w:trPr>
        <w:tc>
          <w:tcPr>
            <w:tcW w:w="3160" w:type="dxa"/>
            <w:tcBorders>
              <w:top w:val="nil"/>
              <w:left w:val="nil"/>
              <w:bottom w:val="nil"/>
              <w:right w:val="nil"/>
            </w:tcBorders>
            <w:shd w:val="clear" w:color="auto" w:fill="auto"/>
            <w:noWrap/>
            <w:vAlign w:val="bottom"/>
            <w:hideMark/>
          </w:tcPr>
          <w:p w14:paraId="1BDE0F8E"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20" w:type="dxa"/>
            <w:tcBorders>
              <w:top w:val="nil"/>
              <w:left w:val="nil"/>
              <w:bottom w:val="nil"/>
              <w:right w:val="nil"/>
            </w:tcBorders>
            <w:shd w:val="clear" w:color="auto" w:fill="auto"/>
            <w:noWrap/>
            <w:vAlign w:val="bottom"/>
            <w:hideMark/>
          </w:tcPr>
          <w:p w14:paraId="310780CC"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240" w:type="dxa"/>
            <w:tcBorders>
              <w:top w:val="nil"/>
              <w:left w:val="nil"/>
              <w:bottom w:val="nil"/>
              <w:right w:val="nil"/>
            </w:tcBorders>
            <w:shd w:val="clear" w:color="auto" w:fill="auto"/>
            <w:noWrap/>
            <w:vAlign w:val="bottom"/>
            <w:hideMark/>
          </w:tcPr>
          <w:p w14:paraId="07E4CD28"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40" w:type="dxa"/>
            <w:tcBorders>
              <w:top w:val="nil"/>
              <w:left w:val="nil"/>
              <w:bottom w:val="nil"/>
              <w:right w:val="nil"/>
            </w:tcBorders>
            <w:shd w:val="clear" w:color="auto" w:fill="auto"/>
            <w:noWrap/>
            <w:vAlign w:val="bottom"/>
            <w:hideMark/>
          </w:tcPr>
          <w:p w14:paraId="6F9F3019"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226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05349B"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zmiana 2018/2017</w:t>
            </w:r>
          </w:p>
        </w:tc>
      </w:tr>
      <w:tr w:rsidR="002F7850" w:rsidRPr="002F7850" w14:paraId="59772EE6" w14:textId="77777777" w:rsidTr="002D4AFF">
        <w:trPr>
          <w:trHeight w:val="600"/>
        </w:trPr>
        <w:tc>
          <w:tcPr>
            <w:tcW w:w="3160" w:type="dxa"/>
            <w:tcBorders>
              <w:top w:val="single" w:sz="4" w:space="0" w:color="auto"/>
              <w:left w:val="single" w:sz="4" w:space="0" w:color="auto"/>
              <w:bottom w:val="nil"/>
              <w:right w:val="nil"/>
            </w:tcBorders>
            <w:shd w:val="clear" w:color="000000" w:fill="C5D9F1"/>
            <w:vAlign w:val="bottom"/>
            <w:hideMark/>
          </w:tcPr>
          <w:p w14:paraId="48D3B02B" w14:textId="77777777" w:rsidR="002F7850" w:rsidRPr="002F7850" w:rsidRDefault="002F7850" w:rsidP="002F7850">
            <w:pPr>
              <w:spacing w:after="0" w:line="240" w:lineRule="auto"/>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Wyszczególnienie</w:t>
            </w:r>
          </w:p>
        </w:tc>
        <w:tc>
          <w:tcPr>
            <w:tcW w:w="1120" w:type="dxa"/>
            <w:tcBorders>
              <w:top w:val="single" w:sz="4" w:space="0" w:color="auto"/>
              <w:left w:val="single" w:sz="4" w:space="0" w:color="auto"/>
              <w:bottom w:val="single" w:sz="4" w:space="0" w:color="auto"/>
              <w:right w:val="nil"/>
            </w:tcBorders>
            <w:shd w:val="clear" w:color="000000" w:fill="C5D9F1"/>
            <w:vAlign w:val="bottom"/>
            <w:hideMark/>
          </w:tcPr>
          <w:p w14:paraId="7C1A4233"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2016</w:t>
            </w:r>
          </w:p>
        </w:tc>
        <w:tc>
          <w:tcPr>
            <w:tcW w:w="1240" w:type="dxa"/>
            <w:tcBorders>
              <w:top w:val="single" w:sz="4" w:space="0" w:color="auto"/>
              <w:left w:val="nil"/>
              <w:bottom w:val="single" w:sz="4" w:space="0" w:color="auto"/>
              <w:right w:val="nil"/>
            </w:tcBorders>
            <w:shd w:val="clear" w:color="000000" w:fill="C5D9F1"/>
            <w:vAlign w:val="bottom"/>
            <w:hideMark/>
          </w:tcPr>
          <w:p w14:paraId="166AA3E7"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2017</w:t>
            </w:r>
          </w:p>
        </w:tc>
        <w:tc>
          <w:tcPr>
            <w:tcW w:w="1140" w:type="dxa"/>
            <w:tcBorders>
              <w:top w:val="single" w:sz="4" w:space="0" w:color="auto"/>
              <w:left w:val="nil"/>
              <w:bottom w:val="single" w:sz="4" w:space="0" w:color="auto"/>
              <w:right w:val="single" w:sz="4" w:space="0" w:color="auto"/>
            </w:tcBorders>
            <w:shd w:val="clear" w:color="000000" w:fill="C5D9F1"/>
            <w:vAlign w:val="bottom"/>
            <w:hideMark/>
          </w:tcPr>
          <w:p w14:paraId="141E94AF"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2018</w:t>
            </w:r>
          </w:p>
        </w:tc>
        <w:tc>
          <w:tcPr>
            <w:tcW w:w="1140" w:type="dxa"/>
            <w:tcBorders>
              <w:top w:val="nil"/>
              <w:left w:val="nil"/>
              <w:bottom w:val="nil"/>
              <w:right w:val="single" w:sz="4" w:space="0" w:color="auto"/>
            </w:tcBorders>
            <w:shd w:val="clear" w:color="000000" w:fill="C5D9F1"/>
            <w:vAlign w:val="bottom"/>
            <w:hideMark/>
          </w:tcPr>
          <w:p w14:paraId="743AC727"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osoby/ statki</w:t>
            </w:r>
          </w:p>
        </w:tc>
        <w:tc>
          <w:tcPr>
            <w:tcW w:w="1120" w:type="dxa"/>
            <w:tcBorders>
              <w:top w:val="nil"/>
              <w:left w:val="nil"/>
              <w:bottom w:val="nil"/>
              <w:right w:val="single" w:sz="4" w:space="0" w:color="auto"/>
            </w:tcBorders>
            <w:shd w:val="clear" w:color="000000" w:fill="C5D9F1"/>
            <w:vAlign w:val="bottom"/>
            <w:hideMark/>
          </w:tcPr>
          <w:p w14:paraId="0DF70B3F"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 %</w:t>
            </w:r>
          </w:p>
        </w:tc>
      </w:tr>
      <w:tr w:rsidR="002F7850" w:rsidRPr="002F7850" w14:paraId="2F8DCD32" w14:textId="77777777" w:rsidTr="002D4AFF">
        <w:trPr>
          <w:trHeight w:val="300"/>
        </w:trPr>
        <w:tc>
          <w:tcPr>
            <w:tcW w:w="3160" w:type="dxa"/>
            <w:tcBorders>
              <w:top w:val="single" w:sz="4" w:space="0" w:color="auto"/>
              <w:left w:val="single" w:sz="4" w:space="0" w:color="auto"/>
              <w:bottom w:val="nil"/>
              <w:right w:val="single" w:sz="4" w:space="0" w:color="auto"/>
            </w:tcBorders>
            <w:shd w:val="clear" w:color="000000" w:fill="FFFFFF"/>
            <w:vAlign w:val="bottom"/>
            <w:hideMark/>
          </w:tcPr>
          <w:p w14:paraId="4C4F248A"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Pasażerowie</w:t>
            </w:r>
          </w:p>
        </w:tc>
        <w:tc>
          <w:tcPr>
            <w:tcW w:w="1120" w:type="dxa"/>
            <w:tcBorders>
              <w:top w:val="nil"/>
              <w:left w:val="nil"/>
              <w:bottom w:val="nil"/>
              <w:right w:val="nil"/>
            </w:tcBorders>
            <w:shd w:val="clear" w:color="000000" w:fill="FFFFFF"/>
            <w:vAlign w:val="bottom"/>
            <w:hideMark/>
          </w:tcPr>
          <w:p w14:paraId="1339AD0F"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81 833</w:t>
            </w:r>
          </w:p>
        </w:tc>
        <w:tc>
          <w:tcPr>
            <w:tcW w:w="1240" w:type="dxa"/>
            <w:tcBorders>
              <w:top w:val="nil"/>
              <w:left w:val="nil"/>
              <w:bottom w:val="nil"/>
              <w:right w:val="nil"/>
            </w:tcBorders>
            <w:shd w:val="clear" w:color="000000" w:fill="FFFFFF"/>
            <w:vAlign w:val="bottom"/>
            <w:hideMark/>
          </w:tcPr>
          <w:p w14:paraId="26B0D3A5"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88 616</w:t>
            </w:r>
          </w:p>
        </w:tc>
        <w:tc>
          <w:tcPr>
            <w:tcW w:w="1140" w:type="dxa"/>
            <w:tcBorders>
              <w:top w:val="nil"/>
              <w:left w:val="nil"/>
              <w:bottom w:val="nil"/>
              <w:right w:val="nil"/>
            </w:tcBorders>
            <w:shd w:val="clear" w:color="000000" w:fill="FFFFFF"/>
            <w:vAlign w:val="bottom"/>
            <w:hideMark/>
          </w:tcPr>
          <w:p w14:paraId="68B42772"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102 397</w:t>
            </w:r>
          </w:p>
        </w:tc>
        <w:tc>
          <w:tcPr>
            <w:tcW w:w="1140" w:type="dxa"/>
            <w:tcBorders>
              <w:top w:val="single" w:sz="4" w:space="0" w:color="auto"/>
              <w:left w:val="single" w:sz="4" w:space="0" w:color="auto"/>
              <w:bottom w:val="nil"/>
              <w:right w:val="nil"/>
            </w:tcBorders>
            <w:shd w:val="clear" w:color="000000" w:fill="FFFFFF"/>
            <w:vAlign w:val="bottom"/>
            <w:hideMark/>
          </w:tcPr>
          <w:p w14:paraId="625A3DB1"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13 781</w:t>
            </w:r>
          </w:p>
        </w:tc>
        <w:tc>
          <w:tcPr>
            <w:tcW w:w="1120" w:type="dxa"/>
            <w:tcBorders>
              <w:top w:val="single" w:sz="4" w:space="0" w:color="auto"/>
              <w:left w:val="single" w:sz="4" w:space="0" w:color="auto"/>
              <w:bottom w:val="nil"/>
              <w:right w:val="single" w:sz="4" w:space="0" w:color="auto"/>
            </w:tcBorders>
            <w:shd w:val="clear" w:color="000000" w:fill="FFFFFF"/>
            <w:vAlign w:val="bottom"/>
            <w:hideMark/>
          </w:tcPr>
          <w:p w14:paraId="3AFDA41D"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115,6</w:t>
            </w:r>
          </w:p>
        </w:tc>
      </w:tr>
      <w:tr w:rsidR="002F7850" w:rsidRPr="002F7850" w14:paraId="42A7DB90" w14:textId="77777777" w:rsidTr="002D4AFF">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6E05B6C7"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Statki</w:t>
            </w:r>
          </w:p>
        </w:tc>
        <w:tc>
          <w:tcPr>
            <w:tcW w:w="1120" w:type="dxa"/>
            <w:tcBorders>
              <w:top w:val="nil"/>
              <w:left w:val="nil"/>
              <w:bottom w:val="single" w:sz="4" w:space="0" w:color="auto"/>
              <w:right w:val="nil"/>
            </w:tcBorders>
            <w:shd w:val="clear" w:color="auto" w:fill="auto"/>
            <w:vAlign w:val="bottom"/>
            <w:hideMark/>
          </w:tcPr>
          <w:p w14:paraId="6C41D24C"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50</w:t>
            </w:r>
          </w:p>
        </w:tc>
        <w:tc>
          <w:tcPr>
            <w:tcW w:w="1240" w:type="dxa"/>
            <w:tcBorders>
              <w:top w:val="nil"/>
              <w:left w:val="nil"/>
              <w:bottom w:val="single" w:sz="4" w:space="0" w:color="auto"/>
              <w:right w:val="nil"/>
            </w:tcBorders>
            <w:shd w:val="clear" w:color="auto" w:fill="auto"/>
            <w:vAlign w:val="bottom"/>
            <w:hideMark/>
          </w:tcPr>
          <w:p w14:paraId="342D9DEE"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41</w:t>
            </w:r>
          </w:p>
        </w:tc>
        <w:tc>
          <w:tcPr>
            <w:tcW w:w="1140" w:type="dxa"/>
            <w:tcBorders>
              <w:top w:val="nil"/>
              <w:left w:val="nil"/>
              <w:bottom w:val="single" w:sz="4" w:space="0" w:color="auto"/>
              <w:right w:val="nil"/>
            </w:tcBorders>
            <w:shd w:val="clear" w:color="auto" w:fill="auto"/>
            <w:noWrap/>
            <w:vAlign w:val="bottom"/>
            <w:hideMark/>
          </w:tcPr>
          <w:p w14:paraId="551071BA" w14:textId="77777777" w:rsidR="002F7850" w:rsidRPr="002F7850" w:rsidRDefault="002F7850" w:rsidP="002F7850">
            <w:pPr>
              <w:spacing w:after="0" w:line="240" w:lineRule="auto"/>
              <w:jc w:val="right"/>
              <w:rPr>
                <w:rFonts w:ascii="Arial" w:eastAsia="Times New Roman" w:hAnsi="Arial" w:cs="Arial"/>
                <w:sz w:val="20"/>
                <w:szCs w:val="20"/>
                <w:lang w:eastAsia="pl-PL"/>
              </w:rPr>
            </w:pPr>
            <w:r w:rsidRPr="002F7850">
              <w:rPr>
                <w:rFonts w:ascii="Arial" w:eastAsia="Times New Roman" w:hAnsi="Arial" w:cs="Arial"/>
                <w:sz w:val="20"/>
                <w:szCs w:val="20"/>
                <w:lang w:eastAsia="pl-PL"/>
              </w:rPr>
              <w:t>50</w:t>
            </w:r>
          </w:p>
        </w:tc>
        <w:tc>
          <w:tcPr>
            <w:tcW w:w="1140" w:type="dxa"/>
            <w:tcBorders>
              <w:top w:val="nil"/>
              <w:left w:val="single" w:sz="4" w:space="0" w:color="auto"/>
              <w:bottom w:val="single" w:sz="4" w:space="0" w:color="auto"/>
              <w:right w:val="nil"/>
            </w:tcBorders>
            <w:shd w:val="clear" w:color="auto" w:fill="auto"/>
            <w:vAlign w:val="bottom"/>
            <w:hideMark/>
          </w:tcPr>
          <w:p w14:paraId="72E7C43C"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9</w:t>
            </w:r>
          </w:p>
        </w:tc>
        <w:tc>
          <w:tcPr>
            <w:tcW w:w="1120" w:type="dxa"/>
            <w:tcBorders>
              <w:top w:val="nil"/>
              <w:left w:val="single" w:sz="4" w:space="0" w:color="auto"/>
              <w:bottom w:val="single" w:sz="4" w:space="0" w:color="auto"/>
              <w:right w:val="single" w:sz="4" w:space="0" w:color="auto"/>
            </w:tcBorders>
            <w:shd w:val="clear" w:color="auto" w:fill="auto"/>
            <w:vAlign w:val="bottom"/>
            <w:hideMark/>
          </w:tcPr>
          <w:p w14:paraId="40601F91"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122,0</w:t>
            </w:r>
          </w:p>
        </w:tc>
      </w:tr>
    </w:tbl>
    <w:p w14:paraId="3C9EEDA4" w14:textId="77777777" w:rsidR="002F7850" w:rsidRPr="002F7850" w:rsidRDefault="002F7850" w:rsidP="002F7850">
      <w:pPr>
        <w:spacing w:after="0" w:line="240" w:lineRule="auto"/>
        <w:rPr>
          <w:rFonts w:ascii="Arial" w:eastAsia="Times New Roman" w:hAnsi="Arial" w:cs="Arial"/>
          <w:sz w:val="20"/>
          <w:szCs w:val="20"/>
          <w:lang w:eastAsia="pl-PL"/>
        </w:rPr>
      </w:pPr>
    </w:p>
    <w:p w14:paraId="47B87C21" w14:textId="77777777" w:rsidR="00EA2C35" w:rsidRDefault="00EA2C35" w:rsidP="002F7850">
      <w:pPr>
        <w:spacing w:after="0" w:line="240" w:lineRule="auto"/>
        <w:rPr>
          <w:rFonts w:ascii="Arial" w:eastAsia="Times New Roman" w:hAnsi="Arial" w:cs="Arial"/>
          <w:sz w:val="20"/>
          <w:szCs w:val="20"/>
          <w:lang w:eastAsia="pl-PL"/>
        </w:rPr>
      </w:pPr>
    </w:p>
    <w:p w14:paraId="0B7ECB65" w14:textId="77777777" w:rsidR="00EA2C35" w:rsidRPr="002F7850" w:rsidRDefault="00EA2C35" w:rsidP="002F7850">
      <w:pPr>
        <w:spacing w:after="0" w:line="240" w:lineRule="auto"/>
        <w:rPr>
          <w:rFonts w:ascii="Arial" w:eastAsia="Times New Roman" w:hAnsi="Arial" w:cs="Arial"/>
          <w:sz w:val="20"/>
          <w:szCs w:val="20"/>
          <w:lang w:eastAsia="pl-PL"/>
        </w:rPr>
      </w:pPr>
    </w:p>
    <w:p w14:paraId="1A4D8728" w14:textId="77777777" w:rsidR="002F7850" w:rsidRPr="002F7850" w:rsidRDefault="002F7850" w:rsidP="002F7850">
      <w:pPr>
        <w:spacing w:after="0" w:line="240" w:lineRule="auto"/>
        <w:rPr>
          <w:rFonts w:ascii="Arial" w:eastAsia="Times New Roman" w:hAnsi="Arial" w:cs="Arial"/>
          <w:sz w:val="20"/>
          <w:szCs w:val="20"/>
          <w:lang w:eastAsia="pl-PL"/>
        </w:rPr>
      </w:pPr>
      <w:r w:rsidRPr="002F7850">
        <w:rPr>
          <w:rFonts w:ascii="Arial" w:eastAsia="Times New Roman" w:hAnsi="Arial" w:cs="Arial"/>
          <w:b/>
          <w:sz w:val="20"/>
          <w:szCs w:val="20"/>
          <w:lang w:eastAsia="pl-PL"/>
        </w:rPr>
        <w:t>Tab. 4.</w:t>
      </w:r>
      <w:r w:rsidRPr="002F7850">
        <w:rPr>
          <w:rFonts w:ascii="Arial" w:eastAsia="Times New Roman" w:hAnsi="Arial" w:cs="Arial"/>
          <w:sz w:val="20"/>
          <w:szCs w:val="20"/>
          <w:lang w:eastAsia="pl-PL"/>
        </w:rPr>
        <w:t xml:space="preserve"> </w:t>
      </w:r>
      <w:r w:rsidRPr="00193CE8">
        <w:rPr>
          <w:rFonts w:ascii="Arial" w:eastAsia="Times New Roman" w:hAnsi="Arial" w:cs="Arial"/>
          <w:b/>
          <w:sz w:val="20"/>
          <w:szCs w:val="20"/>
          <w:lang w:eastAsia="pl-PL"/>
        </w:rPr>
        <w:t>Przeładunki kontenerów w latach 2016-2018 (w TEU</w:t>
      </w:r>
      <w:r w:rsidRPr="002F7850">
        <w:rPr>
          <w:rFonts w:ascii="Arial" w:eastAsia="Times New Roman" w:hAnsi="Arial" w:cs="Arial"/>
          <w:sz w:val="20"/>
          <w:szCs w:val="20"/>
          <w:lang w:eastAsia="pl-PL"/>
        </w:rPr>
        <w:t>)</w:t>
      </w:r>
    </w:p>
    <w:tbl>
      <w:tblPr>
        <w:tblW w:w="8920" w:type="dxa"/>
        <w:tblInd w:w="55" w:type="dxa"/>
        <w:tblCellMar>
          <w:left w:w="70" w:type="dxa"/>
          <w:right w:w="70" w:type="dxa"/>
        </w:tblCellMar>
        <w:tblLook w:val="04A0" w:firstRow="1" w:lastRow="0" w:firstColumn="1" w:lastColumn="0" w:noHBand="0" w:noVBand="1"/>
      </w:tblPr>
      <w:tblGrid>
        <w:gridCol w:w="3160"/>
        <w:gridCol w:w="1120"/>
        <w:gridCol w:w="1240"/>
        <w:gridCol w:w="1140"/>
        <w:gridCol w:w="1140"/>
        <w:gridCol w:w="1120"/>
      </w:tblGrid>
      <w:tr w:rsidR="002F7850" w:rsidRPr="002F7850" w14:paraId="21C82C90" w14:textId="77777777" w:rsidTr="002D4AFF">
        <w:trPr>
          <w:trHeight w:val="300"/>
        </w:trPr>
        <w:tc>
          <w:tcPr>
            <w:tcW w:w="3160" w:type="dxa"/>
            <w:tcBorders>
              <w:top w:val="nil"/>
              <w:left w:val="nil"/>
              <w:bottom w:val="nil"/>
              <w:right w:val="nil"/>
            </w:tcBorders>
            <w:shd w:val="clear" w:color="auto" w:fill="auto"/>
            <w:noWrap/>
            <w:vAlign w:val="bottom"/>
            <w:hideMark/>
          </w:tcPr>
          <w:p w14:paraId="2B46DC7A"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20" w:type="dxa"/>
            <w:tcBorders>
              <w:top w:val="nil"/>
              <w:left w:val="nil"/>
              <w:bottom w:val="nil"/>
              <w:right w:val="nil"/>
            </w:tcBorders>
            <w:shd w:val="clear" w:color="auto" w:fill="auto"/>
            <w:noWrap/>
            <w:vAlign w:val="bottom"/>
            <w:hideMark/>
          </w:tcPr>
          <w:p w14:paraId="58851115"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240" w:type="dxa"/>
            <w:tcBorders>
              <w:top w:val="nil"/>
              <w:left w:val="nil"/>
              <w:bottom w:val="nil"/>
              <w:right w:val="nil"/>
            </w:tcBorders>
            <w:shd w:val="clear" w:color="auto" w:fill="auto"/>
            <w:noWrap/>
            <w:vAlign w:val="bottom"/>
            <w:hideMark/>
          </w:tcPr>
          <w:p w14:paraId="03ED2787"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40" w:type="dxa"/>
            <w:tcBorders>
              <w:top w:val="nil"/>
              <w:left w:val="nil"/>
              <w:bottom w:val="nil"/>
              <w:right w:val="nil"/>
            </w:tcBorders>
            <w:shd w:val="clear" w:color="auto" w:fill="auto"/>
            <w:noWrap/>
            <w:vAlign w:val="bottom"/>
            <w:hideMark/>
          </w:tcPr>
          <w:p w14:paraId="3C1211CD"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226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C41C250"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zmiana 2018/2017</w:t>
            </w:r>
          </w:p>
        </w:tc>
      </w:tr>
      <w:tr w:rsidR="002F7850" w:rsidRPr="002F7850" w14:paraId="2E265D86" w14:textId="77777777" w:rsidTr="002D4AFF">
        <w:trPr>
          <w:trHeight w:val="300"/>
        </w:trPr>
        <w:tc>
          <w:tcPr>
            <w:tcW w:w="3160" w:type="dxa"/>
            <w:tcBorders>
              <w:top w:val="single" w:sz="4" w:space="0" w:color="auto"/>
              <w:left w:val="single" w:sz="4" w:space="0" w:color="auto"/>
              <w:bottom w:val="nil"/>
              <w:right w:val="nil"/>
            </w:tcBorders>
            <w:shd w:val="clear" w:color="000000" w:fill="C5D9F1"/>
            <w:vAlign w:val="bottom"/>
            <w:hideMark/>
          </w:tcPr>
          <w:p w14:paraId="17625E51" w14:textId="77777777" w:rsidR="002F7850" w:rsidRPr="002F7850" w:rsidRDefault="002F7850" w:rsidP="002F7850">
            <w:pPr>
              <w:spacing w:after="0" w:line="240" w:lineRule="auto"/>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Wyszczególnienie</w:t>
            </w:r>
          </w:p>
        </w:tc>
        <w:tc>
          <w:tcPr>
            <w:tcW w:w="1120" w:type="dxa"/>
            <w:tcBorders>
              <w:top w:val="single" w:sz="4" w:space="0" w:color="auto"/>
              <w:left w:val="single" w:sz="4" w:space="0" w:color="auto"/>
              <w:bottom w:val="single" w:sz="4" w:space="0" w:color="auto"/>
              <w:right w:val="nil"/>
            </w:tcBorders>
            <w:shd w:val="clear" w:color="000000" w:fill="C5D9F1"/>
            <w:vAlign w:val="bottom"/>
            <w:hideMark/>
          </w:tcPr>
          <w:p w14:paraId="33C90046"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2016</w:t>
            </w:r>
          </w:p>
        </w:tc>
        <w:tc>
          <w:tcPr>
            <w:tcW w:w="1240" w:type="dxa"/>
            <w:tcBorders>
              <w:top w:val="single" w:sz="4" w:space="0" w:color="auto"/>
              <w:left w:val="nil"/>
              <w:bottom w:val="single" w:sz="4" w:space="0" w:color="auto"/>
              <w:right w:val="nil"/>
            </w:tcBorders>
            <w:shd w:val="clear" w:color="000000" w:fill="C5D9F1"/>
            <w:vAlign w:val="bottom"/>
            <w:hideMark/>
          </w:tcPr>
          <w:p w14:paraId="411C55C5"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2017</w:t>
            </w:r>
          </w:p>
        </w:tc>
        <w:tc>
          <w:tcPr>
            <w:tcW w:w="1140" w:type="dxa"/>
            <w:tcBorders>
              <w:top w:val="single" w:sz="4" w:space="0" w:color="auto"/>
              <w:left w:val="nil"/>
              <w:bottom w:val="single" w:sz="4" w:space="0" w:color="auto"/>
              <w:right w:val="single" w:sz="4" w:space="0" w:color="auto"/>
            </w:tcBorders>
            <w:shd w:val="clear" w:color="000000" w:fill="C5D9F1"/>
            <w:vAlign w:val="bottom"/>
            <w:hideMark/>
          </w:tcPr>
          <w:p w14:paraId="77134652"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2018</w:t>
            </w:r>
          </w:p>
        </w:tc>
        <w:tc>
          <w:tcPr>
            <w:tcW w:w="1140" w:type="dxa"/>
            <w:tcBorders>
              <w:top w:val="nil"/>
              <w:left w:val="nil"/>
              <w:bottom w:val="nil"/>
              <w:right w:val="single" w:sz="4" w:space="0" w:color="auto"/>
            </w:tcBorders>
            <w:shd w:val="clear" w:color="000000" w:fill="C5D9F1"/>
            <w:vAlign w:val="bottom"/>
            <w:hideMark/>
          </w:tcPr>
          <w:p w14:paraId="397DBD3D"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TEU</w:t>
            </w:r>
          </w:p>
        </w:tc>
        <w:tc>
          <w:tcPr>
            <w:tcW w:w="1120" w:type="dxa"/>
            <w:tcBorders>
              <w:top w:val="nil"/>
              <w:left w:val="nil"/>
              <w:bottom w:val="nil"/>
              <w:right w:val="single" w:sz="4" w:space="0" w:color="auto"/>
            </w:tcBorders>
            <w:shd w:val="clear" w:color="000000" w:fill="C5D9F1"/>
            <w:vAlign w:val="bottom"/>
            <w:hideMark/>
          </w:tcPr>
          <w:p w14:paraId="27D193F8"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 %</w:t>
            </w:r>
          </w:p>
        </w:tc>
      </w:tr>
      <w:tr w:rsidR="002F7850" w:rsidRPr="002F7850" w14:paraId="40A0CAC7" w14:textId="77777777" w:rsidTr="002D4AFF">
        <w:trPr>
          <w:trHeight w:val="30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10DE9BA6"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Kontenery (w TEU)</w:t>
            </w:r>
          </w:p>
        </w:tc>
        <w:tc>
          <w:tcPr>
            <w:tcW w:w="1120" w:type="dxa"/>
            <w:tcBorders>
              <w:top w:val="nil"/>
              <w:left w:val="single" w:sz="4" w:space="0" w:color="auto"/>
              <w:bottom w:val="single" w:sz="4" w:space="0" w:color="auto"/>
              <w:right w:val="nil"/>
            </w:tcBorders>
            <w:shd w:val="clear" w:color="auto" w:fill="auto"/>
            <w:vAlign w:val="bottom"/>
            <w:hideMark/>
          </w:tcPr>
          <w:p w14:paraId="4705EB19"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642 195</w:t>
            </w:r>
          </w:p>
        </w:tc>
        <w:tc>
          <w:tcPr>
            <w:tcW w:w="1240" w:type="dxa"/>
            <w:tcBorders>
              <w:top w:val="nil"/>
              <w:left w:val="nil"/>
              <w:bottom w:val="single" w:sz="4" w:space="0" w:color="auto"/>
              <w:right w:val="nil"/>
            </w:tcBorders>
            <w:shd w:val="clear" w:color="auto" w:fill="auto"/>
            <w:vAlign w:val="bottom"/>
            <w:hideMark/>
          </w:tcPr>
          <w:p w14:paraId="4918F5F9"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710 736</w:t>
            </w:r>
          </w:p>
        </w:tc>
        <w:tc>
          <w:tcPr>
            <w:tcW w:w="1140" w:type="dxa"/>
            <w:tcBorders>
              <w:top w:val="nil"/>
              <w:left w:val="nil"/>
              <w:bottom w:val="single" w:sz="4" w:space="0" w:color="auto"/>
              <w:right w:val="single" w:sz="4" w:space="0" w:color="auto"/>
            </w:tcBorders>
            <w:shd w:val="clear" w:color="auto" w:fill="auto"/>
            <w:noWrap/>
            <w:vAlign w:val="bottom"/>
            <w:hideMark/>
          </w:tcPr>
          <w:p w14:paraId="5DA12DC4" w14:textId="77777777" w:rsidR="002F7850" w:rsidRPr="002F7850" w:rsidRDefault="002F7850" w:rsidP="002F7850">
            <w:pPr>
              <w:spacing w:after="0" w:line="240" w:lineRule="auto"/>
              <w:jc w:val="right"/>
              <w:rPr>
                <w:rFonts w:ascii="Arial" w:eastAsia="Times New Roman" w:hAnsi="Arial" w:cs="Arial"/>
                <w:sz w:val="20"/>
                <w:szCs w:val="20"/>
                <w:lang w:eastAsia="pl-PL"/>
              </w:rPr>
            </w:pPr>
            <w:r w:rsidRPr="002F7850">
              <w:rPr>
                <w:rFonts w:ascii="Arial" w:eastAsia="Times New Roman" w:hAnsi="Arial" w:cs="Arial"/>
                <w:sz w:val="20"/>
                <w:szCs w:val="20"/>
                <w:lang w:eastAsia="pl-PL"/>
              </w:rPr>
              <w:t>803 871</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0B65B004"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93 135</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571E4DF0"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113,1</w:t>
            </w:r>
          </w:p>
        </w:tc>
      </w:tr>
    </w:tbl>
    <w:p w14:paraId="738FFEEB" w14:textId="77777777" w:rsidR="00B2707D" w:rsidRDefault="00B2707D" w:rsidP="002F7850">
      <w:pPr>
        <w:spacing w:after="0" w:line="240" w:lineRule="auto"/>
        <w:rPr>
          <w:rFonts w:ascii="Arial" w:eastAsia="Times New Roman" w:hAnsi="Arial" w:cs="Arial"/>
          <w:sz w:val="20"/>
          <w:szCs w:val="20"/>
          <w:lang w:eastAsia="pl-PL"/>
        </w:rPr>
      </w:pPr>
    </w:p>
    <w:p w14:paraId="76337A46" w14:textId="77777777" w:rsidR="00D578C1" w:rsidRDefault="00D578C1" w:rsidP="002F7850">
      <w:pPr>
        <w:spacing w:after="0" w:line="240" w:lineRule="auto"/>
        <w:rPr>
          <w:rFonts w:ascii="Arial" w:eastAsia="Times New Roman" w:hAnsi="Arial" w:cs="Arial"/>
          <w:sz w:val="20"/>
          <w:szCs w:val="20"/>
          <w:lang w:eastAsia="pl-PL"/>
        </w:rPr>
      </w:pPr>
    </w:p>
    <w:p w14:paraId="2FE6C7D7" w14:textId="77777777" w:rsidR="00D578C1" w:rsidRPr="002F7850" w:rsidRDefault="00D578C1" w:rsidP="002F7850">
      <w:pPr>
        <w:spacing w:after="0" w:line="240" w:lineRule="auto"/>
        <w:rPr>
          <w:rFonts w:ascii="Arial" w:eastAsia="Times New Roman" w:hAnsi="Arial" w:cs="Arial"/>
          <w:sz w:val="20"/>
          <w:szCs w:val="20"/>
          <w:lang w:eastAsia="pl-PL"/>
        </w:rPr>
      </w:pPr>
    </w:p>
    <w:p w14:paraId="438D590C" w14:textId="77777777" w:rsidR="002F7850" w:rsidRPr="00193CE8" w:rsidRDefault="002F7850" w:rsidP="002F7850">
      <w:pPr>
        <w:spacing w:after="0" w:line="240" w:lineRule="auto"/>
        <w:rPr>
          <w:rFonts w:ascii="Arial" w:eastAsia="Times New Roman" w:hAnsi="Arial" w:cs="Arial"/>
          <w:b/>
          <w:sz w:val="20"/>
          <w:szCs w:val="20"/>
          <w:lang w:eastAsia="pl-PL"/>
        </w:rPr>
      </w:pPr>
      <w:r w:rsidRPr="002F7850">
        <w:rPr>
          <w:rFonts w:ascii="Arial" w:eastAsia="Times New Roman" w:hAnsi="Arial" w:cs="Arial"/>
          <w:b/>
          <w:sz w:val="20"/>
          <w:szCs w:val="20"/>
          <w:lang w:eastAsia="pl-PL"/>
        </w:rPr>
        <w:t>Tab. 5.</w:t>
      </w:r>
      <w:r w:rsidRPr="002F7850">
        <w:rPr>
          <w:rFonts w:ascii="Arial" w:eastAsia="Times New Roman" w:hAnsi="Arial" w:cs="Arial"/>
          <w:sz w:val="20"/>
          <w:szCs w:val="20"/>
          <w:lang w:eastAsia="pl-PL"/>
        </w:rPr>
        <w:t xml:space="preserve"> </w:t>
      </w:r>
      <w:r w:rsidRPr="00193CE8">
        <w:rPr>
          <w:rFonts w:ascii="Arial" w:eastAsia="Times New Roman" w:hAnsi="Arial" w:cs="Arial"/>
          <w:b/>
          <w:sz w:val="20"/>
          <w:szCs w:val="20"/>
          <w:lang w:eastAsia="pl-PL"/>
        </w:rPr>
        <w:t>Wielkość przewozów pasażerskich ogółem w latach 2016-2018</w:t>
      </w:r>
    </w:p>
    <w:tbl>
      <w:tblPr>
        <w:tblW w:w="8920" w:type="dxa"/>
        <w:tblInd w:w="55" w:type="dxa"/>
        <w:tblCellMar>
          <w:left w:w="70" w:type="dxa"/>
          <w:right w:w="70" w:type="dxa"/>
        </w:tblCellMar>
        <w:tblLook w:val="04A0" w:firstRow="1" w:lastRow="0" w:firstColumn="1" w:lastColumn="0" w:noHBand="0" w:noVBand="1"/>
      </w:tblPr>
      <w:tblGrid>
        <w:gridCol w:w="3160"/>
        <w:gridCol w:w="1120"/>
        <w:gridCol w:w="1240"/>
        <w:gridCol w:w="1140"/>
        <w:gridCol w:w="1140"/>
        <w:gridCol w:w="1120"/>
      </w:tblGrid>
      <w:tr w:rsidR="002F7850" w:rsidRPr="002F7850" w14:paraId="41A8B3D9" w14:textId="77777777" w:rsidTr="002D4AFF">
        <w:trPr>
          <w:trHeight w:val="300"/>
        </w:trPr>
        <w:tc>
          <w:tcPr>
            <w:tcW w:w="3160" w:type="dxa"/>
            <w:tcBorders>
              <w:top w:val="nil"/>
              <w:left w:val="nil"/>
              <w:bottom w:val="nil"/>
              <w:right w:val="nil"/>
            </w:tcBorders>
            <w:shd w:val="clear" w:color="auto" w:fill="auto"/>
            <w:noWrap/>
            <w:vAlign w:val="bottom"/>
            <w:hideMark/>
          </w:tcPr>
          <w:p w14:paraId="209E0850"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20" w:type="dxa"/>
            <w:tcBorders>
              <w:top w:val="nil"/>
              <w:left w:val="nil"/>
              <w:bottom w:val="nil"/>
              <w:right w:val="nil"/>
            </w:tcBorders>
            <w:shd w:val="clear" w:color="auto" w:fill="auto"/>
            <w:noWrap/>
            <w:vAlign w:val="bottom"/>
            <w:hideMark/>
          </w:tcPr>
          <w:p w14:paraId="69B1AE91"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240" w:type="dxa"/>
            <w:tcBorders>
              <w:top w:val="nil"/>
              <w:left w:val="nil"/>
              <w:bottom w:val="nil"/>
              <w:right w:val="nil"/>
            </w:tcBorders>
            <w:shd w:val="clear" w:color="auto" w:fill="auto"/>
            <w:noWrap/>
            <w:vAlign w:val="bottom"/>
            <w:hideMark/>
          </w:tcPr>
          <w:p w14:paraId="6082D1C8"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1140" w:type="dxa"/>
            <w:tcBorders>
              <w:top w:val="nil"/>
              <w:left w:val="nil"/>
              <w:bottom w:val="nil"/>
              <w:right w:val="nil"/>
            </w:tcBorders>
            <w:shd w:val="clear" w:color="auto" w:fill="auto"/>
            <w:noWrap/>
            <w:vAlign w:val="bottom"/>
            <w:hideMark/>
          </w:tcPr>
          <w:p w14:paraId="15B6CF15" w14:textId="77777777" w:rsidR="002F7850" w:rsidRPr="002F7850" w:rsidRDefault="002F7850" w:rsidP="002F7850">
            <w:pPr>
              <w:spacing w:after="0" w:line="240" w:lineRule="auto"/>
              <w:rPr>
                <w:rFonts w:ascii="Arial" w:eastAsia="Times New Roman" w:hAnsi="Arial" w:cs="Arial"/>
                <w:color w:val="000000"/>
                <w:sz w:val="20"/>
                <w:szCs w:val="20"/>
                <w:lang w:eastAsia="pl-PL"/>
              </w:rPr>
            </w:pPr>
          </w:p>
        </w:tc>
        <w:tc>
          <w:tcPr>
            <w:tcW w:w="226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13321E9"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zmiana 2018/2017</w:t>
            </w:r>
          </w:p>
        </w:tc>
      </w:tr>
      <w:tr w:rsidR="002F7850" w:rsidRPr="002F7850" w14:paraId="659F2537" w14:textId="77777777" w:rsidTr="002D4AFF">
        <w:trPr>
          <w:trHeight w:val="300"/>
        </w:trPr>
        <w:tc>
          <w:tcPr>
            <w:tcW w:w="3160" w:type="dxa"/>
            <w:tcBorders>
              <w:top w:val="single" w:sz="4" w:space="0" w:color="auto"/>
              <w:left w:val="single" w:sz="4" w:space="0" w:color="auto"/>
              <w:bottom w:val="nil"/>
              <w:right w:val="nil"/>
            </w:tcBorders>
            <w:shd w:val="clear" w:color="000000" w:fill="C5D9F1"/>
            <w:vAlign w:val="bottom"/>
            <w:hideMark/>
          </w:tcPr>
          <w:p w14:paraId="00085B43" w14:textId="77777777" w:rsidR="002F7850" w:rsidRPr="002F7850" w:rsidRDefault="002F7850" w:rsidP="002F7850">
            <w:pPr>
              <w:spacing w:after="0" w:line="240" w:lineRule="auto"/>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Wyszczególnienie</w:t>
            </w:r>
          </w:p>
        </w:tc>
        <w:tc>
          <w:tcPr>
            <w:tcW w:w="1120" w:type="dxa"/>
            <w:tcBorders>
              <w:top w:val="single" w:sz="4" w:space="0" w:color="auto"/>
              <w:left w:val="single" w:sz="4" w:space="0" w:color="auto"/>
              <w:bottom w:val="single" w:sz="4" w:space="0" w:color="auto"/>
              <w:right w:val="nil"/>
            </w:tcBorders>
            <w:shd w:val="clear" w:color="000000" w:fill="C5D9F1"/>
            <w:vAlign w:val="bottom"/>
            <w:hideMark/>
          </w:tcPr>
          <w:p w14:paraId="5BA1BB22"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2016</w:t>
            </w:r>
          </w:p>
        </w:tc>
        <w:tc>
          <w:tcPr>
            <w:tcW w:w="1240" w:type="dxa"/>
            <w:tcBorders>
              <w:top w:val="single" w:sz="4" w:space="0" w:color="auto"/>
              <w:left w:val="nil"/>
              <w:bottom w:val="single" w:sz="4" w:space="0" w:color="auto"/>
              <w:right w:val="nil"/>
            </w:tcBorders>
            <w:shd w:val="clear" w:color="000000" w:fill="C5D9F1"/>
            <w:vAlign w:val="bottom"/>
            <w:hideMark/>
          </w:tcPr>
          <w:p w14:paraId="6694DE1E"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2017</w:t>
            </w:r>
          </w:p>
        </w:tc>
        <w:tc>
          <w:tcPr>
            <w:tcW w:w="1140" w:type="dxa"/>
            <w:tcBorders>
              <w:top w:val="single" w:sz="4" w:space="0" w:color="auto"/>
              <w:left w:val="nil"/>
              <w:bottom w:val="single" w:sz="4" w:space="0" w:color="auto"/>
              <w:right w:val="single" w:sz="4" w:space="0" w:color="auto"/>
            </w:tcBorders>
            <w:shd w:val="clear" w:color="000000" w:fill="C5D9F1"/>
            <w:vAlign w:val="bottom"/>
            <w:hideMark/>
          </w:tcPr>
          <w:p w14:paraId="781A1969" w14:textId="77777777" w:rsidR="002F7850" w:rsidRPr="002F7850" w:rsidRDefault="002F7850" w:rsidP="002F7850">
            <w:pPr>
              <w:spacing w:after="0" w:line="240" w:lineRule="auto"/>
              <w:jc w:val="right"/>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2018</w:t>
            </w:r>
          </w:p>
        </w:tc>
        <w:tc>
          <w:tcPr>
            <w:tcW w:w="1140" w:type="dxa"/>
            <w:tcBorders>
              <w:top w:val="nil"/>
              <w:left w:val="nil"/>
              <w:bottom w:val="nil"/>
              <w:right w:val="single" w:sz="4" w:space="0" w:color="auto"/>
            </w:tcBorders>
            <w:shd w:val="clear" w:color="000000" w:fill="C5D9F1"/>
            <w:vAlign w:val="bottom"/>
            <w:hideMark/>
          </w:tcPr>
          <w:p w14:paraId="1C4DBC4B"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osoby</w:t>
            </w:r>
          </w:p>
        </w:tc>
        <w:tc>
          <w:tcPr>
            <w:tcW w:w="1120" w:type="dxa"/>
            <w:tcBorders>
              <w:top w:val="nil"/>
              <w:left w:val="nil"/>
              <w:bottom w:val="nil"/>
              <w:right w:val="single" w:sz="4" w:space="0" w:color="auto"/>
            </w:tcBorders>
            <w:shd w:val="clear" w:color="000000" w:fill="C5D9F1"/>
            <w:vAlign w:val="bottom"/>
            <w:hideMark/>
          </w:tcPr>
          <w:p w14:paraId="6D3D597E" w14:textId="77777777" w:rsidR="002F7850" w:rsidRPr="002F7850" w:rsidRDefault="002F7850" w:rsidP="002F7850">
            <w:pPr>
              <w:spacing w:after="0" w:line="240" w:lineRule="auto"/>
              <w:jc w:val="center"/>
              <w:rPr>
                <w:rFonts w:ascii="Arial" w:eastAsia="Times New Roman" w:hAnsi="Arial" w:cs="Arial"/>
                <w:b/>
                <w:bCs/>
                <w:color w:val="000000"/>
                <w:sz w:val="20"/>
                <w:szCs w:val="20"/>
                <w:lang w:eastAsia="pl-PL"/>
              </w:rPr>
            </w:pPr>
            <w:r w:rsidRPr="002F7850">
              <w:rPr>
                <w:rFonts w:ascii="Arial" w:eastAsia="Times New Roman" w:hAnsi="Arial" w:cs="Arial"/>
                <w:b/>
                <w:bCs/>
                <w:color w:val="000000"/>
                <w:sz w:val="20"/>
                <w:szCs w:val="20"/>
                <w:lang w:eastAsia="pl-PL"/>
              </w:rPr>
              <w:t>w %</w:t>
            </w:r>
          </w:p>
        </w:tc>
      </w:tr>
      <w:tr w:rsidR="002F7850" w:rsidRPr="002F7850" w14:paraId="54E98FA6" w14:textId="77777777" w:rsidTr="002D4AFF">
        <w:trPr>
          <w:trHeight w:val="30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2563A54B"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Liczba obsłużonych pasażerów</w:t>
            </w:r>
          </w:p>
        </w:tc>
        <w:tc>
          <w:tcPr>
            <w:tcW w:w="1120" w:type="dxa"/>
            <w:tcBorders>
              <w:top w:val="nil"/>
              <w:left w:val="single" w:sz="4" w:space="0" w:color="auto"/>
              <w:bottom w:val="single" w:sz="4" w:space="0" w:color="auto"/>
              <w:right w:val="nil"/>
            </w:tcBorders>
            <w:shd w:val="clear" w:color="auto" w:fill="auto"/>
            <w:vAlign w:val="bottom"/>
            <w:hideMark/>
          </w:tcPr>
          <w:p w14:paraId="7AC900D0"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680 861</w:t>
            </w:r>
          </w:p>
        </w:tc>
        <w:tc>
          <w:tcPr>
            <w:tcW w:w="1240" w:type="dxa"/>
            <w:tcBorders>
              <w:top w:val="nil"/>
              <w:left w:val="nil"/>
              <w:bottom w:val="single" w:sz="4" w:space="0" w:color="auto"/>
              <w:right w:val="nil"/>
            </w:tcBorders>
            <w:shd w:val="clear" w:color="auto" w:fill="auto"/>
            <w:vAlign w:val="bottom"/>
            <w:hideMark/>
          </w:tcPr>
          <w:p w14:paraId="0C313236"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748 665</w:t>
            </w:r>
          </w:p>
        </w:tc>
        <w:tc>
          <w:tcPr>
            <w:tcW w:w="1140" w:type="dxa"/>
            <w:tcBorders>
              <w:top w:val="nil"/>
              <w:left w:val="nil"/>
              <w:bottom w:val="single" w:sz="4" w:space="0" w:color="auto"/>
              <w:right w:val="single" w:sz="4" w:space="0" w:color="auto"/>
            </w:tcBorders>
            <w:shd w:val="clear" w:color="auto" w:fill="auto"/>
            <w:noWrap/>
            <w:vAlign w:val="bottom"/>
            <w:hideMark/>
          </w:tcPr>
          <w:p w14:paraId="566004D4" w14:textId="77777777" w:rsidR="002F7850" w:rsidRPr="002F7850" w:rsidRDefault="002F7850" w:rsidP="002F7850">
            <w:pPr>
              <w:spacing w:after="0" w:line="240" w:lineRule="auto"/>
              <w:jc w:val="right"/>
              <w:rPr>
                <w:rFonts w:ascii="Arial" w:eastAsia="Times New Roman" w:hAnsi="Arial" w:cs="Arial"/>
                <w:sz w:val="20"/>
                <w:szCs w:val="20"/>
                <w:lang w:eastAsia="pl-PL"/>
              </w:rPr>
            </w:pPr>
            <w:r w:rsidRPr="002F7850">
              <w:rPr>
                <w:rFonts w:ascii="Arial" w:eastAsia="Times New Roman" w:hAnsi="Arial" w:cs="Arial"/>
                <w:sz w:val="20"/>
                <w:szCs w:val="20"/>
                <w:lang w:eastAsia="pl-PL"/>
              </w:rPr>
              <w:t>790 173</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3CA6103C"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41 508</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49C991C2" w14:textId="77777777" w:rsidR="002F7850" w:rsidRPr="002F7850" w:rsidRDefault="002F7850" w:rsidP="002F7850">
            <w:pPr>
              <w:spacing w:after="0" w:line="240" w:lineRule="auto"/>
              <w:jc w:val="right"/>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105,5</w:t>
            </w:r>
          </w:p>
        </w:tc>
      </w:tr>
    </w:tbl>
    <w:p w14:paraId="1F38BAC8" w14:textId="59EFAD86" w:rsidR="002F7850" w:rsidRDefault="002F7850" w:rsidP="002F7850">
      <w:pPr>
        <w:spacing w:after="0" w:line="240" w:lineRule="auto"/>
        <w:rPr>
          <w:rFonts w:ascii="Arial" w:eastAsia="Times New Roman" w:hAnsi="Arial" w:cs="Arial"/>
          <w:sz w:val="20"/>
          <w:szCs w:val="20"/>
          <w:lang w:eastAsia="pl-PL"/>
        </w:rPr>
      </w:pPr>
    </w:p>
    <w:p w14:paraId="5AE0DBF9" w14:textId="6168C65A" w:rsidR="00FD20CD" w:rsidRDefault="00FD20CD" w:rsidP="002F7850">
      <w:pPr>
        <w:spacing w:after="0" w:line="240" w:lineRule="auto"/>
        <w:rPr>
          <w:rFonts w:ascii="Arial" w:eastAsia="Times New Roman" w:hAnsi="Arial" w:cs="Arial"/>
          <w:sz w:val="20"/>
          <w:szCs w:val="20"/>
          <w:lang w:eastAsia="pl-PL"/>
        </w:rPr>
      </w:pPr>
    </w:p>
    <w:p w14:paraId="0B8E650F" w14:textId="1BBD2D3C" w:rsidR="00FD20CD" w:rsidRDefault="00FD20CD" w:rsidP="002F7850">
      <w:pPr>
        <w:spacing w:after="0" w:line="240" w:lineRule="auto"/>
        <w:rPr>
          <w:rFonts w:ascii="Arial" w:eastAsia="Times New Roman" w:hAnsi="Arial" w:cs="Arial"/>
          <w:sz w:val="20"/>
          <w:szCs w:val="20"/>
          <w:lang w:eastAsia="pl-PL"/>
        </w:rPr>
      </w:pPr>
    </w:p>
    <w:p w14:paraId="437D0567" w14:textId="77777777" w:rsidR="00FD20CD" w:rsidRPr="002F7850" w:rsidRDefault="00FD20CD" w:rsidP="002F7850">
      <w:pPr>
        <w:spacing w:after="0" w:line="240" w:lineRule="auto"/>
        <w:rPr>
          <w:rFonts w:ascii="Arial" w:eastAsia="Times New Roman" w:hAnsi="Arial" w:cs="Arial"/>
          <w:sz w:val="20"/>
          <w:szCs w:val="20"/>
          <w:lang w:eastAsia="pl-PL"/>
        </w:rPr>
      </w:pPr>
    </w:p>
    <w:p w14:paraId="5E625E93" w14:textId="77777777" w:rsidR="002F7850" w:rsidRPr="005C5EE9" w:rsidRDefault="002F7850" w:rsidP="00D753D7">
      <w:pPr>
        <w:pStyle w:val="spis2"/>
        <w:rPr>
          <w:rFonts w:ascii="Arial" w:hAnsi="Arial" w:cs="Arial"/>
          <w:sz w:val="20"/>
          <w:szCs w:val="20"/>
          <w:lang w:eastAsia="pl-PL"/>
        </w:rPr>
      </w:pPr>
      <w:r w:rsidRPr="005C5EE9">
        <w:rPr>
          <w:rFonts w:ascii="Arial" w:hAnsi="Arial" w:cs="Arial"/>
          <w:sz w:val="20"/>
          <w:szCs w:val="20"/>
          <w:lang w:eastAsia="pl-PL"/>
        </w:rPr>
        <w:t>Analiza wielkości przeładunków i obsługi pasażerów w Porcie Gdynia w 2018 r.</w:t>
      </w:r>
    </w:p>
    <w:p w14:paraId="7ED31806" w14:textId="77777777" w:rsidR="002F7850" w:rsidRPr="002F7850" w:rsidRDefault="002F7850" w:rsidP="002F7850">
      <w:pPr>
        <w:spacing w:after="0" w:line="240" w:lineRule="auto"/>
        <w:rPr>
          <w:rFonts w:ascii="Arial" w:eastAsia="Times New Roman" w:hAnsi="Arial" w:cs="Arial"/>
          <w:b/>
          <w:sz w:val="20"/>
          <w:szCs w:val="20"/>
          <w:lang w:eastAsia="pl-PL"/>
        </w:rPr>
      </w:pPr>
    </w:p>
    <w:p w14:paraId="034D8A3B" w14:textId="77777777" w:rsidR="002F7850" w:rsidRPr="002F7850" w:rsidRDefault="002F7850" w:rsidP="00D753D7">
      <w:pPr>
        <w:spacing w:after="0" w:line="276" w:lineRule="auto"/>
        <w:jc w:val="both"/>
        <w:rPr>
          <w:rFonts w:ascii="Arial" w:eastAsia="Times New Roman" w:hAnsi="Arial" w:cs="Arial"/>
          <w:color w:val="000000"/>
          <w:sz w:val="20"/>
          <w:szCs w:val="20"/>
          <w:lang w:eastAsia="pl-PL"/>
        </w:rPr>
      </w:pPr>
      <w:r w:rsidRPr="002F7850">
        <w:rPr>
          <w:rFonts w:ascii="Arial" w:eastAsia="Times New Roman" w:hAnsi="Arial" w:cs="Arial"/>
          <w:sz w:val="20"/>
          <w:szCs w:val="20"/>
          <w:lang w:eastAsia="pl-PL"/>
        </w:rPr>
        <w:t xml:space="preserve">W 2018 r. obroty ładunkowe w Porcie Gdynia osiągnęły poziom </w:t>
      </w:r>
      <w:r w:rsidRPr="002F7850">
        <w:rPr>
          <w:rFonts w:ascii="Arial" w:eastAsia="Times New Roman" w:hAnsi="Arial" w:cs="Arial"/>
          <w:color w:val="000000"/>
          <w:sz w:val="20"/>
          <w:szCs w:val="20"/>
          <w:lang w:eastAsia="pl-PL"/>
        </w:rPr>
        <w:t>23 492,0 tys. ton (+ 10,7% w porównaniu z rokiem 2017). Oznacza to, że rok 2018 był rokiem rekordowym pod względem przeładunków (poprzedni rekord przypadał na rok 2017, w którym przeładowano 21 225,2 tys. ton).</w:t>
      </w:r>
    </w:p>
    <w:p w14:paraId="50BCAA36" w14:textId="77777777" w:rsidR="002F7850" w:rsidRPr="002F7850" w:rsidRDefault="002F7850" w:rsidP="00D753D7">
      <w:pPr>
        <w:spacing w:after="0" w:line="276" w:lineRule="auto"/>
        <w:jc w:val="both"/>
        <w:rPr>
          <w:rFonts w:ascii="Arial" w:eastAsia="Times New Roman" w:hAnsi="Arial" w:cs="Arial"/>
          <w:color w:val="000000"/>
          <w:sz w:val="20"/>
          <w:szCs w:val="20"/>
          <w:lang w:eastAsia="pl-PL"/>
        </w:rPr>
      </w:pPr>
      <w:r w:rsidRPr="002F7850">
        <w:rPr>
          <w:rFonts w:ascii="Arial" w:eastAsia="Times New Roman" w:hAnsi="Arial" w:cs="Arial"/>
          <w:color w:val="000000"/>
          <w:sz w:val="20"/>
          <w:szCs w:val="20"/>
          <w:lang w:eastAsia="pl-PL"/>
        </w:rPr>
        <w:t>Struktura obrotów ładunkowych roku 2017 przedstawia się następująco: drobnica – 58,8%, zboże -12,7%, węgiel i koks – 11,2%, ropa naftowa i przetwory naftowe - 7,5%, inne masowe 5,6%, drewno - 4,2 % masy ładunkowej.</w:t>
      </w:r>
    </w:p>
    <w:p w14:paraId="70DABCF9" w14:textId="77777777" w:rsidR="002F7850" w:rsidRPr="002F7850" w:rsidRDefault="002F7850" w:rsidP="002F7850">
      <w:pPr>
        <w:spacing w:after="0" w:line="240" w:lineRule="auto"/>
        <w:jc w:val="both"/>
        <w:rPr>
          <w:rFonts w:ascii="Arial" w:eastAsia="Times New Roman" w:hAnsi="Arial" w:cs="Arial"/>
          <w:color w:val="000000"/>
          <w:sz w:val="20"/>
          <w:szCs w:val="20"/>
          <w:lang w:eastAsia="pl-PL"/>
        </w:rPr>
      </w:pPr>
    </w:p>
    <w:p w14:paraId="129087C2" w14:textId="77777777" w:rsidR="002F7850" w:rsidRPr="002F7850" w:rsidRDefault="002F7850" w:rsidP="002F7850">
      <w:pPr>
        <w:spacing w:after="0" w:line="240" w:lineRule="auto"/>
        <w:rPr>
          <w:rFonts w:ascii="Arial" w:eastAsia="Times New Roman" w:hAnsi="Arial" w:cs="Arial"/>
          <w:b/>
          <w:color w:val="000000"/>
          <w:sz w:val="20"/>
          <w:szCs w:val="20"/>
          <w:lang w:eastAsia="pl-PL"/>
        </w:rPr>
      </w:pPr>
      <w:r w:rsidRPr="002F7850">
        <w:rPr>
          <w:rFonts w:ascii="Arial" w:eastAsia="Times New Roman" w:hAnsi="Arial" w:cs="Arial"/>
          <w:b/>
          <w:color w:val="000000"/>
          <w:sz w:val="20"/>
          <w:szCs w:val="20"/>
          <w:lang w:eastAsia="pl-PL"/>
        </w:rPr>
        <w:t>Rys. 1. Struktura przeładunków w Porcie Gdynia w 2018 r.</w:t>
      </w:r>
    </w:p>
    <w:p w14:paraId="4DB4D526" w14:textId="77777777" w:rsidR="002F7850" w:rsidRPr="002F7850" w:rsidRDefault="002F7850" w:rsidP="002F7850">
      <w:pPr>
        <w:spacing w:after="0" w:line="240" w:lineRule="auto"/>
        <w:jc w:val="center"/>
        <w:rPr>
          <w:rFonts w:ascii="Arial" w:eastAsia="Times New Roman" w:hAnsi="Arial" w:cs="Arial"/>
          <w:sz w:val="20"/>
          <w:szCs w:val="20"/>
          <w:lang w:eastAsia="pl-PL"/>
        </w:rPr>
      </w:pPr>
      <w:r w:rsidRPr="002F7850">
        <w:rPr>
          <w:rFonts w:ascii="Arial" w:eastAsia="Times New Roman" w:hAnsi="Arial" w:cs="Arial"/>
          <w:noProof/>
          <w:sz w:val="20"/>
          <w:szCs w:val="20"/>
          <w:lang w:eastAsia="pl-PL"/>
        </w:rPr>
        <w:drawing>
          <wp:inline distT="0" distB="0" distL="0" distR="0" wp14:anchorId="642D9F0F" wp14:editId="453BE953">
            <wp:extent cx="5257800" cy="322897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61EB12" w14:textId="77777777" w:rsidR="002F7850" w:rsidRPr="002F7850" w:rsidRDefault="002F7850" w:rsidP="002F7850">
      <w:pPr>
        <w:spacing w:after="0" w:line="240" w:lineRule="auto"/>
        <w:rPr>
          <w:rFonts w:ascii="Arial" w:eastAsia="Times New Roman" w:hAnsi="Arial" w:cs="Arial"/>
          <w:b/>
          <w:color w:val="000000"/>
          <w:sz w:val="20"/>
          <w:szCs w:val="20"/>
          <w:lang w:eastAsia="pl-PL"/>
        </w:rPr>
      </w:pPr>
      <w:r w:rsidRPr="002F7850">
        <w:rPr>
          <w:rFonts w:ascii="Arial" w:eastAsia="Times New Roman" w:hAnsi="Arial" w:cs="Arial"/>
          <w:b/>
          <w:color w:val="000000"/>
          <w:sz w:val="20"/>
          <w:szCs w:val="20"/>
          <w:lang w:eastAsia="pl-PL"/>
        </w:rPr>
        <w:t>Źródło: ZMPG S.A.</w:t>
      </w:r>
    </w:p>
    <w:p w14:paraId="2083EA55" w14:textId="77777777" w:rsidR="002F7850" w:rsidRPr="002F7850" w:rsidRDefault="002F7850" w:rsidP="002F7850">
      <w:pPr>
        <w:spacing w:after="0" w:line="240" w:lineRule="auto"/>
        <w:rPr>
          <w:rFonts w:ascii="Arial" w:eastAsia="Times New Roman" w:hAnsi="Arial" w:cs="Arial"/>
          <w:sz w:val="20"/>
          <w:szCs w:val="20"/>
          <w:lang w:eastAsia="pl-PL"/>
        </w:rPr>
      </w:pPr>
    </w:p>
    <w:p w14:paraId="7FC17BB8" w14:textId="77777777" w:rsidR="002F7850" w:rsidRPr="002F7850" w:rsidRDefault="002F7850" w:rsidP="00D753D7">
      <w:pPr>
        <w:spacing w:after="0" w:line="276" w:lineRule="auto"/>
        <w:rPr>
          <w:rFonts w:ascii="Arial" w:eastAsia="Times New Roman" w:hAnsi="Arial" w:cs="Arial"/>
          <w:sz w:val="20"/>
          <w:szCs w:val="20"/>
          <w:lang w:eastAsia="pl-PL"/>
        </w:rPr>
      </w:pPr>
      <w:r w:rsidRPr="002F7850">
        <w:rPr>
          <w:rFonts w:ascii="Arial" w:eastAsia="Times New Roman" w:hAnsi="Arial" w:cs="Arial"/>
          <w:sz w:val="20"/>
          <w:szCs w:val="20"/>
          <w:lang w:eastAsia="pl-PL"/>
        </w:rPr>
        <w:t>Wzrosty obrotów odnotowano w następujących grupach ładunkowych:</w:t>
      </w:r>
    </w:p>
    <w:p w14:paraId="3CB42E91" w14:textId="77777777" w:rsidR="002F7850" w:rsidRPr="002F7850" w:rsidRDefault="002F7850" w:rsidP="00BF76C0">
      <w:pPr>
        <w:numPr>
          <w:ilvl w:val="0"/>
          <w:numId w:val="8"/>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 xml:space="preserve">Drobnica + 1 357,5 tys. ton (+ 10,9%) </w:t>
      </w:r>
    </w:p>
    <w:p w14:paraId="676B39BB" w14:textId="77777777" w:rsidR="002F7850" w:rsidRPr="002F7850" w:rsidRDefault="002F7850" w:rsidP="00BF76C0">
      <w:pPr>
        <w:numPr>
          <w:ilvl w:val="0"/>
          <w:numId w:val="8"/>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 xml:space="preserve">Drewno + 745,2 tys. ton (+ 318,5%) </w:t>
      </w:r>
    </w:p>
    <w:p w14:paraId="17929899" w14:textId="77777777" w:rsidR="002F7850" w:rsidRPr="002F7850" w:rsidRDefault="002F7850" w:rsidP="00BF76C0">
      <w:pPr>
        <w:numPr>
          <w:ilvl w:val="0"/>
          <w:numId w:val="8"/>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Węgiel i koks + 494,8 tys. ton (+ 23,2%)</w:t>
      </w:r>
    </w:p>
    <w:p w14:paraId="6DF4DB01" w14:textId="77777777" w:rsidR="002F7850" w:rsidRPr="002F7850" w:rsidRDefault="002F7850" w:rsidP="00BF76C0">
      <w:pPr>
        <w:numPr>
          <w:ilvl w:val="0"/>
          <w:numId w:val="8"/>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Inne masowe + 232,0 tys. ton (+ 21,5%)</w:t>
      </w:r>
    </w:p>
    <w:p w14:paraId="6582A2C2" w14:textId="77777777" w:rsidR="002F7850" w:rsidRPr="002F7850" w:rsidRDefault="002F7850" w:rsidP="00D753D7">
      <w:pPr>
        <w:spacing w:after="0" w:line="276" w:lineRule="auto"/>
        <w:rPr>
          <w:rFonts w:ascii="Arial" w:eastAsia="Times New Roman" w:hAnsi="Arial" w:cs="Arial"/>
          <w:sz w:val="20"/>
          <w:szCs w:val="20"/>
          <w:lang w:eastAsia="pl-PL"/>
        </w:rPr>
      </w:pPr>
    </w:p>
    <w:p w14:paraId="5FAACDCF" w14:textId="77777777" w:rsidR="002F7850" w:rsidRPr="002F7850" w:rsidRDefault="002F7850" w:rsidP="00D753D7">
      <w:pPr>
        <w:spacing w:after="0" w:line="276" w:lineRule="auto"/>
        <w:rPr>
          <w:rFonts w:ascii="Arial" w:eastAsia="Times New Roman" w:hAnsi="Arial" w:cs="Arial"/>
          <w:sz w:val="20"/>
          <w:szCs w:val="20"/>
          <w:lang w:eastAsia="pl-PL"/>
        </w:rPr>
      </w:pPr>
      <w:r w:rsidRPr="002F7850">
        <w:rPr>
          <w:rFonts w:ascii="Arial" w:eastAsia="Times New Roman" w:hAnsi="Arial" w:cs="Arial"/>
          <w:sz w:val="20"/>
          <w:szCs w:val="20"/>
          <w:lang w:eastAsia="pl-PL"/>
        </w:rPr>
        <w:t>Spadki nastąpiły w grupach:</w:t>
      </w:r>
    </w:p>
    <w:p w14:paraId="36A6562A" w14:textId="77777777" w:rsidR="002F7850" w:rsidRPr="002F7850" w:rsidRDefault="002F7850" w:rsidP="00BF76C0">
      <w:pPr>
        <w:numPr>
          <w:ilvl w:val="0"/>
          <w:numId w:val="9"/>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Zboże – 487,9 tys. ton (- 14%)</w:t>
      </w:r>
    </w:p>
    <w:p w14:paraId="26446C8A" w14:textId="77777777" w:rsidR="002F7850" w:rsidRPr="002F7850" w:rsidRDefault="002F7850" w:rsidP="00BF76C0">
      <w:pPr>
        <w:numPr>
          <w:ilvl w:val="0"/>
          <w:numId w:val="9"/>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Ropa i przetwory naftowe – 59,5 tys. ton (- 3,3%)</w:t>
      </w:r>
    </w:p>
    <w:p w14:paraId="2A04B776" w14:textId="77777777" w:rsidR="002F7850" w:rsidRPr="002F7850" w:rsidRDefault="002F7850" w:rsidP="00BF76C0">
      <w:pPr>
        <w:numPr>
          <w:ilvl w:val="0"/>
          <w:numId w:val="9"/>
        </w:numPr>
        <w:spacing w:after="0" w:line="276" w:lineRule="auto"/>
        <w:contextualSpacing/>
        <w:rPr>
          <w:rFonts w:ascii="Arial" w:eastAsia="Times New Roman" w:hAnsi="Arial" w:cs="Arial"/>
          <w:sz w:val="20"/>
          <w:szCs w:val="20"/>
          <w:lang w:eastAsia="pl-PL"/>
        </w:rPr>
      </w:pPr>
      <w:r w:rsidRPr="002F7850">
        <w:rPr>
          <w:rFonts w:ascii="Arial" w:eastAsia="Times New Roman" w:hAnsi="Arial" w:cs="Arial"/>
          <w:sz w:val="20"/>
          <w:szCs w:val="20"/>
          <w:lang w:eastAsia="pl-PL"/>
        </w:rPr>
        <w:t>Rudy – 15,1 tys. ton ( - 100%)</w:t>
      </w:r>
    </w:p>
    <w:p w14:paraId="11FEEEBB" w14:textId="77777777" w:rsidR="002F7850" w:rsidRPr="002F7850" w:rsidRDefault="002F7850" w:rsidP="00D753D7">
      <w:pPr>
        <w:spacing w:after="0" w:line="276" w:lineRule="auto"/>
        <w:rPr>
          <w:rFonts w:ascii="Arial" w:eastAsia="Times New Roman" w:hAnsi="Arial" w:cs="Arial"/>
          <w:sz w:val="20"/>
          <w:szCs w:val="20"/>
          <w:lang w:eastAsia="pl-PL"/>
        </w:rPr>
      </w:pPr>
    </w:p>
    <w:p w14:paraId="7C192CA2" w14:textId="77777777" w:rsidR="002F7850" w:rsidRPr="002F7850" w:rsidRDefault="002F7850" w:rsidP="00D753D7">
      <w:pPr>
        <w:spacing w:after="0" w:line="276" w:lineRule="auto"/>
        <w:jc w:val="both"/>
        <w:rPr>
          <w:rFonts w:ascii="Arial" w:eastAsia="Times New Roman" w:hAnsi="Arial" w:cs="Arial"/>
          <w:sz w:val="20"/>
          <w:szCs w:val="20"/>
          <w:lang w:eastAsia="pl-PL"/>
        </w:rPr>
      </w:pPr>
      <w:r w:rsidRPr="002F7850">
        <w:rPr>
          <w:rFonts w:ascii="Arial" w:eastAsia="Times New Roman" w:hAnsi="Arial" w:cs="Arial"/>
          <w:sz w:val="20"/>
          <w:szCs w:val="20"/>
          <w:lang w:eastAsia="pl-PL"/>
        </w:rPr>
        <w:t>W  2018 r. w Porcie Gdynia przeładowano 803 871 TEU kontenerów, co w porównaniu z poprzednim rokiem daje wzrost o 13,1%.</w:t>
      </w:r>
    </w:p>
    <w:p w14:paraId="6CD24599" w14:textId="3166225A" w:rsidR="002F7850" w:rsidRDefault="002F7850" w:rsidP="00D753D7">
      <w:pPr>
        <w:spacing w:after="0" w:line="276" w:lineRule="auto"/>
        <w:jc w:val="both"/>
        <w:rPr>
          <w:rFonts w:ascii="Arial" w:eastAsia="Times New Roman" w:hAnsi="Arial" w:cs="Arial"/>
          <w:color w:val="000000"/>
          <w:sz w:val="20"/>
          <w:szCs w:val="20"/>
          <w:lang w:eastAsia="pl-PL"/>
        </w:rPr>
      </w:pPr>
      <w:r w:rsidRPr="002F7850">
        <w:rPr>
          <w:rFonts w:ascii="Arial" w:eastAsia="Times New Roman" w:hAnsi="Arial" w:cs="Arial"/>
          <w:sz w:val="20"/>
          <w:szCs w:val="20"/>
          <w:lang w:eastAsia="pl-PL"/>
        </w:rPr>
        <w:t xml:space="preserve">W 2018 r. w porcie w Gdyni obsłużono </w:t>
      </w:r>
      <w:r w:rsidRPr="002F7850">
        <w:rPr>
          <w:rFonts w:ascii="Arial" w:eastAsia="Times New Roman" w:hAnsi="Arial" w:cs="Arial"/>
          <w:color w:val="000000"/>
          <w:sz w:val="20"/>
          <w:szCs w:val="20"/>
          <w:lang w:eastAsia="pl-PL"/>
        </w:rPr>
        <w:t>102 397 pasażerów ze statków typu Cruise</w:t>
      </w:r>
      <w:r w:rsidR="00D753D7">
        <w:rPr>
          <w:rFonts w:ascii="Arial" w:eastAsia="Times New Roman" w:hAnsi="Arial" w:cs="Arial"/>
          <w:color w:val="000000"/>
          <w:sz w:val="20"/>
          <w:szCs w:val="20"/>
          <w:lang w:eastAsia="pl-PL"/>
        </w:rPr>
        <w:t>,</w:t>
      </w:r>
      <w:r w:rsidRPr="002F7850">
        <w:rPr>
          <w:rFonts w:ascii="Arial" w:eastAsia="Times New Roman" w:hAnsi="Arial" w:cs="Arial"/>
          <w:color w:val="000000"/>
          <w:sz w:val="20"/>
          <w:szCs w:val="20"/>
          <w:lang w:eastAsia="pl-PL"/>
        </w:rPr>
        <w:t xml:space="preserve"> co oznaczało wzrost o 13 781 osób (+ 15,6%) w stosunku do roku poprzedniego. Port obsłużył 50 statków wycieczkowych </w:t>
      </w:r>
      <w:r w:rsidR="00D753D7">
        <w:rPr>
          <w:rFonts w:ascii="Arial" w:eastAsia="Times New Roman" w:hAnsi="Arial" w:cs="Arial"/>
          <w:color w:val="000000"/>
          <w:sz w:val="20"/>
          <w:szCs w:val="20"/>
          <w:lang w:eastAsia="pl-PL"/>
        </w:rPr>
        <w:br/>
      </w:r>
      <w:r w:rsidRPr="002F7850">
        <w:rPr>
          <w:rFonts w:ascii="Arial" w:eastAsia="Times New Roman" w:hAnsi="Arial" w:cs="Arial"/>
          <w:color w:val="000000"/>
          <w:sz w:val="20"/>
          <w:szCs w:val="20"/>
          <w:lang w:eastAsia="pl-PL"/>
        </w:rPr>
        <w:t xml:space="preserve">i było to 9 więcej niż w 2017 r. Ogółem port obsłużył w 2018 r. </w:t>
      </w:r>
      <w:r w:rsidRPr="002F7850">
        <w:rPr>
          <w:rFonts w:ascii="Arial" w:eastAsia="Times New Roman" w:hAnsi="Arial" w:cs="Arial"/>
          <w:sz w:val="20"/>
          <w:szCs w:val="20"/>
          <w:lang w:eastAsia="pl-PL"/>
        </w:rPr>
        <w:t>790 173 pasażerów</w:t>
      </w:r>
      <w:r w:rsidR="00D753D7">
        <w:rPr>
          <w:rFonts w:ascii="Arial" w:eastAsia="Times New Roman" w:hAnsi="Arial" w:cs="Arial"/>
          <w:sz w:val="20"/>
          <w:szCs w:val="20"/>
          <w:lang w:eastAsia="pl-PL"/>
        </w:rPr>
        <w:t>,</w:t>
      </w:r>
      <w:r w:rsidRPr="002F7850">
        <w:rPr>
          <w:rFonts w:ascii="Arial" w:eastAsia="Times New Roman" w:hAnsi="Arial" w:cs="Arial"/>
          <w:sz w:val="20"/>
          <w:szCs w:val="20"/>
          <w:lang w:eastAsia="pl-PL"/>
        </w:rPr>
        <w:t xml:space="preserve"> czyli więcej </w:t>
      </w:r>
      <w:r w:rsidRPr="002F7850">
        <w:rPr>
          <w:rFonts w:ascii="Arial" w:eastAsia="Times New Roman" w:hAnsi="Arial" w:cs="Arial"/>
          <w:color w:val="000000"/>
          <w:sz w:val="20"/>
          <w:szCs w:val="20"/>
          <w:lang w:eastAsia="pl-PL"/>
        </w:rPr>
        <w:t>o 41 508 osób w porównaniu do roku poprzedniego (+ 5,5%).</w:t>
      </w:r>
    </w:p>
    <w:p w14:paraId="3640A093" w14:textId="331898F7" w:rsidR="00FD20CD" w:rsidRDefault="00FD20CD" w:rsidP="00D753D7">
      <w:pPr>
        <w:spacing w:after="0" w:line="276" w:lineRule="auto"/>
        <w:jc w:val="both"/>
        <w:rPr>
          <w:rFonts w:ascii="Arial" w:eastAsia="Times New Roman" w:hAnsi="Arial" w:cs="Arial"/>
          <w:color w:val="000000"/>
          <w:sz w:val="20"/>
          <w:szCs w:val="20"/>
          <w:lang w:eastAsia="pl-PL"/>
        </w:rPr>
      </w:pPr>
    </w:p>
    <w:p w14:paraId="51B109CE" w14:textId="7A53CEF4" w:rsidR="00FD20CD" w:rsidRDefault="00FD20CD" w:rsidP="00D753D7">
      <w:pPr>
        <w:spacing w:after="0" w:line="276" w:lineRule="auto"/>
        <w:jc w:val="both"/>
        <w:rPr>
          <w:rFonts w:ascii="Arial" w:eastAsia="Times New Roman" w:hAnsi="Arial" w:cs="Arial"/>
          <w:color w:val="000000"/>
          <w:sz w:val="20"/>
          <w:szCs w:val="20"/>
          <w:lang w:eastAsia="pl-PL"/>
        </w:rPr>
      </w:pPr>
    </w:p>
    <w:p w14:paraId="7C375EBF" w14:textId="77777777" w:rsidR="00FD20CD" w:rsidRPr="002F7850" w:rsidRDefault="00FD20CD" w:rsidP="00D753D7">
      <w:pPr>
        <w:spacing w:after="0" w:line="276" w:lineRule="auto"/>
        <w:jc w:val="both"/>
        <w:rPr>
          <w:rFonts w:ascii="Arial" w:eastAsia="Times New Roman" w:hAnsi="Arial" w:cs="Arial"/>
          <w:color w:val="000000"/>
          <w:sz w:val="20"/>
          <w:szCs w:val="20"/>
          <w:lang w:eastAsia="pl-PL"/>
        </w:rPr>
      </w:pPr>
    </w:p>
    <w:p w14:paraId="59C4FD6F" w14:textId="77777777" w:rsidR="002F7850" w:rsidRPr="002F7850" w:rsidRDefault="002F7850" w:rsidP="00D753D7">
      <w:pPr>
        <w:spacing w:after="0" w:line="276" w:lineRule="auto"/>
        <w:rPr>
          <w:rFonts w:ascii="Arial" w:eastAsia="Times New Roman" w:hAnsi="Arial" w:cs="Arial"/>
          <w:b/>
          <w:color w:val="000000"/>
          <w:sz w:val="20"/>
          <w:szCs w:val="20"/>
          <w:lang w:eastAsia="pl-PL"/>
        </w:rPr>
      </w:pPr>
    </w:p>
    <w:p w14:paraId="753B7917" w14:textId="77777777" w:rsidR="002F7850" w:rsidRPr="002F7850" w:rsidRDefault="002F7850" w:rsidP="002F7850">
      <w:pPr>
        <w:spacing w:after="0" w:line="240" w:lineRule="auto"/>
        <w:rPr>
          <w:rFonts w:ascii="Arial" w:eastAsia="Times New Roman" w:hAnsi="Arial" w:cs="Arial"/>
          <w:color w:val="000000"/>
          <w:sz w:val="20"/>
          <w:szCs w:val="20"/>
          <w:lang w:eastAsia="pl-PL"/>
        </w:rPr>
      </w:pPr>
      <w:r w:rsidRPr="002F7850">
        <w:rPr>
          <w:rFonts w:ascii="Arial" w:eastAsia="Times New Roman" w:hAnsi="Arial" w:cs="Arial"/>
          <w:b/>
          <w:color w:val="000000"/>
          <w:sz w:val="20"/>
          <w:szCs w:val="20"/>
          <w:lang w:eastAsia="pl-PL"/>
        </w:rPr>
        <w:t>Rys. 2.  Przeładunki w Porcie Gdynia w latach 2017-2018 w tys. ton.</w:t>
      </w:r>
    </w:p>
    <w:p w14:paraId="05A16B88" w14:textId="77777777" w:rsidR="002F7850" w:rsidRPr="002F7850" w:rsidRDefault="002F7850" w:rsidP="002F7850">
      <w:pPr>
        <w:spacing w:after="0" w:line="240" w:lineRule="auto"/>
        <w:jc w:val="center"/>
        <w:rPr>
          <w:rFonts w:ascii="Arial" w:eastAsia="Times New Roman" w:hAnsi="Arial" w:cs="Arial"/>
          <w:sz w:val="20"/>
          <w:szCs w:val="20"/>
          <w:lang w:eastAsia="pl-PL"/>
        </w:rPr>
      </w:pPr>
      <w:r w:rsidRPr="002F7850">
        <w:rPr>
          <w:rFonts w:ascii="Arial" w:eastAsia="Times New Roman" w:hAnsi="Arial" w:cs="Arial"/>
          <w:noProof/>
          <w:sz w:val="20"/>
          <w:szCs w:val="20"/>
          <w:lang w:eastAsia="pl-PL"/>
        </w:rPr>
        <w:drawing>
          <wp:inline distT="0" distB="0" distL="0" distR="0" wp14:anchorId="2672FE0E" wp14:editId="24891DF4">
            <wp:extent cx="4791075" cy="27622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A703C5" w14:textId="77777777" w:rsidR="002F7850" w:rsidRPr="002F7850" w:rsidRDefault="002F7850" w:rsidP="002F7850">
      <w:pPr>
        <w:spacing w:after="0" w:line="240" w:lineRule="auto"/>
        <w:rPr>
          <w:rFonts w:ascii="Arial" w:eastAsia="Times New Roman" w:hAnsi="Arial" w:cs="Arial"/>
          <w:b/>
          <w:color w:val="000000"/>
          <w:sz w:val="20"/>
          <w:szCs w:val="20"/>
          <w:lang w:eastAsia="pl-PL"/>
        </w:rPr>
      </w:pPr>
      <w:r w:rsidRPr="002F7850">
        <w:rPr>
          <w:rFonts w:ascii="Arial" w:eastAsia="Times New Roman" w:hAnsi="Arial" w:cs="Arial"/>
          <w:b/>
          <w:color w:val="000000"/>
          <w:sz w:val="20"/>
          <w:szCs w:val="20"/>
          <w:lang w:eastAsia="pl-PL"/>
        </w:rPr>
        <w:t>Źródło: ZMPG S.A.</w:t>
      </w:r>
    </w:p>
    <w:p w14:paraId="4E485B5B" w14:textId="77777777" w:rsidR="002F7850" w:rsidRPr="002F7850" w:rsidRDefault="002F7850" w:rsidP="002F7850">
      <w:pPr>
        <w:spacing w:after="0" w:line="240" w:lineRule="auto"/>
        <w:jc w:val="both"/>
        <w:rPr>
          <w:rFonts w:ascii="Arial" w:eastAsia="Times New Roman" w:hAnsi="Arial" w:cs="Arial"/>
          <w:color w:val="000000"/>
          <w:sz w:val="20"/>
          <w:szCs w:val="20"/>
          <w:lang w:eastAsia="pl-PL"/>
        </w:rPr>
      </w:pPr>
    </w:p>
    <w:p w14:paraId="48E59424" w14:textId="77777777" w:rsidR="002F7850" w:rsidRPr="002F7850" w:rsidRDefault="00D753D7" w:rsidP="00D753D7">
      <w:pPr>
        <w:spacing w:after="0" w:line="276" w:lineRule="auto"/>
        <w:jc w:val="both"/>
        <w:rPr>
          <w:rFonts w:ascii="Arial" w:eastAsia="Times New Roman" w:hAnsi="Arial" w:cs="Arial"/>
          <w:sz w:val="20"/>
          <w:szCs w:val="20"/>
          <w:lang w:eastAsia="pl-PL"/>
        </w:rPr>
      </w:pPr>
      <w:r>
        <w:rPr>
          <w:rFonts w:ascii="Arial" w:eastAsia="Times New Roman" w:hAnsi="Arial" w:cs="Arial"/>
          <w:color w:val="000000"/>
          <w:sz w:val="20"/>
          <w:szCs w:val="20"/>
          <w:lang w:eastAsia="pl-PL"/>
        </w:rPr>
        <w:t>Ogółem w 2018 r.</w:t>
      </w:r>
      <w:r w:rsidR="002F7850" w:rsidRPr="002F7850">
        <w:rPr>
          <w:rFonts w:ascii="Arial" w:eastAsia="Times New Roman" w:hAnsi="Arial" w:cs="Arial"/>
          <w:color w:val="000000"/>
          <w:sz w:val="20"/>
          <w:szCs w:val="20"/>
          <w:lang w:eastAsia="pl-PL"/>
        </w:rPr>
        <w:t xml:space="preserve"> w Porcie Gdynia obsłużono 13 571,4 </w:t>
      </w:r>
      <w:r>
        <w:rPr>
          <w:rFonts w:ascii="Arial" w:eastAsia="Times New Roman" w:hAnsi="Arial" w:cs="Arial"/>
          <w:color w:val="000000"/>
          <w:sz w:val="20"/>
          <w:szCs w:val="20"/>
          <w:lang w:eastAsia="pl-PL"/>
        </w:rPr>
        <w:t>tys. ton w imporcie (w 2017 r.</w:t>
      </w:r>
      <w:r w:rsidR="002F7850" w:rsidRPr="002F7850">
        <w:rPr>
          <w:rFonts w:ascii="Arial" w:eastAsia="Times New Roman" w:hAnsi="Arial" w:cs="Arial"/>
          <w:color w:val="000000"/>
          <w:sz w:val="20"/>
          <w:szCs w:val="20"/>
          <w:lang w:eastAsia="pl-PL"/>
        </w:rPr>
        <w:t xml:space="preserve"> było to </w:t>
      </w:r>
      <w:r w:rsidR="002F7850" w:rsidRPr="002F7850">
        <w:rPr>
          <w:rFonts w:ascii="Arial" w:eastAsia="Times New Roman" w:hAnsi="Arial" w:cs="Arial"/>
          <w:color w:val="000000"/>
          <w:sz w:val="20"/>
          <w:szCs w:val="20"/>
          <w:lang w:eastAsia="pl-PL"/>
        </w:rPr>
        <w:br/>
        <w:t>11 938,0 tys. ton) i 9 920,7 t</w:t>
      </w:r>
      <w:r>
        <w:rPr>
          <w:rFonts w:ascii="Arial" w:eastAsia="Times New Roman" w:hAnsi="Arial" w:cs="Arial"/>
          <w:color w:val="000000"/>
          <w:sz w:val="20"/>
          <w:szCs w:val="20"/>
          <w:lang w:eastAsia="pl-PL"/>
        </w:rPr>
        <w:t>ys. ton w eksporcie (w 2017 r.</w:t>
      </w:r>
      <w:r w:rsidR="002F7850" w:rsidRPr="002F7850">
        <w:rPr>
          <w:rFonts w:ascii="Arial" w:eastAsia="Times New Roman" w:hAnsi="Arial" w:cs="Arial"/>
          <w:color w:val="000000"/>
          <w:sz w:val="20"/>
          <w:szCs w:val="20"/>
          <w:lang w:eastAsia="pl-PL"/>
        </w:rPr>
        <w:t xml:space="preserve"> było to 9 287,1 tys. ton). </w:t>
      </w:r>
      <w:r w:rsidR="002F7850" w:rsidRPr="002F7850">
        <w:rPr>
          <w:rFonts w:ascii="Arial" w:eastAsia="Times New Roman" w:hAnsi="Arial" w:cs="Arial"/>
          <w:sz w:val="20"/>
          <w:szCs w:val="20"/>
          <w:lang w:eastAsia="pl-PL"/>
        </w:rPr>
        <w:t xml:space="preserve">Zmiany spowodowane są w dużej mierze zwiększonym importem węgla (+ 462,1 tys. ton), zwiększonym eksportem drewna (+ 531,9 tys. ton) oraz zwiększonym eksportem (+ 393,5 tys. ton) i importem (+ 964,0 tys. ton) drobnicy. </w:t>
      </w:r>
    </w:p>
    <w:p w14:paraId="2A70FA01" w14:textId="77777777" w:rsidR="002F7850" w:rsidRPr="00635214" w:rsidRDefault="002F7850" w:rsidP="00D753D7">
      <w:pPr>
        <w:pStyle w:val="spis2"/>
        <w:rPr>
          <w:rFonts w:ascii="Arial" w:hAnsi="Arial" w:cs="Arial"/>
          <w:sz w:val="20"/>
          <w:szCs w:val="20"/>
          <w:lang w:eastAsia="pl-PL"/>
        </w:rPr>
      </w:pPr>
      <w:r w:rsidRPr="00635214">
        <w:rPr>
          <w:rFonts w:ascii="Arial" w:hAnsi="Arial" w:cs="Arial"/>
          <w:sz w:val="20"/>
          <w:szCs w:val="20"/>
          <w:lang w:eastAsia="pl-PL"/>
        </w:rPr>
        <w:t xml:space="preserve">Realizowane projekty oraz inwestycje w Porcie Gdynia w 2018 r. </w:t>
      </w:r>
    </w:p>
    <w:p w14:paraId="4B33B26F"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b/>
          <w:sz w:val="20"/>
          <w:szCs w:val="20"/>
          <w:lang w:eastAsia="pl-PL"/>
        </w:rPr>
      </w:pPr>
      <w:r w:rsidRPr="00731248">
        <w:rPr>
          <w:rFonts w:ascii="Arial" w:eastAsia="Times New Roman" w:hAnsi="Arial" w:cs="Arial"/>
          <w:b/>
          <w:sz w:val="20"/>
          <w:szCs w:val="20"/>
          <w:lang w:eastAsia="pl-PL"/>
        </w:rPr>
        <w:t xml:space="preserve">Pogłębianie toru podejściowego i akwenów wewnętrznych Portu Gdynia – etapy I i III oraz przebudowa nabrzeży w Porcie Gdynia – etapy II-III </w:t>
      </w:r>
    </w:p>
    <w:p w14:paraId="19511D66"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57E19A0F" w14:textId="77777777" w:rsidR="002F7850" w:rsidRPr="002F7850" w:rsidRDefault="002F7850" w:rsidP="00A90D43">
      <w:pPr>
        <w:spacing w:after="0" w:line="276" w:lineRule="auto"/>
        <w:jc w:val="both"/>
        <w:rPr>
          <w:rFonts w:ascii="Arial" w:hAnsi="Arial" w:cs="Arial"/>
          <w:sz w:val="20"/>
          <w:szCs w:val="20"/>
        </w:rPr>
      </w:pPr>
      <w:r w:rsidRPr="002F7850">
        <w:rPr>
          <w:rFonts w:ascii="Arial" w:hAnsi="Arial" w:cs="Arial"/>
          <w:sz w:val="20"/>
          <w:szCs w:val="20"/>
        </w:rPr>
        <w:t xml:space="preserve">Celem inwestycji jest zapewnienie parametrów nawigacyjnych, umożliwiających zawijanie do Portu Gdynia dużych statków kontenerowych, obsługujących bezpośrednie połączenia oceaniczne oraz statków masowych typu Baltimax, czyli największych wchodzących na Bałtyk. Kluczowym jest zwiększenie głębokości na torze podejściowym  oraz w kanale i obrotnicach portowych, szczególnie na obszarach przeładunków ładunków kontenerowych i masowych. Projekt składa się z dwóch zadań </w:t>
      </w:r>
      <w:r w:rsidR="00A90D43">
        <w:rPr>
          <w:rFonts w:ascii="Arial" w:hAnsi="Arial" w:cs="Arial"/>
          <w:sz w:val="20"/>
          <w:szCs w:val="20"/>
        </w:rPr>
        <w:br/>
      </w:r>
      <w:r w:rsidRPr="002F7850">
        <w:rPr>
          <w:rFonts w:ascii="Arial" w:hAnsi="Arial" w:cs="Arial"/>
          <w:sz w:val="20"/>
          <w:szCs w:val="20"/>
        </w:rPr>
        <w:t>i kilku etapów w każdym z nich:</w:t>
      </w:r>
    </w:p>
    <w:p w14:paraId="04E020A6" w14:textId="77777777" w:rsidR="002F7850" w:rsidRPr="002F7850" w:rsidRDefault="00A90D43" w:rsidP="00A90D43">
      <w:pPr>
        <w:spacing w:after="0" w:line="276" w:lineRule="auto"/>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Zadanie 1</w:t>
      </w:r>
    </w:p>
    <w:p w14:paraId="255122B3" w14:textId="77777777" w:rsidR="002F7850" w:rsidRPr="002F7850" w:rsidRDefault="002F7850" w:rsidP="00A90D43">
      <w:pPr>
        <w:spacing w:after="0" w:line="276" w:lineRule="auto"/>
        <w:jc w:val="both"/>
        <w:rPr>
          <w:rFonts w:ascii="Arial" w:hAnsi="Arial" w:cs="Arial"/>
          <w:sz w:val="20"/>
          <w:szCs w:val="20"/>
        </w:rPr>
      </w:pPr>
      <w:r w:rsidRPr="002F7850">
        <w:rPr>
          <w:rFonts w:ascii="Arial" w:hAnsi="Arial" w:cs="Arial"/>
          <w:sz w:val="20"/>
          <w:szCs w:val="20"/>
        </w:rPr>
        <w:t xml:space="preserve">Etap I projektu obejmuje w przebudowę Obrotnicy nr 2 do średnicy docelowej 480 m. Roboty budowlane związane z rozbudową Obrotnicy nr 2 rozpoczęły się we wrześniu 2017 r. Obrotnica w dnie została wykonana. </w:t>
      </w:r>
    </w:p>
    <w:p w14:paraId="34ACEED1" w14:textId="77777777" w:rsidR="002F7850" w:rsidRPr="002F7850" w:rsidRDefault="002F7850" w:rsidP="00A90D43">
      <w:pPr>
        <w:spacing w:after="0" w:line="276" w:lineRule="auto"/>
        <w:jc w:val="both"/>
        <w:rPr>
          <w:rFonts w:ascii="Arial" w:hAnsi="Arial" w:cs="Arial"/>
          <w:sz w:val="20"/>
          <w:szCs w:val="20"/>
        </w:rPr>
      </w:pPr>
      <w:r w:rsidRPr="002F7850">
        <w:rPr>
          <w:rFonts w:ascii="Arial" w:hAnsi="Arial" w:cs="Arial"/>
          <w:sz w:val="20"/>
          <w:szCs w:val="20"/>
        </w:rPr>
        <w:t xml:space="preserve">Etap II, dotyczący pogłębienia toru podejściowego </w:t>
      </w:r>
      <w:r w:rsidR="00CC2F36">
        <w:rPr>
          <w:rFonts w:ascii="Arial" w:hAnsi="Arial" w:cs="Arial"/>
          <w:sz w:val="20"/>
          <w:szCs w:val="20"/>
        </w:rPr>
        <w:t>do Portu Gdynia</w:t>
      </w:r>
      <w:r w:rsidRPr="002F7850">
        <w:rPr>
          <w:rFonts w:ascii="Arial" w:hAnsi="Arial" w:cs="Arial"/>
          <w:sz w:val="20"/>
          <w:szCs w:val="20"/>
        </w:rPr>
        <w:t xml:space="preserve"> leży w gestii Urzędu Morskiego </w:t>
      </w:r>
      <w:r w:rsidR="00CC2F36">
        <w:rPr>
          <w:rFonts w:ascii="Arial" w:hAnsi="Arial" w:cs="Arial"/>
          <w:sz w:val="20"/>
          <w:szCs w:val="20"/>
        </w:rPr>
        <w:br/>
      </w:r>
      <w:r w:rsidRPr="002F7850">
        <w:rPr>
          <w:rFonts w:ascii="Arial" w:hAnsi="Arial" w:cs="Arial"/>
          <w:sz w:val="20"/>
          <w:szCs w:val="20"/>
        </w:rPr>
        <w:t>w Gdyni, który realizuje w swoim zakresie wykonanie robót czerpalnych na torze podejściowym do główek falochronu, do rzędnej -17,0 m na długości 3855 m i szerokości 280</w:t>
      </w:r>
      <w:r w:rsidR="00CC2F36">
        <w:rPr>
          <w:rFonts w:ascii="Arial" w:hAnsi="Arial" w:cs="Arial"/>
          <w:sz w:val="20"/>
          <w:szCs w:val="20"/>
        </w:rPr>
        <w:t xml:space="preserve"> </w:t>
      </w:r>
      <w:r w:rsidRPr="002F7850">
        <w:rPr>
          <w:rFonts w:ascii="Arial" w:hAnsi="Arial" w:cs="Arial"/>
          <w:sz w:val="20"/>
          <w:szCs w:val="20"/>
        </w:rPr>
        <w:t xml:space="preserve">m. Realizacja w latach: 2019-2021 – inwestycja jest w fazie przygotowania. </w:t>
      </w:r>
    </w:p>
    <w:p w14:paraId="69528DD5" w14:textId="77777777" w:rsidR="002F7850" w:rsidRPr="002F7850" w:rsidRDefault="002F7850" w:rsidP="00A90D43">
      <w:pPr>
        <w:spacing w:after="0" w:line="276" w:lineRule="auto"/>
        <w:jc w:val="both"/>
        <w:rPr>
          <w:rFonts w:ascii="Arial" w:hAnsi="Arial" w:cs="Arial"/>
          <w:sz w:val="20"/>
          <w:szCs w:val="20"/>
        </w:rPr>
      </w:pPr>
      <w:r w:rsidRPr="002F7850">
        <w:rPr>
          <w:rFonts w:ascii="Arial" w:hAnsi="Arial" w:cs="Arial"/>
          <w:sz w:val="20"/>
          <w:szCs w:val="20"/>
        </w:rPr>
        <w:t xml:space="preserve">Etap III przewiduje roboty czerpalne do rzędnej -16 m w akwenach wewnętrznych Portu Gdynia </w:t>
      </w:r>
      <w:r w:rsidR="00CC2F36">
        <w:rPr>
          <w:rFonts w:ascii="Arial" w:hAnsi="Arial" w:cs="Arial"/>
          <w:sz w:val="20"/>
          <w:szCs w:val="20"/>
        </w:rPr>
        <w:br/>
      </w:r>
      <w:r w:rsidRPr="002F7850">
        <w:rPr>
          <w:rFonts w:ascii="Arial" w:hAnsi="Arial" w:cs="Arial"/>
          <w:sz w:val="20"/>
          <w:szCs w:val="20"/>
        </w:rPr>
        <w:t>i wcześniejszą przebudowę (wzmocnienie) nabrzeży Włoskiego, Słowackiego (obecnie prace wykonawcze) oraz Norweskiego (proces przetargowy na wyłonienie wykonawcy). Realizacja w latach 2020-2022. Inwestycja jest w fazie przygotowania.</w:t>
      </w:r>
    </w:p>
    <w:p w14:paraId="1F181047" w14:textId="77777777" w:rsidR="002F7850" w:rsidRPr="00A90D43" w:rsidRDefault="00A90D43" w:rsidP="00A90D43">
      <w:pPr>
        <w:spacing w:after="0" w:line="276" w:lineRule="auto"/>
        <w:jc w:val="both"/>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Zadanie 2</w:t>
      </w:r>
    </w:p>
    <w:p w14:paraId="79353CD8" w14:textId="77777777" w:rsidR="002F7850" w:rsidRPr="002F7850" w:rsidRDefault="002F7850" w:rsidP="00A90D43">
      <w:pPr>
        <w:spacing w:after="0" w:line="276" w:lineRule="auto"/>
        <w:jc w:val="both"/>
        <w:rPr>
          <w:rFonts w:ascii="Arial" w:hAnsi="Arial" w:cs="Arial"/>
          <w:i/>
          <w:sz w:val="20"/>
          <w:szCs w:val="20"/>
        </w:rPr>
      </w:pPr>
      <w:r w:rsidRPr="002F7850">
        <w:rPr>
          <w:rFonts w:ascii="Arial" w:hAnsi="Arial" w:cs="Arial"/>
          <w:sz w:val="20"/>
          <w:szCs w:val="20"/>
        </w:rPr>
        <w:t>Etap II obejmować będzie przebudowę Nabrzeża Indyjskiego. Dokumentacja jest w fazie przygotowania.</w:t>
      </w:r>
    </w:p>
    <w:p w14:paraId="0A6C2E7F" w14:textId="77777777" w:rsidR="002F7850" w:rsidRPr="002F7850" w:rsidRDefault="002F7850" w:rsidP="00A90D43">
      <w:pPr>
        <w:spacing w:after="0" w:line="276" w:lineRule="auto"/>
        <w:jc w:val="both"/>
        <w:rPr>
          <w:rFonts w:ascii="Arial" w:hAnsi="Arial" w:cs="Arial"/>
          <w:sz w:val="20"/>
          <w:szCs w:val="20"/>
        </w:rPr>
      </w:pPr>
      <w:r w:rsidRPr="002F7850">
        <w:rPr>
          <w:rFonts w:ascii="Arial" w:hAnsi="Arial" w:cs="Arial"/>
          <w:sz w:val="20"/>
          <w:szCs w:val="20"/>
        </w:rPr>
        <w:t xml:space="preserve">Etap III obejmuje przebudowę Nabrzeża Helskiego I i Helskiego II. Dokumentacja techniczna jest na ukończeniu. </w:t>
      </w:r>
    </w:p>
    <w:p w14:paraId="734073B5" w14:textId="77777777" w:rsidR="002F7850" w:rsidRPr="002F7850" w:rsidRDefault="002F7850" w:rsidP="00A90D43">
      <w:pPr>
        <w:spacing w:after="0" w:line="276" w:lineRule="auto"/>
        <w:jc w:val="both"/>
        <w:rPr>
          <w:rFonts w:ascii="Arial" w:eastAsia="Times New Roman" w:hAnsi="Arial" w:cs="Arial"/>
          <w:sz w:val="20"/>
          <w:szCs w:val="20"/>
          <w:lang w:eastAsia="pl-PL"/>
        </w:rPr>
      </w:pPr>
      <w:r w:rsidRPr="002F7850">
        <w:rPr>
          <w:rFonts w:ascii="Arial" w:eastAsia="Times New Roman" w:hAnsi="Arial" w:cs="Arial"/>
          <w:sz w:val="20"/>
          <w:szCs w:val="20"/>
          <w:lang w:eastAsia="pl-PL"/>
        </w:rPr>
        <w:t>Projekt otrzymał dofinansowanie ze środków Funduszu Spójności w ramach POIŚ 2014-2020. Budżet projektu: 556 mln zł brutto, 456 mln zł netto, dofinansowanie unijne 273 mln zł.</w:t>
      </w:r>
    </w:p>
    <w:p w14:paraId="0AA3E217"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4C253F3B"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sz w:val="20"/>
          <w:szCs w:val="20"/>
          <w:lang w:eastAsia="pl-PL"/>
        </w:rPr>
      </w:pPr>
      <w:r w:rsidRPr="00731248">
        <w:rPr>
          <w:rFonts w:ascii="Arial" w:eastAsia="Times New Roman" w:hAnsi="Arial" w:cs="Arial"/>
          <w:b/>
          <w:sz w:val="20"/>
          <w:szCs w:val="20"/>
          <w:lang w:eastAsia="pl-PL"/>
        </w:rPr>
        <w:t>Poprawa dostępu kolejowego do portu morskiego w Gdyni</w:t>
      </w:r>
      <w:r w:rsidRPr="00731248">
        <w:rPr>
          <w:rFonts w:ascii="Arial" w:eastAsia="Times New Roman" w:hAnsi="Arial" w:cs="Arial"/>
          <w:sz w:val="20"/>
          <w:szCs w:val="20"/>
          <w:lang w:eastAsia="pl-PL"/>
        </w:rPr>
        <w:t xml:space="preserve"> – </w:t>
      </w:r>
      <w:r w:rsidRPr="00A90D43">
        <w:rPr>
          <w:rFonts w:ascii="Arial" w:eastAsia="Times New Roman" w:hAnsi="Arial" w:cs="Arial"/>
          <w:b/>
          <w:sz w:val="20"/>
          <w:szCs w:val="20"/>
          <w:lang w:eastAsia="pl-PL"/>
        </w:rPr>
        <w:t>stacja Port Gdynia</w:t>
      </w:r>
      <w:r w:rsidRPr="00731248">
        <w:rPr>
          <w:rFonts w:ascii="Arial" w:eastAsia="Times New Roman" w:hAnsi="Arial" w:cs="Arial"/>
          <w:sz w:val="20"/>
          <w:szCs w:val="20"/>
          <w:lang w:eastAsia="pl-PL"/>
        </w:rPr>
        <w:t xml:space="preserve"> </w:t>
      </w:r>
    </w:p>
    <w:p w14:paraId="4BF7A116" w14:textId="77777777" w:rsidR="002F7850" w:rsidRPr="00731248" w:rsidRDefault="002F7850" w:rsidP="002F7850">
      <w:pPr>
        <w:spacing w:after="0" w:line="240" w:lineRule="auto"/>
        <w:jc w:val="both"/>
        <w:rPr>
          <w:rFonts w:ascii="Arial" w:eastAsia="Times New Roman" w:hAnsi="Arial" w:cs="Arial"/>
          <w:sz w:val="20"/>
          <w:szCs w:val="20"/>
          <w:lang w:eastAsia="pl-PL"/>
        </w:rPr>
      </w:pPr>
    </w:p>
    <w:p w14:paraId="419E83FF" w14:textId="77777777" w:rsidR="00226428" w:rsidRPr="008F6E57" w:rsidRDefault="00226428" w:rsidP="00117D95">
      <w:pPr>
        <w:spacing w:after="0" w:line="276" w:lineRule="auto"/>
        <w:jc w:val="both"/>
        <w:rPr>
          <w:rFonts w:ascii="Arial" w:hAnsi="Arial" w:cs="Arial"/>
          <w:sz w:val="20"/>
          <w:szCs w:val="20"/>
        </w:rPr>
      </w:pPr>
      <w:r w:rsidRPr="008F6E57">
        <w:rPr>
          <w:rFonts w:ascii="Arial" w:hAnsi="Arial" w:cs="Arial"/>
          <w:sz w:val="20"/>
          <w:szCs w:val="20"/>
        </w:rPr>
        <w:t xml:space="preserve">Projekt prowadzony przez PKP PLK S.A. przewiduje gruntowną przebudowę stacji kolejowej Gdynia Port wraz z infrastrukturą towarzyszącą, w tym wymianę nawierzchni kolejowej z podtorzem </w:t>
      </w:r>
      <w:r w:rsidRPr="008F6E57">
        <w:rPr>
          <w:rFonts w:ascii="Arial" w:hAnsi="Arial" w:cs="Arial"/>
          <w:sz w:val="20"/>
          <w:szCs w:val="20"/>
        </w:rPr>
        <w:br/>
        <w:t xml:space="preserve">i odwodnieniem. Obejmuje ona łącznie teren 70 hektarów, 130 kilometrów torów kolejowych wraz </w:t>
      </w:r>
      <w:r w:rsidRPr="008F6E57">
        <w:rPr>
          <w:rFonts w:ascii="Arial" w:hAnsi="Arial" w:cs="Arial"/>
          <w:sz w:val="20"/>
          <w:szCs w:val="20"/>
        </w:rPr>
        <w:br/>
        <w:t xml:space="preserve">z 355 rozjazdami i przejazdami kolejowo-drogowymi na odcinkach 6 linii kolejowych. </w:t>
      </w:r>
    </w:p>
    <w:p w14:paraId="793A9FE8" w14:textId="77777777" w:rsidR="00226428" w:rsidRPr="008F6E57" w:rsidRDefault="00226428" w:rsidP="00117D95">
      <w:pPr>
        <w:spacing w:after="0" w:line="276" w:lineRule="auto"/>
        <w:jc w:val="both"/>
        <w:rPr>
          <w:rFonts w:ascii="Arial" w:hAnsi="Arial" w:cs="Arial"/>
          <w:sz w:val="20"/>
          <w:szCs w:val="20"/>
        </w:rPr>
      </w:pPr>
      <w:r w:rsidRPr="008F6E57">
        <w:rPr>
          <w:rFonts w:ascii="Arial" w:hAnsi="Arial" w:cs="Arial"/>
          <w:sz w:val="20"/>
          <w:szCs w:val="20"/>
        </w:rPr>
        <w:t xml:space="preserve">Zakres prac obejmować będzie także instalację urządzeń i systemów telekomunikacyjnych, sieci trakcyjnej wraz z zasilaniem oraz budowę obiektów inżynieryjnych i kubaturowych. Ponadto, budowa Lokalnego Centrum Sterowania Gdynia Port zapewni sprawniejszy ruch pociągów. W efekcie prac wzrośnie punktualność przejazdów i szybkość obsługi kolejowej terminali portowych. </w:t>
      </w:r>
    </w:p>
    <w:p w14:paraId="5915720E" w14:textId="28A6102C" w:rsidR="00226428" w:rsidRPr="008F6E57" w:rsidRDefault="00226428" w:rsidP="00117D95">
      <w:pPr>
        <w:spacing w:after="0" w:line="276" w:lineRule="auto"/>
        <w:jc w:val="both"/>
        <w:rPr>
          <w:rFonts w:ascii="Arial" w:hAnsi="Arial" w:cs="Arial"/>
          <w:sz w:val="20"/>
          <w:szCs w:val="20"/>
          <w:u w:val="single"/>
        </w:rPr>
      </w:pPr>
      <w:r w:rsidRPr="008F6E57">
        <w:rPr>
          <w:rFonts w:ascii="Arial" w:hAnsi="Arial" w:cs="Arial"/>
          <w:sz w:val="20"/>
          <w:szCs w:val="20"/>
          <w:lang w:val="x-none"/>
        </w:rPr>
        <w:t xml:space="preserve">Projekt jest realizowany w oparciu o środki własne PKP Polskie Linie Kolejowe S.A. oraz środki instrumentu finansowego CEF „Łącząc Europę” z dofinansowaniem na poziomie 40%. </w:t>
      </w:r>
      <w:r w:rsidRPr="008F6E57">
        <w:rPr>
          <w:rFonts w:ascii="Arial" w:hAnsi="Arial" w:cs="Arial"/>
          <w:sz w:val="20"/>
          <w:szCs w:val="20"/>
        </w:rPr>
        <w:br/>
      </w:r>
      <w:r w:rsidR="00B80990">
        <w:rPr>
          <w:rFonts w:ascii="Arial" w:hAnsi="Arial" w:cs="Arial"/>
          <w:sz w:val="20"/>
          <w:szCs w:val="20"/>
        </w:rPr>
        <w:t>Wartość projektu opiewa</w:t>
      </w:r>
      <w:r w:rsidR="00B80990">
        <w:rPr>
          <w:rFonts w:ascii="Arial" w:hAnsi="Arial" w:cs="Arial"/>
          <w:sz w:val="20"/>
          <w:szCs w:val="20"/>
          <w:lang w:val="x-none"/>
        </w:rPr>
        <w:t xml:space="preserve"> na kwotę ponad</w:t>
      </w:r>
      <w:r w:rsidR="00B80990" w:rsidRPr="00B80990">
        <w:rPr>
          <w:rFonts w:ascii="Arial" w:hAnsi="Arial" w:cs="Arial"/>
          <w:sz w:val="20"/>
          <w:szCs w:val="20"/>
          <w:lang w:val="x-none"/>
        </w:rPr>
        <w:t xml:space="preserve"> 1 800 000 000,00 zł brutto</w:t>
      </w:r>
      <w:r w:rsidR="00B80990">
        <w:rPr>
          <w:rFonts w:ascii="Arial" w:hAnsi="Arial" w:cs="Arial"/>
          <w:sz w:val="20"/>
          <w:szCs w:val="20"/>
        </w:rPr>
        <w:t>.</w:t>
      </w:r>
      <w:r w:rsidR="00B80990" w:rsidRPr="00B80990">
        <w:rPr>
          <w:rFonts w:ascii="Arial" w:hAnsi="Arial" w:cs="Arial"/>
          <w:sz w:val="20"/>
          <w:szCs w:val="20"/>
          <w:lang w:val="x-none"/>
        </w:rPr>
        <w:t xml:space="preserve"> </w:t>
      </w:r>
      <w:r w:rsidRPr="008F6E57">
        <w:rPr>
          <w:rFonts w:ascii="Arial" w:hAnsi="Arial" w:cs="Arial"/>
          <w:sz w:val="20"/>
          <w:szCs w:val="20"/>
          <w:lang w:val="x-none"/>
        </w:rPr>
        <w:t>Zakończenie prac zaplanowane jest do końca 2021 r.</w:t>
      </w:r>
    </w:p>
    <w:p w14:paraId="6AF26123"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6F8563A3"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b/>
          <w:sz w:val="20"/>
          <w:szCs w:val="20"/>
          <w:lang w:eastAsia="pl-PL"/>
        </w:rPr>
      </w:pPr>
      <w:r w:rsidRPr="00731248">
        <w:rPr>
          <w:rFonts w:ascii="Arial" w:eastAsia="Times New Roman" w:hAnsi="Arial" w:cs="Arial"/>
          <w:b/>
          <w:sz w:val="20"/>
          <w:szCs w:val="20"/>
          <w:lang w:eastAsia="pl-PL"/>
        </w:rPr>
        <w:t xml:space="preserve">Rozbudowa linii kolejowej nr 201 w kierunku Bydgoszczy </w:t>
      </w:r>
    </w:p>
    <w:p w14:paraId="6B4C6204"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6C5932C1"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Pod kon</w:t>
      </w:r>
      <w:r w:rsidR="003812BF">
        <w:rPr>
          <w:rFonts w:ascii="Arial" w:hAnsi="Arial" w:cs="Arial"/>
          <w:sz w:val="20"/>
          <w:szCs w:val="20"/>
        </w:rPr>
        <w:t>iec trzeciego kwartału 2018 r.</w:t>
      </w:r>
      <w:r w:rsidRPr="002F7850">
        <w:rPr>
          <w:rFonts w:ascii="Arial" w:hAnsi="Arial" w:cs="Arial"/>
          <w:sz w:val="20"/>
          <w:szCs w:val="20"/>
        </w:rPr>
        <w:t xml:space="preserve"> spółka PKP Polskie Linie Kolejowe S.A. podpisała umowy </w:t>
      </w:r>
      <w:r w:rsidR="00B37479">
        <w:rPr>
          <w:rFonts w:ascii="Arial" w:hAnsi="Arial" w:cs="Arial"/>
          <w:sz w:val="20"/>
          <w:szCs w:val="20"/>
        </w:rPr>
        <w:br/>
      </w:r>
      <w:r w:rsidRPr="002F7850">
        <w:rPr>
          <w:rFonts w:ascii="Arial" w:hAnsi="Arial" w:cs="Arial"/>
          <w:sz w:val="20"/>
          <w:szCs w:val="20"/>
        </w:rPr>
        <w:t xml:space="preserve">z firmami projektowymi, na opracowanie dokumentacji projektowej na budowę dodatkowego, trzeciego  toru na odcinku Gdańsk Osowa – Gdynia Wielki Kack – Gdynia Główna w ramach modernizacji i elektryfikacji kluczowej dla rozwoju portu linii kolejowej nr 201. Pozytywna decyzja PKP PLK S.A. jest wynikiem starań Zarządu Morskiego Portu Gdynia S.A. o uwzględnienie budowy trzeciego toru w ramach prowadzonych prac nad inwestycją, która ma podstawowe znaczenie dla transportu kolejowego Portu Gdynia. </w:t>
      </w:r>
    </w:p>
    <w:p w14:paraId="34FD0755" w14:textId="77777777" w:rsidR="002F7850" w:rsidRPr="002F7850" w:rsidRDefault="002F7850" w:rsidP="002F7850">
      <w:pPr>
        <w:spacing w:after="0" w:line="240" w:lineRule="auto"/>
        <w:jc w:val="both"/>
        <w:rPr>
          <w:rFonts w:ascii="Arial" w:eastAsia="Times New Roman" w:hAnsi="Arial" w:cs="Arial"/>
          <w:strike/>
          <w:sz w:val="20"/>
          <w:szCs w:val="20"/>
          <w:lang w:eastAsia="pl-PL"/>
        </w:rPr>
      </w:pPr>
    </w:p>
    <w:p w14:paraId="6A0F0D09"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sz w:val="20"/>
          <w:szCs w:val="20"/>
          <w:lang w:eastAsia="pl-PL"/>
        </w:rPr>
      </w:pPr>
      <w:r w:rsidRPr="00731248">
        <w:rPr>
          <w:rFonts w:ascii="Arial" w:eastAsia="Times New Roman" w:hAnsi="Arial" w:cs="Arial"/>
          <w:b/>
          <w:sz w:val="20"/>
          <w:szCs w:val="20"/>
          <w:lang w:eastAsia="pl-PL"/>
        </w:rPr>
        <w:t xml:space="preserve">Rozbudowa dostępu kolejowego do zachodniej części Portu Gdynia – przebudowa </w:t>
      </w:r>
      <w:r w:rsidR="00CA6CE7">
        <w:rPr>
          <w:rFonts w:ascii="Arial" w:eastAsia="Times New Roman" w:hAnsi="Arial" w:cs="Arial"/>
          <w:b/>
          <w:sz w:val="20"/>
          <w:szCs w:val="20"/>
          <w:lang w:eastAsia="pl-PL"/>
        </w:rPr>
        <w:br/>
      </w:r>
      <w:r w:rsidRPr="00731248">
        <w:rPr>
          <w:rFonts w:ascii="Arial" w:eastAsia="Times New Roman" w:hAnsi="Arial" w:cs="Arial"/>
          <w:b/>
          <w:sz w:val="20"/>
          <w:szCs w:val="20"/>
          <w:lang w:eastAsia="pl-PL"/>
        </w:rPr>
        <w:t>i elektryfikacja</w:t>
      </w:r>
    </w:p>
    <w:p w14:paraId="5E740535"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23F8B486"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Celem projektu jest poprawa konkurencyjności Portu Gdynia, głównie poprzez skrócenie czasu pobytu składów pociągów w porcie. Inwestycja obejmuje grupę istniejących 6 torów, prowadzących do terminalu intermodalnego BCT Sp. z o.o. Z uwagi na nowe dostosowanie długości torów, dobudowanie 7-ego toru, elektryfikację i instalację systemów sterowania ruchem inwestycja przyczyni się do sprawniejszej i efektywniejszej obsługi przeładunków kolejowych oraz ograniczenia emisji do środowiska. Zakończono prace projektowe i uzyskano pozwolenie na budowę. Trwa rozstrzyganie przetargu na wybór wykonawcy robót budowlanych. Przewidywany termin realizacji prac budowlanych od II kw. 2019 r., a termin zakończenia na przełomie 2020/21 r.</w:t>
      </w:r>
    </w:p>
    <w:p w14:paraId="17322C3C"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 xml:space="preserve">Projekt ubiega się o dofinansowanie ze środków Funduszu Spójności w ramach </w:t>
      </w:r>
      <w:r w:rsidR="00397F1E" w:rsidRPr="002F7850">
        <w:rPr>
          <w:rFonts w:ascii="Arial" w:hAnsi="Arial" w:cs="Arial"/>
          <w:sz w:val="20"/>
          <w:szCs w:val="20"/>
        </w:rPr>
        <w:t>POIŚ 2014-2020</w:t>
      </w:r>
      <w:r w:rsidRPr="002F7850">
        <w:rPr>
          <w:rFonts w:ascii="Arial" w:hAnsi="Arial" w:cs="Arial"/>
          <w:sz w:val="20"/>
          <w:szCs w:val="20"/>
        </w:rPr>
        <w:t>– złożono Wniosek o Dofinansowanie. Budżet:  ok. 70 mln zł brutto, 57 mln zł netto.</w:t>
      </w:r>
    </w:p>
    <w:p w14:paraId="7AD7AC12"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3EF12A2C"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b/>
          <w:sz w:val="20"/>
          <w:szCs w:val="20"/>
          <w:lang w:eastAsia="pl-PL"/>
        </w:rPr>
      </w:pPr>
      <w:r w:rsidRPr="00731248">
        <w:rPr>
          <w:rFonts w:ascii="Arial" w:eastAsia="Times New Roman" w:hAnsi="Arial" w:cs="Arial"/>
          <w:b/>
          <w:sz w:val="20"/>
          <w:szCs w:val="20"/>
          <w:lang w:eastAsia="pl-PL"/>
        </w:rPr>
        <w:t>Budowa infrastruktury intermodalnej na terenie Centrum Logistycznego Portu Gdynia</w:t>
      </w:r>
    </w:p>
    <w:p w14:paraId="44EBA8BC" w14:textId="77777777" w:rsidR="002F7850" w:rsidRPr="002F7850" w:rsidRDefault="002F7850" w:rsidP="002F7850">
      <w:pPr>
        <w:spacing w:after="0" w:line="240" w:lineRule="auto"/>
        <w:contextualSpacing/>
        <w:jc w:val="both"/>
        <w:rPr>
          <w:rFonts w:ascii="Arial" w:eastAsia="Times New Roman" w:hAnsi="Arial" w:cs="Arial"/>
          <w:sz w:val="20"/>
          <w:szCs w:val="20"/>
          <w:lang w:eastAsia="pl-PL"/>
        </w:rPr>
      </w:pPr>
    </w:p>
    <w:p w14:paraId="1FB50A77"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Celem inwestycji jest zwiększenie potencjału obsługi przewozów intermodalnych w Porcie Gdynia i przyczynienie się do zwiększenia udziału transportu kolejowego w przewozach kontenerów z/do portu. Przewiduje się obsługę składami całopociągowymi. Zakres projektu obejmuje budowę nowego terminalu intermodalnego oraz placów manewrowo-składowych wraz z infrastrukturą towarzyszącą na terenie Centrum Logistycznego Portu Gdynia. Przedsięwzięcie obejmuje m.in. budowę: 2 torów ładunkowych - 780 mb. każdy; placów manewrowo-składowych - ok. 170</w:t>
      </w:r>
      <w:r w:rsidR="000A0841">
        <w:rPr>
          <w:rFonts w:ascii="Arial" w:hAnsi="Arial" w:cs="Arial"/>
          <w:sz w:val="20"/>
          <w:szCs w:val="20"/>
        </w:rPr>
        <w:t> </w:t>
      </w:r>
      <w:r w:rsidRPr="002F7850">
        <w:rPr>
          <w:rFonts w:ascii="Arial" w:hAnsi="Arial" w:cs="Arial"/>
          <w:sz w:val="20"/>
          <w:szCs w:val="20"/>
        </w:rPr>
        <w:t>000</w:t>
      </w:r>
      <w:r w:rsidR="000A0841">
        <w:rPr>
          <w:rFonts w:ascii="Arial" w:hAnsi="Arial" w:cs="Arial"/>
          <w:sz w:val="20"/>
          <w:szCs w:val="20"/>
        </w:rPr>
        <w:t xml:space="preserve"> </w:t>
      </w:r>
      <w:r w:rsidRPr="002F7850">
        <w:rPr>
          <w:rFonts w:ascii="Arial" w:hAnsi="Arial" w:cs="Arial"/>
          <w:sz w:val="20"/>
          <w:szCs w:val="20"/>
        </w:rPr>
        <w:t>m2; drogi technologicznej 360 mb. Maksymalną zdolność przeładunkową nowego terminalu osz</w:t>
      </w:r>
      <w:r w:rsidR="00AA3D8A">
        <w:rPr>
          <w:rFonts w:ascii="Arial" w:hAnsi="Arial" w:cs="Arial"/>
          <w:sz w:val="20"/>
          <w:szCs w:val="20"/>
        </w:rPr>
        <w:t>acowano na ponad 300 tys. TEU/</w:t>
      </w:r>
      <w:r w:rsidRPr="002F7850">
        <w:rPr>
          <w:rFonts w:ascii="Arial" w:hAnsi="Arial" w:cs="Arial"/>
          <w:sz w:val="20"/>
          <w:szCs w:val="20"/>
        </w:rPr>
        <w:t>rok. W II kw. 2018 r. podpisano umowę na opracowanie dokumentacji projektowej d</w:t>
      </w:r>
      <w:r w:rsidR="00AA3D8A">
        <w:rPr>
          <w:rFonts w:ascii="Arial" w:hAnsi="Arial" w:cs="Arial"/>
          <w:sz w:val="20"/>
          <w:szCs w:val="20"/>
        </w:rPr>
        <w:t xml:space="preserve">la placów manewrowo-składowych. </w:t>
      </w:r>
      <w:r w:rsidRPr="002F7850">
        <w:rPr>
          <w:rFonts w:ascii="Arial" w:hAnsi="Arial" w:cs="Arial"/>
          <w:sz w:val="20"/>
          <w:szCs w:val="20"/>
        </w:rPr>
        <w:t xml:space="preserve">Również w II kw. 2018 r. uzyskano pozwolenie na budowę drogi technologicznej. Pozostałe elementy dokumentacji i decyzji urzędowych są w końcowej fazie realizacji. Przewidywany termin realizacji projektu to koniec 2021 r. </w:t>
      </w:r>
    </w:p>
    <w:p w14:paraId="7F5F4CB8"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Projekt ubiega się o dofinansowanie z puli intermodalnej (konkursowej) środków Funduszu Spójności w ramach POIŚ 2014-2020. Budżet: ok. 190 mln zł brutto, ok. 156 mln zł netto.</w:t>
      </w:r>
    </w:p>
    <w:p w14:paraId="060F38B7"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10FF805A"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b/>
          <w:bCs/>
          <w:sz w:val="20"/>
          <w:szCs w:val="20"/>
          <w:lang w:eastAsia="pl-PL"/>
        </w:rPr>
      </w:pPr>
      <w:r w:rsidRPr="00731248">
        <w:rPr>
          <w:rFonts w:ascii="Arial" w:eastAsia="Times New Roman" w:hAnsi="Arial" w:cs="Arial"/>
          <w:b/>
          <w:sz w:val="20"/>
          <w:szCs w:val="20"/>
          <w:lang w:eastAsia="pl-PL"/>
        </w:rPr>
        <w:t>Bu</w:t>
      </w:r>
      <w:r w:rsidRPr="00731248">
        <w:rPr>
          <w:rFonts w:ascii="Arial" w:eastAsia="Times New Roman" w:hAnsi="Arial" w:cs="Arial"/>
          <w:b/>
          <w:bCs/>
          <w:sz w:val="20"/>
          <w:szCs w:val="20"/>
          <w:lang w:eastAsia="pl-PL"/>
        </w:rPr>
        <w:t>dowa publicznego terminalu promowego w Porcie Gdynia</w:t>
      </w:r>
    </w:p>
    <w:p w14:paraId="34EBB531"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5192F0FE"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Projekt obejmuje wybudowanie publicznego terminalu promowego w Porcie Gdynia, wraz z infrastrukturą towarzyszącą, umożliwiającą obsługę ładunków i pasażerów oraz poprawę dostępności transportowej portu. Inwestycja zlokalizowana jest przy IV Basenie Portowym, przy Nabrzeżach Polskim i Fińskim. Rezultatem projektu będzie obsługa promów o długości do 240 m, a także umożliwienie zwiększenia częstotliwości ich zawijania. W ramach projektu nastąpi przebudowa nabrzeży na długości 597 mb, wybudowane będą budynki terminalu granicznego dla operatorów i klientów, powierzchnie manewrowe i drogi dostępu do portu oraz infrastruktura obsługi statków i pasażerów. Budowa terminalu promowego z przejściem granicznym przy Nabrzeżu Polskim oznacza przeniesienie operacji pasażersko-towarowych bliżej centrum miasta, ułatwienie manewrowania promami, a także skrócenie czasu operacji  jednostek od wejścia do portu do nabrzeża, co wpłynie pozytywnie na bezpieczeństwo portu i ograniczy emisję spalin do atmosfery. W I kwartale 2019</w:t>
      </w:r>
      <w:r w:rsidR="0062413E">
        <w:rPr>
          <w:rFonts w:ascii="Arial" w:hAnsi="Arial" w:cs="Arial"/>
          <w:sz w:val="20"/>
          <w:szCs w:val="20"/>
        </w:rPr>
        <w:t xml:space="preserve"> </w:t>
      </w:r>
      <w:r w:rsidRPr="002F7850">
        <w:rPr>
          <w:rFonts w:ascii="Arial" w:hAnsi="Arial" w:cs="Arial"/>
          <w:sz w:val="20"/>
          <w:szCs w:val="20"/>
        </w:rPr>
        <w:t xml:space="preserve">r. przewidywane jest podpisanie umowy z wykonawcą na roboty budowlane. Zakończenie projektu przewidywane jest w połowie 2021 r. Projekt otrzymał dofinansowanie ze środków Funduszu Spójności w ramach POIŚ 2014-2020. Budżet projektu: 290 mln zł brutto, 235 mln zł netto, dofinansowanie unijne ok. 116,8 mln zł. </w:t>
      </w:r>
    </w:p>
    <w:p w14:paraId="0D341219" w14:textId="77777777" w:rsidR="002F7850" w:rsidRPr="002F7850" w:rsidRDefault="002F7850" w:rsidP="002F7850">
      <w:pPr>
        <w:spacing w:after="0" w:line="240" w:lineRule="auto"/>
        <w:jc w:val="both"/>
        <w:rPr>
          <w:rFonts w:ascii="Arial" w:eastAsia="Times New Roman" w:hAnsi="Arial" w:cs="Arial"/>
          <w:b/>
          <w:sz w:val="20"/>
          <w:szCs w:val="20"/>
          <w:lang w:eastAsia="pl-PL"/>
        </w:rPr>
      </w:pPr>
    </w:p>
    <w:p w14:paraId="21A70A0C" w14:textId="77777777" w:rsidR="002F7850" w:rsidRPr="00731248" w:rsidRDefault="002F7850" w:rsidP="00BF76C0">
      <w:pPr>
        <w:pStyle w:val="Akapitzlist"/>
        <w:numPr>
          <w:ilvl w:val="0"/>
          <w:numId w:val="3"/>
        </w:numPr>
        <w:spacing w:after="0" w:line="240" w:lineRule="auto"/>
        <w:rPr>
          <w:rFonts w:ascii="Arial" w:hAnsi="Arial" w:cs="Arial"/>
          <w:sz w:val="20"/>
          <w:szCs w:val="20"/>
        </w:rPr>
      </w:pPr>
      <w:r w:rsidRPr="00731248">
        <w:rPr>
          <w:rFonts w:ascii="Arial" w:hAnsi="Arial" w:cs="Arial"/>
          <w:b/>
          <w:sz w:val="20"/>
          <w:szCs w:val="20"/>
        </w:rPr>
        <w:t>Budowa infrastruktury portowej do odbioru ścieków ze statków</w:t>
      </w:r>
      <w:r w:rsidRPr="00731248">
        <w:rPr>
          <w:rFonts w:ascii="Arial" w:hAnsi="Arial" w:cs="Arial"/>
          <w:sz w:val="20"/>
          <w:szCs w:val="20"/>
        </w:rPr>
        <w:t xml:space="preserve"> </w:t>
      </w:r>
    </w:p>
    <w:p w14:paraId="20393458" w14:textId="77777777" w:rsidR="002F7850" w:rsidRPr="00731248" w:rsidRDefault="002F7850" w:rsidP="002F7850">
      <w:pPr>
        <w:spacing w:after="0" w:line="240" w:lineRule="auto"/>
        <w:rPr>
          <w:rFonts w:ascii="Arial" w:hAnsi="Arial" w:cs="Arial"/>
          <w:sz w:val="20"/>
          <w:szCs w:val="20"/>
        </w:rPr>
      </w:pPr>
    </w:p>
    <w:p w14:paraId="4D99E078"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Realizowany projekt ma na celu wykonanie nowej i dostosowanie istniejącej infrastruktury kanalizacyjnej do odbierania ścieków sanitarnych ze statków i zrzut tych ścieków do sieci kanalizacji sanitarnej miasta Gdynia. Budowa infrastruktury portowej, umożliwiającej odbiór ścieków ze statków cumujących w porcie, stanowi realizację wymogów wprowadzonych w  2011 r. zmianami do Załącznika IV Konwencji MARPOL (Rezolucja MEPC.200)62)).</w:t>
      </w:r>
    </w:p>
    <w:p w14:paraId="234546E5"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 xml:space="preserve">Prace związane z projektem realizowane będą w dwóch fazach: </w:t>
      </w:r>
    </w:p>
    <w:p w14:paraId="33BD76DD" w14:textId="77777777" w:rsidR="002F7850" w:rsidRPr="002F7850" w:rsidRDefault="00FE1BAB" w:rsidP="003812BF">
      <w:pPr>
        <w:spacing w:after="0" w:line="276" w:lineRule="auto"/>
        <w:jc w:val="both"/>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Faza 1. Budowa zbiorczego układu kanalizacji sanitarnej grawitacyjno-ciśnieniowej do odbioru ścieków z Nabrzeża Francuskiego i Polskiego, ze wstępnym przygotowaniem ścieków do zrzutu do miejskiej sieci kanalizacyjnej wraz z włączeniem do tej sieci.</w:t>
      </w:r>
    </w:p>
    <w:p w14:paraId="0685D48E" w14:textId="77777777" w:rsidR="002F7850" w:rsidRPr="002F7850" w:rsidRDefault="00FE1BAB" w:rsidP="003812BF">
      <w:pPr>
        <w:spacing w:after="0" w:line="276" w:lineRule="auto"/>
        <w:jc w:val="both"/>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Faza 2. Budowa układu technologicznego podczyszczania ścieków przed zrzutem do miejskiej sieci kanalizacyjnej.</w:t>
      </w:r>
    </w:p>
    <w:p w14:paraId="5737FE03"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 xml:space="preserve">Umożliwienie szybkiego i bezawaryjnego zrzutu ścieków ze statków przyczyni się do redukcji zanieczyszczeń w wodach morskich Zatoki Gdańskiej, przyczyniając się pośrednio do ochrony różnorodności biologicznej w południowym akwenie Morza Bałtyckiego. </w:t>
      </w:r>
    </w:p>
    <w:p w14:paraId="1A189C4C"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 xml:space="preserve">W przygotowaniu jest dokumentacja budowlana dla obu faz projektu. Termin zakończenia prac przewidziano do końca 2020 r. Projekt ubiega się o dofinansowanie ze środków Funduszu Spójności </w:t>
      </w:r>
      <w:r w:rsidR="00E61F81">
        <w:rPr>
          <w:rFonts w:ascii="Arial" w:hAnsi="Arial" w:cs="Arial"/>
          <w:sz w:val="20"/>
          <w:szCs w:val="20"/>
        </w:rPr>
        <w:br/>
      </w:r>
      <w:r w:rsidRPr="002F7850">
        <w:rPr>
          <w:rFonts w:ascii="Arial" w:hAnsi="Arial" w:cs="Arial"/>
          <w:sz w:val="20"/>
          <w:szCs w:val="20"/>
        </w:rPr>
        <w:t>w ramach POIŚ 2014-2020. W I kw. 2019 r. przewidywane jest złożenie Wniosku o Dofinansowanie. Budżet: ok. 50 mln zł brutto, ok. 40 mln zł netto.</w:t>
      </w:r>
    </w:p>
    <w:p w14:paraId="3D30D5F8"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158D5414" w14:textId="77777777" w:rsidR="002F7850" w:rsidRPr="00731248" w:rsidRDefault="002F7850" w:rsidP="00BF76C0">
      <w:pPr>
        <w:pStyle w:val="Akapitzlist"/>
        <w:numPr>
          <w:ilvl w:val="0"/>
          <w:numId w:val="3"/>
        </w:numPr>
        <w:spacing w:after="0" w:line="240" w:lineRule="auto"/>
        <w:jc w:val="both"/>
        <w:rPr>
          <w:rFonts w:ascii="Arial" w:eastAsia="Times New Roman" w:hAnsi="Arial" w:cs="Arial"/>
          <w:sz w:val="20"/>
          <w:szCs w:val="20"/>
          <w:lang w:eastAsia="pl-PL"/>
        </w:rPr>
      </w:pPr>
      <w:r w:rsidRPr="00731248">
        <w:rPr>
          <w:rFonts w:ascii="Arial" w:eastAsia="Times New Roman" w:hAnsi="Arial" w:cs="Arial"/>
          <w:b/>
          <w:sz w:val="20"/>
          <w:szCs w:val="20"/>
          <w:lang w:eastAsia="pl-PL"/>
        </w:rPr>
        <w:t>Budowa Magazynu Wysokiego Składowania w rejonie ulic Kontenerowej i Logistycznej</w:t>
      </w:r>
      <w:r w:rsidRPr="00731248">
        <w:rPr>
          <w:rFonts w:ascii="Arial" w:eastAsia="Times New Roman" w:hAnsi="Arial" w:cs="Arial"/>
          <w:sz w:val="20"/>
          <w:szCs w:val="20"/>
          <w:lang w:eastAsia="pl-PL"/>
        </w:rPr>
        <w:t xml:space="preserve"> </w:t>
      </w:r>
    </w:p>
    <w:p w14:paraId="69DF3398"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32CB2E21" w14:textId="77777777" w:rsidR="002F7850" w:rsidRPr="002F7850" w:rsidRDefault="002F7850" w:rsidP="003812BF">
      <w:pPr>
        <w:spacing w:after="0" w:line="276" w:lineRule="auto"/>
        <w:jc w:val="both"/>
        <w:rPr>
          <w:rFonts w:ascii="Arial" w:hAnsi="Arial" w:cs="Arial"/>
          <w:sz w:val="20"/>
          <w:szCs w:val="20"/>
        </w:rPr>
      </w:pPr>
      <w:r w:rsidRPr="002F7850">
        <w:rPr>
          <w:rFonts w:ascii="Arial" w:hAnsi="Arial" w:cs="Arial"/>
          <w:sz w:val="20"/>
          <w:szCs w:val="20"/>
        </w:rPr>
        <w:t>W powyższej lokalizacji ZMPG S.A. dysponuje wolnym obszarem o powierzchni 26.400 m2, na którym jest obecnie budowany magazyn wysokiego składowani o powierzchni około 11.000 m2. Dalsze zagospodarowanie działki o powierzchni całkowitej 90 000 m2 przewiduje budowę kolejnych trzech magazynów. Budżet: 43 mln zł netto.</w:t>
      </w:r>
      <w:r w:rsidRPr="003812BF">
        <w:rPr>
          <w:rFonts w:ascii="Arial" w:hAnsi="Arial" w:cs="Arial"/>
          <w:sz w:val="20"/>
          <w:szCs w:val="20"/>
        </w:rPr>
        <w:t xml:space="preserve"> </w:t>
      </w:r>
      <w:r w:rsidRPr="002F7850">
        <w:rPr>
          <w:rFonts w:ascii="Arial" w:hAnsi="Arial" w:cs="Arial"/>
          <w:sz w:val="20"/>
          <w:szCs w:val="20"/>
        </w:rPr>
        <w:t xml:space="preserve">Termin realizacji: rozpoczęcie robót budowlanych </w:t>
      </w:r>
      <w:r w:rsidR="00FC6956">
        <w:rPr>
          <w:rFonts w:ascii="Arial" w:hAnsi="Arial" w:cs="Arial"/>
          <w:sz w:val="20"/>
          <w:szCs w:val="20"/>
        </w:rPr>
        <w:t xml:space="preserve">w </w:t>
      </w:r>
      <w:r w:rsidRPr="002F7850">
        <w:rPr>
          <w:rFonts w:ascii="Arial" w:hAnsi="Arial" w:cs="Arial"/>
          <w:sz w:val="20"/>
          <w:szCs w:val="20"/>
        </w:rPr>
        <w:t xml:space="preserve">2018 r., </w:t>
      </w:r>
      <w:r w:rsidR="00FC6956">
        <w:rPr>
          <w:rFonts w:ascii="Arial" w:hAnsi="Arial" w:cs="Arial"/>
          <w:sz w:val="20"/>
          <w:szCs w:val="20"/>
        </w:rPr>
        <w:t>zakończenie projektu</w:t>
      </w:r>
      <w:r w:rsidRPr="002F7850">
        <w:rPr>
          <w:rFonts w:ascii="Arial" w:hAnsi="Arial" w:cs="Arial"/>
          <w:sz w:val="20"/>
          <w:szCs w:val="20"/>
        </w:rPr>
        <w:t xml:space="preserve"> przewidziano na IV kw. 2019 r.</w:t>
      </w:r>
    </w:p>
    <w:p w14:paraId="37B56EA6" w14:textId="77777777" w:rsidR="002F7850" w:rsidRPr="002F7850" w:rsidRDefault="002F7850" w:rsidP="003812BF">
      <w:pPr>
        <w:spacing w:after="0" w:line="276" w:lineRule="auto"/>
        <w:jc w:val="both"/>
        <w:rPr>
          <w:rFonts w:ascii="Arial" w:hAnsi="Arial" w:cs="Arial"/>
          <w:sz w:val="20"/>
          <w:szCs w:val="20"/>
        </w:rPr>
      </w:pPr>
    </w:p>
    <w:p w14:paraId="466294CB" w14:textId="77777777" w:rsidR="002F7850" w:rsidRPr="002F7850" w:rsidRDefault="00954ADB" w:rsidP="00E30F9F">
      <w:pPr>
        <w:spacing w:after="0" w:line="276" w:lineRule="auto"/>
        <w:jc w:val="both"/>
        <w:rPr>
          <w:rFonts w:ascii="Arial" w:hAnsi="Arial" w:cs="Arial"/>
          <w:sz w:val="20"/>
          <w:szCs w:val="20"/>
        </w:rPr>
      </w:pPr>
      <w:bookmarkStart w:id="11" w:name="_Hlk535394152"/>
      <w:r>
        <w:rPr>
          <w:rFonts w:ascii="Arial" w:hAnsi="Arial" w:cs="Arial"/>
          <w:sz w:val="20"/>
          <w:szCs w:val="20"/>
        </w:rPr>
        <w:t>Ponadto w</w:t>
      </w:r>
      <w:r w:rsidR="00CD6094">
        <w:rPr>
          <w:rFonts w:ascii="Arial" w:hAnsi="Arial" w:cs="Arial"/>
          <w:sz w:val="20"/>
          <w:szCs w:val="20"/>
        </w:rPr>
        <w:t xml:space="preserve"> 2018 r.</w:t>
      </w:r>
      <w:r w:rsidR="00CD6094" w:rsidRPr="002F7850">
        <w:rPr>
          <w:rFonts w:ascii="Arial" w:hAnsi="Arial" w:cs="Arial"/>
          <w:sz w:val="20"/>
          <w:szCs w:val="20"/>
        </w:rPr>
        <w:t xml:space="preserve"> ZMPG S.A. </w:t>
      </w:r>
      <w:r w:rsidR="00CD6094">
        <w:rPr>
          <w:rFonts w:ascii="Arial" w:hAnsi="Arial" w:cs="Arial"/>
          <w:sz w:val="20"/>
          <w:szCs w:val="20"/>
        </w:rPr>
        <w:t>prowadził</w:t>
      </w:r>
      <w:r w:rsidR="002F7850" w:rsidRPr="002F7850">
        <w:rPr>
          <w:rFonts w:ascii="Arial" w:hAnsi="Arial" w:cs="Arial"/>
          <w:sz w:val="20"/>
          <w:szCs w:val="20"/>
        </w:rPr>
        <w:t xml:space="preserve"> działania mające na celu pozyskanie od podmiotów publicznych terenów położonych w granicach portu na rzecz ZMPG S</w:t>
      </w:r>
      <w:r w:rsidR="00CD6094">
        <w:rPr>
          <w:rFonts w:ascii="Arial" w:hAnsi="Arial" w:cs="Arial"/>
          <w:sz w:val="20"/>
          <w:szCs w:val="20"/>
        </w:rPr>
        <w:t>.</w:t>
      </w:r>
      <w:r w:rsidR="002F7850" w:rsidRPr="002F7850">
        <w:rPr>
          <w:rFonts w:ascii="Arial" w:hAnsi="Arial" w:cs="Arial"/>
          <w:sz w:val="20"/>
          <w:szCs w:val="20"/>
        </w:rPr>
        <w:t>A.</w:t>
      </w:r>
      <w:r w:rsidR="00CD6094">
        <w:rPr>
          <w:rFonts w:ascii="Arial" w:hAnsi="Arial" w:cs="Arial"/>
          <w:sz w:val="20"/>
          <w:szCs w:val="20"/>
        </w:rPr>
        <w:t>,</w:t>
      </w:r>
      <w:r w:rsidR="002F7850" w:rsidRPr="002F7850">
        <w:rPr>
          <w:rFonts w:ascii="Arial" w:hAnsi="Arial" w:cs="Arial"/>
          <w:sz w:val="20"/>
          <w:szCs w:val="20"/>
        </w:rPr>
        <w:t xml:space="preserve"> </w:t>
      </w:r>
      <w:r w:rsidR="00CD6094">
        <w:rPr>
          <w:rFonts w:ascii="Arial" w:hAnsi="Arial" w:cs="Arial"/>
          <w:sz w:val="20"/>
          <w:szCs w:val="20"/>
        </w:rPr>
        <w:t xml:space="preserve">wskutek czego </w:t>
      </w:r>
      <w:r w:rsidR="002F7850" w:rsidRPr="002F7850">
        <w:rPr>
          <w:rFonts w:ascii="Arial" w:hAnsi="Arial" w:cs="Arial"/>
          <w:sz w:val="20"/>
          <w:szCs w:val="20"/>
        </w:rPr>
        <w:t>pozyskano łącznie 11,128 ha  gruntów na cele rozwojowe. Zarząd Morskiego Portu Gdynia Spółka Akcyjna, jako podmiot zarządzający portem morskim wniósł do MGMiŻŚ trzy wnioski o dokonanie zmiany granicy portu morskiego w Gdyni w zakresie:</w:t>
      </w:r>
    </w:p>
    <w:p w14:paraId="4EF31C51" w14:textId="77777777" w:rsidR="002F7850" w:rsidRPr="002F7850" w:rsidRDefault="00E30F9F" w:rsidP="00E30F9F">
      <w:pPr>
        <w:spacing w:after="0" w:line="276" w:lineRule="auto"/>
        <w:jc w:val="both"/>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objęcia części obszaru funkcjonalnego pn. „Dolina Logistyczna” o pow. 260,2 ha w gm. Kosakowo, powiat pucki;</w:t>
      </w:r>
    </w:p>
    <w:p w14:paraId="5F9230D5" w14:textId="77777777" w:rsidR="00E30F9F" w:rsidRDefault="00E30F9F" w:rsidP="00E30F9F">
      <w:pPr>
        <w:spacing w:after="0" w:line="276" w:lineRule="auto"/>
        <w:jc w:val="both"/>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obszaru o pow. całkowitej 29.892 m2, zakupionego przez ZMPG S.A. od Stoczni Remontowej NAUTA S.A.;</w:t>
      </w:r>
    </w:p>
    <w:p w14:paraId="06683A51" w14:textId="77777777" w:rsidR="002F7850" w:rsidRPr="002F7850" w:rsidRDefault="00E30F9F" w:rsidP="00E30F9F">
      <w:pPr>
        <w:spacing w:after="0" w:line="276" w:lineRule="auto"/>
        <w:jc w:val="both"/>
        <w:rPr>
          <w:rFonts w:ascii="Arial" w:hAnsi="Arial" w:cs="Arial"/>
          <w:sz w:val="20"/>
          <w:szCs w:val="20"/>
        </w:rPr>
      </w:pPr>
      <w:r>
        <w:rPr>
          <w:rFonts w:ascii="Arial" w:hAnsi="Arial" w:cs="Arial"/>
          <w:sz w:val="20"/>
          <w:szCs w:val="20"/>
        </w:rPr>
        <w:t xml:space="preserve">- </w:t>
      </w:r>
      <w:r w:rsidR="002F7850" w:rsidRPr="002F7850">
        <w:rPr>
          <w:rFonts w:ascii="Arial" w:hAnsi="Arial" w:cs="Arial"/>
          <w:sz w:val="20"/>
          <w:szCs w:val="20"/>
        </w:rPr>
        <w:t>obszaru Mola Rybackiego o pow. ok. 177.900 m2.</w:t>
      </w:r>
    </w:p>
    <w:p w14:paraId="6791EE38" w14:textId="77777777" w:rsidR="002F7850" w:rsidRPr="002F7850" w:rsidRDefault="002F7850" w:rsidP="00E30F9F">
      <w:pPr>
        <w:spacing w:after="0" w:line="276" w:lineRule="auto"/>
        <w:jc w:val="both"/>
        <w:rPr>
          <w:rFonts w:ascii="Arial" w:hAnsi="Arial" w:cs="Arial"/>
          <w:sz w:val="20"/>
          <w:szCs w:val="20"/>
        </w:rPr>
      </w:pPr>
      <w:r w:rsidRPr="002F7850">
        <w:rPr>
          <w:rFonts w:ascii="Arial" w:hAnsi="Arial" w:cs="Arial"/>
          <w:sz w:val="20"/>
          <w:szCs w:val="20"/>
        </w:rPr>
        <w:t xml:space="preserve">ZMPG S.A. uczestniczył w procesie opracowywania planów </w:t>
      </w:r>
      <w:r w:rsidR="00E30F9F">
        <w:rPr>
          <w:rFonts w:ascii="Arial" w:hAnsi="Arial" w:cs="Arial"/>
          <w:sz w:val="20"/>
          <w:szCs w:val="20"/>
        </w:rPr>
        <w:t xml:space="preserve">zagospodarowania przestrzennego </w:t>
      </w:r>
      <w:r w:rsidRPr="002F7850">
        <w:rPr>
          <w:rFonts w:ascii="Arial" w:hAnsi="Arial" w:cs="Arial"/>
          <w:sz w:val="20"/>
          <w:szCs w:val="20"/>
        </w:rPr>
        <w:t xml:space="preserve">polskich obszarów morskich oraz opiniowania Zmiany Studium uwarunkowań i kierunków zagospodarowania przestrzennego Gdyni. </w:t>
      </w:r>
      <w:bookmarkEnd w:id="11"/>
      <w:r w:rsidRPr="002F7850">
        <w:rPr>
          <w:rFonts w:ascii="Arial" w:hAnsi="Arial" w:cs="Arial"/>
          <w:sz w:val="20"/>
          <w:szCs w:val="20"/>
        </w:rPr>
        <w:t xml:space="preserve">Zarząd Morskiego Portu Gdynia S.A. prowadził intensywne prace lobbingowe w zakresie nowelizowanej obecnie ustawy o portach i przystaniach morskich. Nowa ustawa może poważnie wzmocnić rolę podmiotów zarządzających portami. </w:t>
      </w:r>
    </w:p>
    <w:p w14:paraId="646CCE68"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3D37537C" w14:textId="77777777" w:rsidR="002F7850" w:rsidRPr="002F7850" w:rsidRDefault="00DB3A78" w:rsidP="00AB180A">
      <w:pPr>
        <w:spacing w:after="0" w:line="240" w:lineRule="auto"/>
        <w:contextualSpacing/>
        <w:jc w:val="both"/>
        <w:rPr>
          <w:rFonts w:ascii="Arial" w:eastAsia="Calibri" w:hAnsi="Arial" w:cs="Arial"/>
          <w:sz w:val="20"/>
          <w:szCs w:val="20"/>
        </w:rPr>
      </w:pPr>
      <w:r>
        <w:rPr>
          <w:rFonts w:ascii="Arial" w:eastAsia="Calibri" w:hAnsi="Arial" w:cs="Arial"/>
          <w:b/>
          <w:sz w:val="20"/>
          <w:szCs w:val="20"/>
        </w:rPr>
        <w:t xml:space="preserve">- </w:t>
      </w:r>
      <w:r w:rsidR="002F7850" w:rsidRPr="002F7850">
        <w:rPr>
          <w:rFonts w:ascii="Arial" w:eastAsia="Calibri" w:hAnsi="Arial" w:cs="Arial"/>
          <w:b/>
          <w:sz w:val="20"/>
          <w:szCs w:val="20"/>
        </w:rPr>
        <w:t>Uczestnictwo w projekcie</w:t>
      </w:r>
      <w:r w:rsidR="002F7850" w:rsidRPr="002F7850">
        <w:rPr>
          <w:rFonts w:ascii="Arial" w:eastAsia="Calibri" w:hAnsi="Arial" w:cs="Arial"/>
          <w:sz w:val="20"/>
          <w:szCs w:val="20"/>
        </w:rPr>
        <w:t xml:space="preserve"> </w:t>
      </w:r>
      <w:r w:rsidR="00D52F29">
        <w:rPr>
          <w:rFonts w:ascii="Arial" w:eastAsia="Calibri" w:hAnsi="Arial" w:cs="Arial"/>
          <w:b/>
          <w:sz w:val="20"/>
          <w:szCs w:val="20"/>
        </w:rPr>
        <w:t>„</w:t>
      </w:r>
      <w:r w:rsidR="002F7850" w:rsidRPr="002F7850">
        <w:rPr>
          <w:rFonts w:ascii="Arial" w:eastAsia="Calibri" w:hAnsi="Arial" w:cs="Arial"/>
          <w:b/>
          <w:sz w:val="20"/>
          <w:szCs w:val="20"/>
        </w:rPr>
        <w:t>COMPLETING MANAGEMENT OPTIONS IN THE BALTIC SEA REGION TO REDUCE RISK OF INVASIVE SP</w:t>
      </w:r>
      <w:r w:rsidR="00F90095">
        <w:rPr>
          <w:rFonts w:ascii="Arial" w:eastAsia="Calibri" w:hAnsi="Arial" w:cs="Arial"/>
          <w:b/>
          <w:sz w:val="20"/>
          <w:szCs w:val="20"/>
        </w:rPr>
        <w:t>ECIES INTRODUCTION BY SHIPPING-</w:t>
      </w:r>
      <w:r w:rsidR="002F7850" w:rsidRPr="002F7850">
        <w:rPr>
          <w:rFonts w:ascii="Arial" w:eastAsia="Calibri" w:hAnsi="Arial" w:cs="Arial"/>
          <w:b/>
          <w:sz w:val="20"/>
          <w:szCs w:val="20"/>
        </w:rPr>
        <w:t>COMPLETE”.</w:t>
      </w:r>
    </w:p>
    <w:p w14:paraId="0E8A7E83" w14:textId="77777777" w:rsidR="002F7850" w:rsidRPr="00F55578" w:rsidRDefault="002F7850" w:rsidP="002F7850">
      <w:pPr>
        <w:spacing w:after="0" w:line="240" w:lineRule="auto"/>
        <w:jc w:val="both"/>
        <w:rPr>
          <w:rFonts w:ascii="Arial" w:eastAsia="Calibri" w:hAnsi="Arial" w:cs="Arial"/>
          <w:bCs/>
          <w:sz w:val="20"/>
          <w:szCs w:val="20"/>
          <w:lang w:eastAsia="pl-PL"/>
        </w:rPr>
      </w:pPr>
    </w:p>
    <w:p w14:paraId="72241F7C" w14:textId="77777777" w:rsidR="002F7850" w:rsidRPr="002F7850" w:rsidRDefault="002F7850" w:rsidP="00DB3A78">
      <w:pPr>
        <w:spacing w:after="0" w:line="276" w:lineRule="auto"/>
        <w:jc w:val="both"/>
        <w:rPr>
          <w:rFonts w:ascii="Arial" w:hAnsi="Arial" w:cs="Arial"/>
          <w:sz w:val="20"/>
          <w:szCs w:val="20"/>
        </w:rPr>
      </w:pPr>
      <w:r w:rsidRPr="002F7850">
        <w:rPr>
          <w:rFonts w:ascii="Arial" w:hAnsi="Arial" w:cs="Arial"/>
          <w:sz w:val="20"/>
          <w:szCs w:val="20"/>
        </w:rPr>
        <w:t>Projekt ma na celu opracowanie spójnych dla regionu Morza Bałtyckiego, narzędzi i zaleceń w zakresie postępowania z gatunkami inwazyjnymi wprowadzanymi poprzez transport morski. Pod koniec września 2018 r. projekt COMPLETE uzyskał status projektu flagowego. Aby zminimalizować ryzyko introdukcji szkodliwych organizmów wodnych i patog</w:t>
      </w:r>
      <w:r w:rsidR="003F0938">
        <w:rPr>
          <w:rFonts w:ascii="Arial" w:hAnsi="Arial" w:cs="Arial"/>
          <w:sz w:val="20"/>
          <w:szCs w:val="20"/>
        </w:rPr>
        <w:t xml:space="preserve">entów przez dwa główne wektory - </w:t>
      </w:r>
      <w:r w:rsidRPr="002F7850">
        <w:rPr>
          <w:rFonts w:ascii="Arial" w:hAnsi="Arial" w:cs="Arial"/>
          <w:sz w:val="20"/>
          <w:szCs w:val="20"/>
        </w:rPr>
        <w:t>wody balastowe i kadłuby statków, niezbędne jest opracowani</w:t>
      </w:r>
      <w:r w:rsidR="003F0938">
        <w:rPr>
          <w:rFonts w:ascii="Arial" w:hAnsi="Arial" w:cs="Arial"/>
          <w:sz w:val="20"/>
          <w:szCs w:val="20"/>
        </w:rPr>
        <w:t xml:space="preserve">e narzędzi i opcji zarządzania. </w:t>
      </w:r>
      <w:r w:rsidRPr="002F7850">
        <w:rPr>
          <w:rFonts w:ascii="Arial" w:hAnsi="Arial" w:cs="Arial"/>
          <w:sz w:val="20"/>
          <w:szCs w:val="20"/>
        </w:rPr>
        <w:t>To właśnie jest głównym celem projektu COMPLETE. Jednym z jego istotnych i nowatorskich rezultatów będzie opracowanie mapy drogowej dla regionalnie zharmonizowanej strategii zarządzania zanieczyszczeniami biologicznymi wnoszonymi przez kadłuby statków (tzw. biofouling). Dzięki statusowi projektu flagowego uzyskane wyniki i wypracowane zalecenia mają większą szansę na przekazanie do poziomu legislacyjnego, co z kolei daje możliwość wykorzystania ich w praktyce. Projekt COMPLETE jest realizowany przez 12 partnerów z Estonii, Finlandii, Niemiec, Łotwy, Litwy, Polski i Szwecji, którzy współpracują z 23 stowarzyszonymi organizacjami ze wszystkich państw regionu Morza Bałtyckiego. Wśród nich jest Ministerstwo Gospodarki Morskiej i Żeglugi Śródlądowej, Zarząd Morskiego Portu Gdynia S.A. oraz Polski Rejestr Statków S.A. Partnerem wiodącym w projekcie jest Kotka Maritime Research Association z Finlandii. </w:t>
      </w:r>
      <w:r w:rsidR="003D130A">
        <w:rPr>
          <w:rFonts w:ascii="Arial" w:hAnsi="Arial" w:cs="Arial"/>
          <w:sz w:val="20"/>
          <w:szCs w:val="20"/>
        </w:rPr>
        <w:t xml:space="preserve">Projekt jest współfinansowany </w:t>
      </w:r>
      <w:r w:rsidRPr="002F7850">
        <w:rPr>
          <w:rFonts w:ascii="Arial" w:hAnsi="Arial" w:cs="Arial"/>
          <w:sz w:val="20"/>
          <w:szCs w:val="20"/>
        </w:rPr>
        <w:t xml:space="preserve">z Funduszu Europejskiego Rozwoju Regionalnego, Program INTERREG Baltic Sea Region 2014-2020 Okres realizacji: 01/10/2017–30/09/2020.  </w:t>
      </w:r>
    </w:p>
    <w:p w14:paraId="6ED8C537" w14:textId="77777777" w:rsidR="002F7850" w:rsidRPr="002F7850" w:rsidRDefault="002F7850" w:rsidP="002F7850">
      <w:pPr>
        <w:spacing w:after="0" w:line="240" w:lineRule="auto"/>
        <w:jc w:val="both"/>
        <w:rPr>
          <w:rFonts w:ascii="Arial" w:eastAsia="Times New Roman" w:hAnsi="Arial" w:cs="Arial"/>
          <w:color w:val="00B050"/>
          <w:sz w:val="20"/>
          <w:szCs w:val="20"/>
          <w:u w:val="single"/>
          <w:lang w:eastAsia="pl-PL"/>
        </w:rPr>
      </w:pPr>
    </w:p>
    <w:p w14:paraId="0D12C1D9" w14:textId="77777777" w:rsidR="002F7850" w:rsidRPr="002F7850" w:rsidRDefault="00DB3A78" w:rsidP="00AB180A">
      <w:pPr>
        <w:spacing w:after="0" w:line="240" w:lineRule="auto"/>
        <w:contextualSpacing/>
        <w:jc w:val="both"/>
        <w:rPr>
          <w:rFonts w:ascii="Arial" w:eastAsia="Calibri" w:hAnsi="Arial" w:cs="Arial"/>
          <w:b/>
          <w:sz w:val="20"/>
          <w:szCs w:val="20"/>
          <w:lang w:val="en-GB"/>
        </w:rPr>
      </w:pPr>
      <w:r>
        <w:rPr>
          <w:rFonts w:ascii="Arial" w:eastAsia="Calibri" w:hAnsi="Arial" w:cs="Arial"/>
          <w:b/>
          <w:sz w:val="20"/>
          <w:szCs w:val="20"/>
          <w:lang w:val="en-GB"/>
        </w:rPr>
        <w:t xml:space="preserve">- </w:t>
      </w:r>
      <w:r w:rsidR="002F7850" w:rsidRPr="002F7850">
        <w:rPr>
          <w:rFonts w:ascii="Arial" w:eastAsia="Calibri" w:hAnsi="Arial" w:cs="Arial"/>
          <w:b/>
          <w:sz w:val="20"/>
          <w:szCs w:val="20"/>
          <w:lang w:val="en-GB"/>
        </w:rPr>
        <w:t xml:space="preserve">Uczestnictwo w </w:t>
      </w:r>
      <w:r w:rsidR="002F7850" w:rsidRPr="002F7850">
        <w:rPr>
          <w:rFonts w:ascii="Arial" w:eastAsia="Calibri" w:hAnsi="Arial" w:cs="Arial"/>
          <w:b/>
          <w:sz w:val="20"/>
          <w:szCs w:val="20"/>
          <w:lang w:val="en-US"/>
        </w:rPr>
        <w:t>grupie korespondencyjnej</w:t>
      </w:r>
      <w:r w:rsidR="002F7850" w:rsidRPr="002F7850">
        <w:rPr>
          <w:rFonts w:ascii="Arial" w:eastAsia="Calibri" w:hAnsi="Arial" w:cs="Arial"/>
          <w:sz w:val="20"/>
          <w:szCs w:val="20"/>
          <w:lang w:val="en-US"/>
        </w:rPr>
        <w:t xml:space="preserve"> </w:t>
      </w:r>
      <w:r w:rsidR="002F7850" w:rsidRPr="002F7850">
        <w:rPr>
          <w:rFonts w:ascii="Arial" w:eastAsia="Calibri" w:hAnsi="Arial" w:cs="Arial"/>
          <w:b/>
          <w:sz w:val="20"/>
          <w:szCs w:val="20"/>
          <w:lang w:val="en-US"/>
        </w:rPr>
        <w:t xml:space="preserve">HELCOM Cooperation Platform on Port Reception Facilities (PRF) in the Baltic Sea. </w:t>
      </w:r>
    </w:p>
    <w:p w14:paraId="23A366D8" w14:textId="77777777" w:rsidR="002F7850" w:rsidRPr="00F55578" w:rsidRDefault="002F7850" w:rsidP="002F7850">
      <w:pPr>
        <w:autoSpaceDE w:val="0"/>
        <w:autoSpaceDN w:val="0"/>
        <w:adjustRightInd w:val="0"/>
        <w:spacing w:after="0" w:line="240" w:lineRule="auto"/>
        <w:jc w:val="both"/>
        <w:rPr>
          <w:rFonts w:ascii="Arial" w:eastAsia="Calibri" w:hAnsi="Arial" w:cs="Arial"/>
          <w:sz w:val="20"/>
          <w:szCs w:val="20"/>
          <w:lang w:val="en-US" w:eastAsia="pl-PL"/>
        </w:rPr>
      </w:pPr>
    </w:p>
    <w:p w14:paraId="4EAD2B1C" w14:textId="77777777" w:rsidR="002F7850" w:rsidRPr="002F7850" w:rsidRDefault="002F7850" w:rsidP="00DB3A78">
      <w:pPr>
        <w:spacing w:after="0" w:line="276" w:lineRule="auto"/>
        <w:jc w:val="both"/>
        <w:rPr>
          <w:rFonts w:ascii="Arial" w:hAnsi="Arial" w:cs="Arial"/>
          <w:sz w:val="20"/>
          <w:szCs w:val="20"/>
        </w:rPr>
      </w:pPr>
      <w:r w:rsidRPr="002F7850">
        <w:rPr>
          <w:rFonts w:ascii="Arial" w:hAnsi="Arial" w:cs="Arial"/>
          <w:sz w:val="20"/>
          <w:szCs w:val="20"/>
        </w:rPr>
        <w:t xml:space="preserve">Zaostrzone wymogi w zakresie zakazu zrzutu ścieków ze statków pasażerskich i promów na Bałtyku przyjęte rezolucją </w:t>
      </w:r>
      <w:r w:rsidR="00355524">
        <w:rPr>
          <w:rFonts w:ascii="Arial" w:hAnsi="Arial" w:cs="Arial"/>
          <w:sz w:val="20"/>
          <w:szCs w:val="20"/>
        </w:rPr>
        <w:t>MEPC 2009(62) 15 lipca 2011 r.</w:t>
      </w:r>
      <w:r w:rsidRPr="002F7850">
        <w:rPr>
          <w:rFonts w:ascii="Arial" w:hAnsi="Arial" w:cs="Arial"/>
          <w:sz w:val="20"/>
          <w:szCs w:val="20"/>
        </w:rPr>
        <w:t xml:space="preserve"> zaczną obowiązywać od 1 </w:t>
      </w:r>
      <w:r w:rsidR="00355524">
        <w:rPr>
          <w:rFonts w:ascii="Arial" w:hAnsi="Arial" w:cs="Arial"/>
          <w:sz w:val="20"/>
          <w:szCs w:val="20"/>
        </w:rPr>
        <w:t>czerwca 2019 r.</w:t>
      </w:r>
      <w:r w:rsidRPr="002F7850">
        <w:rPr>
          <w:rFonts w:ascii="Arial" w:hAnsi="Arial" w:cs="Arial"/>
          <w:sz w:val="20"/>
          <w:szCs w:val="20"/>
        </w:rPr>
        <w:t xml:space="preserve"> dla nowo wybudowanych sta</w:t>
      </w:r>
      <w:r w:rsidR="00355524">
        <w:rPr>
          <w:rFonts w:ascii="Arial" w:hAnsi="Arial" w:cs="Arial"/>
          <w:sz w:val="20"/>
          <w:szCs w:val="20"/>
        </w:rPr>
        <w:t>tków oraz od 1 czerwca 2021 r.</w:t>
      </w:r>
      <w:r w:rsidRPr="002F7850">
        <w:rPr>
          <w:rFonts w:ascii="Arial" w:hAnsi="Arial" w:cs="Arial"/>
          <w:sz w:val="20"/>
          <w:szCs w:val="20"/>
        </w:rPr>
        <w:t xml:space="preserve"> dla pozostałyc</w:t>
      </w:r>
      <w:r w:rsidR="00355524">
        <w:rPr>
          <w:rFonts w:ascii="Arial" w:hAnsi="Arial" w:cs="Arial"/>
          <w:sz w:val="20"/>
          <w:szCs w:val="20"/>
        </w:rPr>
        <w:t>h statków.  W sierpniu 2018 r.</w:t>
      </w:r>
      <w:r w:rsidRPr="002F7850">
        <w:rPr>
          <w:rFonts w:ascii="Arial" w:hAnsi="Arial" w:cs="Arial"/>
          <w:sz w:val="20"/>
          <w:szCs w:val="20"/>
        </w:rPr>
        <w:t xml:space="preserve"> został  aktualizowany raport HELCOM „Baltic Sea Sewage Port Reception Facilities – HELCOM overview 2018”, który omawia portowe urządzenia do odbioru ścieków ze statków pasażerskich i promów w 38 portach bałtyckich</w:t>
      </w:r>
      <w:r w:rsidR="00355524">
        <w:rPr>
          <w:rFonts w:ascii="Arial" w:hAnsi="Arial" w:cs="Arial"/>
          <w:sz w:val="20"/>
          <w:szCs w:val="20"/>
        </w:rPr>
        <w:t>,</w:t>
      </w:r>
      <w:r w:rsidRPr="002F7850">
        <w:rPr>
          <w:rFonts w:ascii="Arial" w:hAnsi="Arial" w:cs="Arial"/>
          <w:sz w:val="20"/>
          <w:szCs w:val="20"/>
        </w:rPr>
        <w:t xml:space="preserve"> w tym także w Porcie Gdynia będącym na liście portów priorytetowych, dla których istnieje bezwzględny obowiązek odbioru ścieków ze statków. </w:t>
      </w:r>
    </w:p>
    <w:p w14:paraId="645BA551" w14:textId="77777777" w:rsidR="002F7850" w:rsidRPr="002F7850" w:rsidRDefault="002F7850" w:rsidP="002F7850">
      <w:pPr>
        <w:autoSpaceDE w:val="0"/>
        <w:autoSpaceDN w:val="0"/>
        <w:adjustRightInd w:val="0"/>
        <w:spacing w:after="0" w:line="240" w:lineRule="auto"/>
        <w:jc w:val="both"/>
        <w:rPr>
          <w:rFonts w:ascii="Arial" w:eastAsia="Calibri" w:hAnsi="Arial" w:cs="Arial"/>
          <w:sz w:val="20"/>
          <w:szCs w:val="20"/>
          <w:lang w:eastAsia="pl-PL"/>
        </w:rPr>
      </w:pPr>
    </w:p>
    <w:p w14:paraId="2AE1ED98" w14:textId="77777777" w:rsidR="002F7850" w:rsidRPr="002F7850" w:rsidRDefault="00DB3A78" w:rsidP="00AB180A">
      <w:pPr>
        <w:spacing w:after="0" w:line="240" w:lineRule="auto"/>
        <w:contextualSpacing/>
        <w:jc w:val="both"/>
        <w:rPr>
          <w:rFonts w:ascii="Arial" w:eastAsia="Calibri" w:hAnsi="Arial" w:cs="Arial"/>
          <w:b/>
          <w:sz w:val="20"/>
          <w:szCs w:val="20"/>
          <w:lang w:val="en-GB"/>
        </w:rPr>
      </w:pPr>
      <w:r>
        <w:rPr>
          <w:rFonts w:ascii="Arial" w:eastAsia="Calibri" w:hAnsi="Arial" w:cs="Arial"/>
          <w:b/>
          <w:sz w:val="20"/>
          <w:szCs w:val="20"/>
          <w:lang w:val="en-GB"/>
        </w:rPr>
        <w:t xml:space="preserve">- </w:t>
      </w:r>
      <w:r w:rsidR="002F7850" w:rsidRPr="002F7850">
        <w:rPr>
          <w:rFonts w:ascii="Arial" w:eastAsia="Calibri" w:hAnsi="Arial" w:cs="Arial"/>
          <w:b/>
          <w:sz w:val="20"/>
          <w:szCs w:val="20"/>
          <w:lang w:val="en-GB"/>
        </w:rPr>
        <w:t>Uczestnictwo, jako partner stowarzyszony, w projekcie SBOIL South Baltic Oil Spil Response Throuhg Clean - Up with Biogenic Oil Binders.</w:t>
      </w:r>
    </w:p>
    <w:p w14:paraId="3864998A" w14:textId="77777777" w:rsidR="002F7850" w:rsidRPr="00F55578" w:rsidRDefault="002F7850" w:rsidP="002F7850">
      <w:pPr>
        <w:spacing w:after="0" w:line="240" w:lineRule="auto"/>
        <w:jc w:val="both"/>
        <w:rPr>
          <w:rFonts w:ascii="Arial" w:eastAsia="Calibri" w:hAnsi="Arial" w:cs="Arial"/>
          <w:sz w:val="20"/>
          <w:szCs w:val="20"/>
          <w:lang w:val="en-US"/>
        </w:rPr>
      </w:pPr>
    </w:p>
    <w:p w14:paraId="06631B41" w14:textId="77777777" w:rsidR="002F7850" w:rsidRPr="002F7850" w:rsidRDefault="002F7850" w:rsidP="00DB3A78">
      <w:pPr>
        <w:spacing w:after="0" w:line="276" w:lineRule="auto"/>
        <w:jc w:val="both"/>
        <w:rPr>
          <w:rFonts w:ascii="Arial" w:hAnsi="Arial" w:cs="Arial"/>
          <w:sz w:val="20"/>
          <w:szCs w:val="20"/>
        </w:rPr>
      </w:pPr>
      <w:r w:rsidRPr="002F7850">
        <w:rPr>
          <w:rFonts w:ascii="Arial" w:hAnsi="Arial" w:cs="Arial"/>
          <w:sz w:val="20"/>
          <w:szCs w:val="20"/>
        </w:rPr>
        <w:t xml:space="preserve">Celem projektu jest wykorzystanie zielonych technologii w celu ograniczenia zrzutów zanieczyszczeń </w:t>
      </w:r>
      <w:r w:rsidR="002670C5">
        <w:rPr>
          <w:rFonts w:ascii="Arial" w:hAnsi="Arial" w:cs="Arial"/>
          <w:sz w:val="20"/>
          <w:szCs w:val="20"/>
        </w:rPr>
        <w:br/>
      </w:r>
      <w:r w:rsidRPr="002F7850">
        <w:rPr>
          <w:rFonts w:ascii="Arial" w:hAnsi="Arial" w:cs="Arial"/>
          <w:sz w:val="20"/>
          <w:szCs w:val="20"/>
        </w:rPr>
        <w:t>w obszarze Południowego Bałtyku. Partnerem wiodącym</w:t>
      </w:r>
      <w:r w:rsidR="002670C5">
        <w:rPr>
          <w:rFonts w:ascii="Arial" w:hAnsi="Arial" w:cs="Arial"/>
          <w:sz w:val="20"/>
          <w:szCs w:val="20"/>
        </w:rPr>
        <w:t xml:space="preserve"> jest University of Rostock, a p</w:t>
      </w:r>
      <w:r w:rsidRPr="002F7850">
        <w:rPr>
          <w:rFonts w:ascii="Arial" w:hAnsi="Arial" w:cs="Arial"/>
          <w:sz w:val="20"/>
          <w:szCs w:val="20"/>
        </w:rPr>
        <w:t xml:space="preserve">artnerami projektu </w:t>
      </w:r>
      <w:r w:rsidR="002670C5">
        <w:rPr>
          <w:rFonts w:ascii="Arial" w:hAnsi="Arial" w:cs="Arial"/>
          <w:sz w:val="20"/>
          <w:szCs w:val="20"/>
        </w:rPr>
        <w:t>są Akademia Morska w Szczecinie i</w:t>
      </w:r>
      <w:r w:rsidRPr="002F7850">
        <w:rPr>
          <w:rFonts w:ascii="Arial" w:hAnsi="Arial" w:cs="Arial"/>
          <w:sz w:val="20"/>
          <w:szCs w:val="20"/>
        </w:rPr>
        <w:t xml:space="preserve"> World Maritime University in Malmo. W 2018 r. odbyły się krajowe warsztaty poświęcone problematyce zwalczania rozlewów olejowych z zastosowaniem technologii absorbentów biode</w:t>
      </w:r>
      <w:r w:rsidR="00CD28A4">
        <w:rPr>
          <w:rFonts w:ascii="Arial" w:hAnsi="Arial" w:cs="Arial"/>
          <w:sz w:val="20"/>
          <w:szCs w:val="20"/>
        </w:rPr>
        <w:t xml:space="preserve">gradowalnych. </w:t>
      </w:r>
      <w:r w:rsidRPr="002F7850">
        <w:rPr>
          <w:rFonts w:ascii="Arial" w:hAnsi="Arial" w:cs="Arial"/>
          <w:sz w:val="20"/>
          <w:szCs w:val="20"/>
        </w:rPr>
        <w:t xml:space="preserve">W ramach przeprowadzonych zajęć przedstawiono założenia projektu wraz z pokazem zapory do zwalczania wycieków. W części praktycznej spotkania zaprezentowano możliwości symulatora zwalczania rozlewów olejowych PISCES II m.in. wg scenariusza ćwiczeń w koordynacji akcji usuwania rozlewu olejowego w rejonie portu Świnoujście. Następnie przeprowadzono międzynarodowe ćwiczenia sztabowe (Table-Top Exercise) w zakresie transgranicznej reakcji na wyciek ropy dla zainteresowanych stron rejonu Południowego Bałtyku. </w:t>
      </w:r>
    </w:p>
    <w:p w14:paraId="2319311B" w14:textId="77777777" w:rsidR="002F7850" w:rsidRPr="002F7850" w:rsidRDefault="002F7850" w:rsidP="002F7850">
      <w:pPr>
        <w:spacing w:after="0" w:line="240" w:lineRule="auto"/>
        <w:jc w:val="both"/>
        <w:rPr>
          <w:rFonts w:ascii="Arial" w:eastAsia="Calibri" w:hAnsi="Arial" w:cs="Arial"/>
          <w:color w:val="00B050"/>
          <w:sz w:val="20"/>
          <w:szCs w:val="20"/>
        </w:rPr>
      </w:pPr>
    </w:p>
    <w:p w14:paraId="187D9DE5" w14:textId="77777777" w:rsidR="002F7850" w:rsidRPr="002F7850" w:rsidRDefault="00DB3A78" w:rsidP="00AB180A">
      <w:pPr>
        <w:spacing w:after="0" w:line="240" w:lineRule="auto"/>
        <w:contextualSpacing/>
        <w:jc w:val="both"/>
        <w:rPr>
          <w:rFonts w:ascii="Arial" w:eastAsia="Calibri" w:hAnsi="Arial" w:cs="Arial"/>
          <w:sz w:val="20"/>
          <w:szCs w:val="20"/>
          <w:lang w:val="en-GB"/>
        </w:rPr>
      </w:pPr>
      <w:r>
        <w:rPr>
          <w:rFonts w:ascii="Arial" w:eastAsia="Calibri" w:hAnsi="Arial" w:cs="Arial"/>
          <w:b/>
          <w:sz w:val="20"/>
          <w:szCs w:val="20"/>
          <w:lang w:val="en-US"/>
        </w:rPr>
        <w:t xml:space="preserve">- </w:t>
      </w:r>
      <w:r w:rsidR="002F7850" w:rsidRPr="002F7850">
        <w:rPr>
          <w:rFonts w:ascii="Arial" w:eastAsia="Calibri" w:hAnsi="Arial" w:cs="Arial"/>
          <w:b/>
          <w:sz w:val="20"/>
          <w:szCs w:val="20"/>
          <w:lang w:val="en-US"/>
        </w:rPr>
        <w:t>Uczestnictwo  jako partner stowarzyszony w projekcie „EcoShip – Impact of novel  on-board and harbour eco-technologies on maritime environment”</w:t>
      </w:r>
      <w:r w:rsidR="002F7850" w:rsidRPr="002F7850">
        <w:rPr>
          <w:rFonts w:ascii="Arial" w:eastAsia="Calibri" w:hAnsi="Arial" w:cs="Arial"/>
          <w:sz w:val="20"/>
          <w:szCs w:val="20"/>
          <w:lang w:val="en-US"/>
        </w:rPr>
        <w:t>.</w:t>
      </w:r>
    </w:p>
    <w:p w14:paraId="261F1FCD" w14:textId="77777777" w:rsidR="002F7850" w:rsidRPr="00F55578" w:rsidRDefault="002F7850" w:rsidP="002F7850">
      <w:pPr>
        <w:spacing w:after="0" w:line="240" w:lineRule="auto"/>
        <w:jc w:val="both"/>
        <w:rPr>
          <w:rFonts w:ascii="Arial" w:eastAsia="Calibri" w:hAnsi="Arial" w:cs="Arial"/>
          <w:sz w:val="20"/>
          <w:szCs w:val="20"/>
          <w:lang w:val="en-US"/>
        </w:rPr>
      </w:pPr>
    </w:p>
    <w:p w14:paraId="1313CB80" w14:textId="77777777" w:rsidR="002F7850" w:rsidRPr="002F7850" w:rsidRDefault="002F7850" w:rsidP="001B529C">
      <w:pPr>
        <w:spacing w:after="0" w:line="276" w:lineRule="auto"/>
        <w:jc w:val="both"/>
        <w:rPr>
          <w:rFonts w:ascii="Arial" w:hAnsi="Arial" w:cs="Arial"/>
          <w:sz w:val="20"/>
          <w:szCs w:val="20"/>
        </w:rPr>
      </w:pPr>
      <w:r w:rsidRPr="002F7850">
        <w:rPr>
          <w:rFonts w:ascii="Arial" w:hAnsi="Arial" w:cs="Arial"/>
          <w:sz w:val="20"/>
          <w:szCs w:val="20"/>
        </w:rPr>
        <w:t xml:space="preserve">We wrześniu 2018 r. w siedzibie Zarządu Morskiego Portu Gdynia S.A. odbyły się warsztaty  przedstawiające i podsumowujące wyniki uzyskane w trakcie trafiającego trzy lata projektu EnviSuM.  Zgodnie z celem projektu opracowano sposoby pomiarów i ocenę wpływu emisji siarki ze statków na środowisko oraz zbadano jakość powietrza w rejonie Trójmiasta i regionie Morza Bałtyckiego. </w:t>
      </w:r>
      <w:r w:rsidR="001B529C">
        <w:rPr>
          <w:rFonts w:ascii="Arial" w:hAnsi="Arial" w:cs="Arial"/>
          <w:sz w:val="20"/>
          <w:szCs w:val="20"/>
        </w:rPr>
        <w:br/>
      </w:r>
      <w:r w:rsidRPr="002F7850">
        <w:rPr>
          <w:rFonts w:ascii="Arial" w:hAnsi="Arial" w:cs="Arial"/>
          <w:sz w:val="20"/>
          <w:szCs w:val="20"/>
        </w:rPr>
        <w:t>Z uzyskanych danych jednoznacznie wynika, że wdrożenie w 2015 r. regulacji prawnych ograniczających zawartość siarki w paliwach statkowych wpłynęło na spadek emisji  tlenków siarki ze statków. Dodatkowo, wyniki uzyskane w projekcie będą stanowiły podstawę do opracowan</w:t>
      </w:r>
      <w:r w:rsidR="001B529C">
        <w:rPr>
          <w:rFonts w:ascii="Arial" w:hAnsi="Arial" w:cs="Arial"/>
          <w:sz w:val="20"/>
          <w:szCs w:val="20"/>
        </w:rPr>
        <w:t>ia i wdrażania dalszych, nowych i</w:t>
      </w:r>
      <w:r w:rsidRPr="002F7850">
        <w:rPr>
          <w:rFonts w:ascii="Arial" w:hAnsi="Arial" w:cs="Arial"/>
          <w:sz w:val="20"/>
          <w:szCs w:val="20"/>
        </w:rPr>
        <w:t xml:space="preserve"> zrównoważonych rozwiązań poprawiających stan powietrza oraz wskazania rekomendacji dla kolejnych regulacji prawnych w zakresie ograniczania emisji.</w:t>
      </w:r>
    </w:p>
    <w:p w14:paraId="7972A0AC" w14:textId="77777777" w:rsidR="00AB180A" w:rsidRPr="00731248" w:rsidRDefault="00AB180A" w:rsidP="00AB180A">
      <w:pPr>
        <w:spacing w:after="0" w:line="240" w:lineRule="auto"/>
        <w:jc w:val="both"/>
        <w:rPr>
          <w:rFonts w:ascii="Arial" w:eastAsia="Times New Roman" w:hAnsi="Arial" w:cs="Arial"/>
          <w:b/>
          <w:sz w:val="20"/>
          <w:szCs w:val="20"/>
          <w:lang w:eastAsia="pl-PL"/>
        </w:rPr>
      </w:pPr>
    </w:p>
    <w:p w14:paraId="3D8AE903" w14:textId="77777777" w:rsidR="002F7850" w:rsidRPr="002F7850" w:rsidRDefault="00071DFA" w:rsidP="00AB180A">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2F7850" w:rsidRPr="002F7850">
        <w:rPr>
          <w:rFonts w:ascii="Arial" w:eastAsia="Times New Roman" w:hAnsi="Arial" w:cs="Arial"/>
          <w:b/>
          <w:sz w:val="20"/>
          <w:szCs w:val="20"/>
          <w:lang w:eastAsia="pl-PL"/>
        </w:rPr>
        <w:t xml:space="preserve">Uczestnictwo w „BPO Environmental Working Group” (środowiskowa grupa robocza w Organizacji Portów Bałtyckich). </w:t>
      </w:r>
    </w:p>
    <w:p w14:paraId="1519DBC1" w14:textId="77777777" w:rsidR="002F7850" w:rsidRPr="002F7850" w:rsidRDefault="002F7850" w:rsidP="002F7850">
      <w:pPr>
        <w:spacing w:after="0" w:line="240" w:lineRule="auto"/>
        <w:jc w:val="both"/>
        <w:rPr>
          <w:rFonts w:ascii="Arial" w:eastAsia="Calibri" w:hAnsi="Arial" w:cs="Arial"/>
          <w:sz w:val="20"/>
          <w:szCs w:val="20"/>
        </w:rPr>
      </w:pPr>
    </w:p>
    <w:p w14:paraId="1C102F6A" w14:textId="77777777" w:rsidR="002F7850" w:rsidRPr="004E0769" w:rsidRDefault="002F7850" w:rsidP="004E0769">
      <w:pPr>
        <w:spacing w:after="0" w:line="276" w:lineRule="auto"/>
        <w:jc w:val="both"/>
        <w:rPr>
          <w:rFonts w:ascii="Arial" w:hAnsi="Arial" w:cs="Arial"/>
          <w:sz w:val="20"/>
          <w:szCs w:val="20"/>
        </w:rPr>
      </w:pPr>
      <w:r w:rsidRPr="002F7850">
        <w:rPr>
          <w:rFonts w:ascii="Arial" w:hAnsi="Arial" w:cs="Arial"/>
          <w:sz w:val="20"/>
          <w:szCs w:val="20"/>
        </w:rPr>
        <w:t>Grupę tą reprezentuje 9 portów bałtyckich: Kopenhaga-Malmoe, Sztokholm, Tallinn, Helsinki, Turku, Rostock, Liepaja, Kaliningrad i Gdynia. Głównym zadaniem tej grupy jest śledzenie zmian prawnych (międzynarodowych, europejskich, bałtyckich), które mają wpływ na działalność portową. Ostatnie posiedzenie środowiskowej grupy roboczej</w:t>
      </w:r>
      <w:r w:rsidR="004C0689">
        <w:rPr>
          <w:rFonts w:ascii="Arial" w:hAnsi="Arial" w:cs="Arial"/>
          <w:sz w:val="20"/>
          <w:szCs w:val="20"/>
        </w:rPr>
        <w:t xml:space="preserve"> odbyło się 5 września 2018 r.</w:t>
      </w:r>
      <w:r w:rsidRPr="002F7850">
        <w:rPr>
          <w:rFonts w:ascii="Arial" w:hAnsi="Arial" w:cs="Arial"/>
          <w:sz w:val="20"/>
          <w:szCs w:val="20"/>
        </w:rPr>
        <w:t xml:space="preserve"> w siedzibie Zarządu Morskiego Por</w:t>
      </w:r>
      <w:r w:rsidR="004C0689">
        <w:rPr>
          <w:rFonts w:ascii="Arial" w:hAnsi="Arial" w:cs="Arial"/>
          <w:sz w:val="20"/>
          <w:szCs w:val="20"/>
        </w:rPr>
        <w:t xml:space="preserve">tów Szczecin i Świnoujście S.A. </w:t>
      </w:r>
      <w:r w:rsidRPr="002F7850">
        <w:rPr>
          <w:rFonts w:ascii="Arial" w:hAnsi="Arial" w:cs="Arial"/>
          <w:sz w:val="20"/>
          <w:szCs w:val="20"/>
        </w:rPr>
        <w:t xml:space="preserve">Tematami poruszanymi była m.in. emisja ze statków, w tym ograniczenia na Morzu Bałtyckim wprowadzone dla tlenków azotu oraz tlenów siarki, a także emisja </w:t>
      </w:r>
      <w:r w:rsidR="004C0689">
        <w:rPr>
          <w:rFonts w:ascii="Arial" w:hAnsi="Arial" w:cs="Arial"/>
          <w:sz w:val="20"/>
          <w:szCs w:val="20"/>
        </w:rPr>
        <w:br/>
      </w:r>
      <w:r w:rsidRPr="002F7850">
        <w:rPr>
          <w:rFonts w:ascii="Arial" w:hAnsi="Arial" w:cs="Arial"/>
          <w:sz w:val="20"/>
          <w:szCs w:val="20"/>
        </w:rPr>
        <w:t xml:space="preserve">z tytułu przeładunku towarów masowych </w:t>
      </w:r>
      <w:r w:rsidR="004C0689">
        <w:rPr>
          <w:rFonts w:ascii="Arial" w:hAnsi="Arial" w:cs="Arial"/>
          <w:sz w:val="20"/>
          <w:szCs w:val="20"/>
        </w:rPr>
        <w:t>oraz</w:t>
      </w:r>
      <w:r w:rsidRPr="002F7850">
        <w:rPr>
          <w:rFonts w:ascii="Arial" w:hAnsi="Arial" w:cs="Arial"/>
          <w:sz w:val="20"/>
          <w:szCs w:val="20"/>
        </w:rPr>
        <w:t xml:space="preserve"> problemy</w:t>
      </w:r>
      <w:r w:rsidR="004C0689">
        <w:rPr>
          <w:rFonts w:ascii="Arial" w:hAnsi="Arial" w:cs="Arial"/>
          <w:sz w:val="20"/>
          <w:szCs w:val="20"/>
        </w:rPr>
        <w:t>,</w:t>
      </w:r>
      <w:r w:rsidRPr="002F7850">
        <w:rPr>
          <w:rFonts w:ascii="Arial" w:hAnsi="Arial" w:cs="Arial"/>
          <w:sz w:val="20"/>
          <w:szCs w:val="20"/>
        </w:rPr>
        <w:t xml:space="preserve"> jakie mają porty w związku z usytuowaniem </w:t>
      </w:r>
      <w:r w:rsidR="004C0689">
        <w:rPr>
          <w:rFonts w:ascii="Arial" w:hAnsi="Arial" w:cs="Arial"/>
          <w:sz w:val="20"/>
          <w:szCs w:val="20"/>
        </w:rPr>
        <w:br/>
      </w:r>
      <w:r w:rsidRPr="002F7850">
        <w:rPr>
          <w:rFonts w:ascii="Arial" w:hAnsi="Arial" w:cs="Arial"/>
          <w:sz w:val="20"/>
          <w:szCs w:val="20"/>
        </w:rPr>
        <w:t xml:space="preserve">w centrum miast i wynikającymi z tego tytułu konfliktami społecznymi. Przedstawiono aktualizację raportu HELCOM „Baltic Sea Sewage Port Reception Facilities </w:t>
      </w:r>
      <w:r w:rsidR="004C0689">
        <w:rPr>
          <w:rFonts w:ascii="Arial" w:hAnsi="Arial" w:cs="Arial"/>
          <w:sz w:val="20"/>
          <w:szCs w:val="20"/>
        </w:rPr>
        <w:t>-</w:t>
      </w:r>
      <w:r w:rsidRPr="002F7850">
        <w:rPr>
          <w:rFonts w:ascii="Arial" w:hAnsi="Arial" w:cs="Arial"/>
          <w:sz w:val="20"/>
          <w:szCs w:val="20"/>
        </w:rPr>
        <w:t xml:space="preserve"> HELCOM overview 2018”, który omawia szczegółowo portowe urządzenia do odbioru ścieków ze statków pasażerskich i promów w 38 portach bałtyckich.</w:t>
      </w:r>
    </w:p>
    <w:p w14:paraId="33F7C71B" w14:textId="77777777" w:rsidR="002F7850" w:rsidRPr="004E0769" w:rsidRDefault="002F7850" w:rsidP="004E0769">
      <w:pPr>
        <w:pStyle w:val="spis2"/>
        <w:rPr>
          <w:rFonts w:ascii="Arial" w:hAnsi="Arial" w:cs="Arial"/>
          <w:sz w:val="20"/>
          <w:szCs w:val="20"/>
          <w:lang w:eastAsia="pl-PL"/>
        </w:rPr>
      </w:pPr>
      <w:r w:rsidRPr="004E0769">
        <w:rPr>
          <w:rFonts w:ascii="Arial" w:hAnsi="Arial" w:cs="Arial"/>
          <w:sz w:val="20"/>
          <w:szCs w:val="20"/>
          <w:lang w:eastAsia="pl-PL"/>
        </w:rPr>
        <w:t>Rozwój usług portowych oraz pozostałych przedsięwzięć istotnych dla realizacji polskiej polityki morskiej w Porcie Gdynia w 2018 r.</w:t>
      </w:r>
    </w:p>
    <w:p w14:paraId="439E293B" w14:textId="77777777" w:rsidR="002F7850" w:rsidRPr="00BF62BF" w:rsidRDefault="005E749E" w:rsidP="00BF76C0">
      <w:pPr>
        <w:pStyle w:val="Akapitzlist"/>
        <w:numPr>
          <w:ilvl w:val="0"/>
          <w:numId w:val="3"/>
        </w:num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Port Z</w:t>
      </w:r>
      <w:r w:rsidR="002F7850" w:rsidRPr="00BF62BF">
        <w:rPr>
          <w:rFonts w:ascii="Arial" w:eastAsia="Times New Roman" w:hAnsi="Arial" w:cs="Arial"/>
          <w:b/>
          <w:sz w:val="20"/>
          <w:szCs w:val="20"/>
          <w:lang w:eastAsia="pl-PL"/>
        </w:rPr>
        <w:t xml:space="preserve">ewnętrzny </w:t>
      </w:r>
    </w:p>
    <w:p w14:paraId="25A08EC8" w14:textId="77777777" w:rsidR="002F7850" w:rsidRPr="002F7850" w:rsidRDefault="002F7850" w:rsidP="002F7850">
      <w:pPr>
        <w:spacing w:after="0" w:line="240" w:lineRule="auto"/>
        <w:jc w:val="both"/>
        <w:rPr>
          <w:rFonts w:ascii="Arial" w:eastAsia="Times New Roman" w:hAnsi="Arial" w:cs="Arial"/>
          <w:sz w:val="20"/>
          <w:szCs w:val="20"/>
          <w:lang w:eastAsia="pl-PL"/>
        </w:rPr>
      </w:pPr>
    </w:p>
    <w:p w14:paraId="1B925A09" w14:textId="77777777" w:rsidR="002F7850" w:rsidRPr="002F7850" w:rsidRDefault="002F7850" w:rsidP="0028486A">
      <w:pPr>
        <w:spacing w:after="120" w:line="276" w:lineRule="auto"/>
        <w:jc w:val="both"/>
        <w:rPr>
          <w:rFonts w:ascii="Arial" w:hAnsi="Arial" w:cs="Arial"/>
          <w:sz w:val="20"/>
          <w:szCs w:val="20"/>
        </w:rPr>
      </w:pPr>
      <w:r w:rsidRPr="002F7850">
        <w:rPr>
          <w:rFonts w:ascii="Arial" w:hAnsi="Arial" w:cs="Arial"/>
          <w:sz w:val="20"/>
          <w:szCs w:val="20"/>
        </w:rPr>
        <w:t xml:space="preserve">Celem inwestycji jest wzrost potencjału przeładunkowego portu oraz zapewnienie możliwości obsługi największych statków oceanicznych. Inwestycja polega na budowie terminalu głębokowodnego (wychodzącego ponad obecny falochron główny) w ramach przedłużenia nabrzeży Śląskiego </w:t>
      </w:r>
      <w:r w:rsidR="000A27F5">
        <w:rPr>
          <w:rFonts w:ascii="Arial" w:hAnsi="Arial" w:cs="Arial"/>
          <w:sz w:val="20"/>
          <w:szCs w:val="20"/>
        </w:rPr>
        <w:br/>
      </w:r>
      <w:r w:rsidRPr="002F7850">
        <w:rPr>
          <w:rFonts w:ascii="Arial" w:hAnsi="Arial" w:cs="Arial"/>
          <w:sz w:val="20"/>
          <w:szCs w:val="20"/>
        </w:rPr>
        <w:t xml:space="preserve">i Szwedzkiego i jest zgodna ze strategią Portu Gdynia, w której założono pozyskanie terenów na potrzeby zwiększenia potencjału usługowego portu. </w:t>
      </w:r>
    </w:p>
    <w:p w14:paraId="5894DAC4" w14:textId="77777777" w:rsidR="002F7850" w:rsidRPr="002F7850" w:rsidRDefault="002F7850" w:rsidP="0028486A">
      <w:pPr>
        <w:spacing w:after="120" w:line="276" w:lineRule="auto"/>
        <w:jc w:val="both"/>
        <w:rPr>
          <w:rFonts w:ascii="Arial" w:hAnsi="Arial" w:cs="Arial"/>
          <w:sz w:val="20"/>
          <w:szCs w:val="20"/>
        </w:rPr>
      </w:pPr>
      <w:r w:rsidRPr="002F7850">
        <w:rPr>
          <w:rFonts w:ascii="Arial" w:hAnsi="Arial" w:cs="Arial"/>
          <w:sz w:val="20"/>
          <w:szCs w:val="20"/>
        </w:rPr>
        <w:t>W 2018</w:t>
      </w:r>
      <w:r w:rsidRPr="00731248">
        <w:rPr>
          <w:rFonts w:ascii="Arial" w:hAnsi="Arial" w:cs="Arial"/>
          <w:sz w:val="20"/>
          <w:szCs w:val="20"/>
        </w:rPr>
        <w:t xml:space="preserve"> </w:t>
      </w:r>
      <w:r w:rsidRPr="002F7850">
        <w:rPr>
          <w:rFonts w:ascii="Arial" w:hAnsi="Arial" w:cs="Arial"/>
          <w:sz w:val="20"/>
          <w:szCs w:val="20"/>
        </w:rPr>
        <w:t>r. sporządzona została wielowariantowa, wielobranżowa koncepcja budowy Portu Zewnętrznego, na podstawie której Zarząd Spółki wybrał</w:t>
      </w:r>
      <w:r w:rsidR="00C33FD6">
        <w:rPr>
          <w:rFonts w:ascii="Arial" w:hAnsi="Arial" w:cs="Arial"/>
          <w:sz w:val="20"/>
          <w:szCs w:val="20"/>
        </w:rPr>
        <w:t xml:space="preserve"> </w:t>
      </w:r>
      <w:r w:rsidR="00A25755">
        <w:rPr>
          <w:rFonts w:ascii="Arial" w:hAnsi="Arial" w:cs="Arial"/>
          <w:sz w:val="20"/>
          <w:szCs w:val="20"/>
        </w:rPr>
        <w:t>najbardziej korzystny wariant, w</w:t>
      </w:r>
      <w:r w:rsidRPr="002F7850">
        <w:rPr>
          <w:rFonts w:ascii="Arial" w:hAnsi="Arial" w:cs="Arial"/>
          <w:sz w:val="20"/>
          <w:szCs w:val="20"/>
        </w:rPr>
        <w:t xml:space="preserve"> wyniku czego powstała szczegółowa koncepcja realizacyjna Portu Zewnętrznego umożliwiająca dalsze działania </w:t>
      </w:r>
      <w:r w:rsidR="00C33FD6">
        <w:rPr>
          <w:rFonts w:ascii="Arial" w:hAnsi="Arial" w:cs="Arial"/>
          <w:sz w:val="20"/>
          <w:szCs w:val="20"/>
        </w:rPr>
        <w:br/>
      </w:r>
      <w:r w:rsidRPr="002F7850">
        <w:rPr>
          <w:rFonts w:ascii="Arial" w:hAnsi="Arial" w:cs="Arial"/>
          <w:sz w:val="20"/>
          <w:szCs w:val="20"/>
        </w:rPr>
        <w:t>w zakresie uzgodnień</w:t>
      </w:r>
      <w:r w:rsidR="00C33FD6">
        <w:rPr>
          <w:rFonts w:ascii="Arial" w:hAnsi="Arial" w:cs="Arial"/>
          <w:sz w:val="20"/>
          <w:szCs w:val="20"/>
        </w:rPr>
        <w:t>,</w:t>
      </w:r>
      <w:r w:rsidRPr="002F7850">
        <w:rPr>
          <w:rFonts w:ascii="Arial" w:hAnsi="Arial" w:cs="Arial"/>
          <w:sz w:val="20"/>
          <w:szCs w:val="20"/>
        </w:rPr>
        <w:t xml:space="preserve"> np. z Urzędem Morskim w Gdyni, czy Marynarką Wojenną. </w:t>
      </w:r>
    </w:p>
    <w:p w14:paraId="619986B0" w14:textId="1A4D6AFD" w:rsidR="002F7850" w:rsidRDefault="002F7850" w:rsidP="001E55BE">
      <w:pPr>
        <w:spacing w:before="120" w:after="120" w:line="276" w:lineRule="auto"/>
        <w:jc w:val="both"/>
        <w:rPr>
          <w:rFonts w:ascii="Arial" w:hAnsi="Arial" w:cs="Arial"/>
          <w:sz w:val="20"/>
          <w:szCs w:val="20"/>
        </w:rPr>
      </w:pPr>
      <w:r w:rsidRPr="002F7850">
        <w:rPr>
          <w:rFonts w:ascii="Arial" w:hAnsi="Arial" w:cs="Arial"/>
          <w:sz w:val="20"/>
          <w:szCs w:val="20"/>
        </w:rPr>
        <w:t>Rozpoczęto wstępne przygotowania w zakresie oceny oddziaływania na środowisko. Aktualnie trwają prace nad ogłoszeniem wspólnie z Ministerstwem Inwestycji i Rozwoju przetargu na doradztwo dla ZMPG S</w:t>
      </w:r>
      <w:r w:rsidR="00C33FD6">
        <w:rPr>
          <w:rFonts w:ascii="Arial" w:hAnsi="Arial" w:cs="Arial"/>
          <w:sz w:val="20"/>
          <w:szCs w:val="20"/>
        </w:rPr>
        <w:t>.</w:t>
      </w:r>
      <w:r w:rsidRPr="002F7850">
        <w:rPr>
          <w:rFonts w:ascii="Arial" w:hAnsi="Arial" w:cs="Arial"/>
          <w:sz w:val="20"/>
          <w:szCs w:val="20"/>
        </w:rPr>
        <w:t>A</w:t>
      </w:r>
      <w:r w:rsidR="00C33FD6">
        <w:rPr>
          <w:rFonts w:ascii="Arial" w:hAnsi="Arial" w:cs="Arial"/>
          <w:sz w:val="20"/>
          <w:szCs w:val="20"/>
        </w:rPr>
        <w:t>.</w:t>
      </w:r>
      <w:r w:rsidRPr="002F7850">
        <w:rPr>
          <w:rFonts w:ascii="Arial" w:hAnsi="Arial" w:cs="Arial"/>
          <w:sz w:val="20"/>
          <w:szCs w:val="20"/>
        </w:rPr>
        <w:t xml:space="preserve"> w zakresie przygotowania projektu Budowy Portu Zewnętrznego w formule partnerstwa publiczno-prywatnego. W grudniu 2018</w:t>
      </w:r>
      <w:r w:rsidR="00C33FD6">
        <w:rPr>
          <w:rFonts w:ascii="Arial" w:hAnsi="Arial" w:cs="Arial"/>
          <w:sz w:val="20"/>
          <w:szCs w:val="20"/>
        </w:rPr>
        <w:t xml:space="preserve"> </w:t>
      </w:r>
      <w:r w:rsidRPr="002F7850">
        <w:rPr>
          <w:rFonts w:ascii="Arial" w:hAnsi="Arial" w:cs="Arial"/>
          <w:sz w:val="20"/>
          <w:szCs w:val="20"/>
        </w:rPr>
        <w:t xml:space="preserve">r. zakończono Dialog Techniczny w sprawie budowy Portu Zewnętrznego w Porcie Gdynia. W Dialogu Technicznym wzięło udział 13 podmiotów. </w:t>
      </w:r>
    </w:p>
    <w:p w14:paraId="713CF98B" w14:textId="77777777" w:rsidR="00584910" w:rsidRPr="001E55BE" w:rsidRDefault="00584910" w:rsidP="001E55BE">
      <w:pPr>
        <w:spacing w:before="120" w:after="120" w:line="276" w:lineRule="auto"/>
        <w:jc w:val="both"/>
        <w:rPr>
          <w:rFonts w:ascii="Arial" w:hAnsi="Arial" w:cs="Arial"/>
          <w:sz w:val="20"/>
          <w:szCs w:val="20"/>
        </w:rPr>
      </w:pPr>
    </w:p>
    <w:p w14:paraId="59D106F2" w14:textId="77777777" w:rsidR="002F7850" w:rsidRPr="00BF62BF" w:rsidRDefault="002F7850" w:rsidP="001E55BE">
      <w:pPr>
        <w:pStyle w:val="Akapitzlist"/>
        <w:numPr>
          <w:ilvl w:val="0"/>
          <w:numId w:val="3"/>
        </w:numPr>
        <w:spacing w:before="120" w:after="120" w:line="240" w:lineRule="auto"/>
        <w:jc w:val="both"/>
        <w:rPr>
          <w:rFonts w:ascii="Arial" w:eastAsia="Times New Roman" w:hAnsi="Arial" w:cs="Arial"/>
          <w:sz w:val="20"/>
          <w:szCs w:val="20"/>
          <w:lang w:eastAsia="pl-PL"/>
        </w:rPr>
      </w:pPr>
      <w:r w:rsidRPr="00BF62BF">
        <w:rPr>
          <w:rFonts w:ascii="Arial" w:eastAsia="Times New Roman" w:hAnsi="Arial" w:cs="Arial"/>
          <w:b/>
          <w:sz w:val="20"/>
          <w:szCs w:val="20"/>
          <w:lang w:eastAsia="pl-PL"/>
        </w:rPr>
        <w:t>Dostęp drogowy do portu</w:t>
      </w:r>
    </w:p>
    <w:p w14:paraId="4304592A" w14:textId="77777777" w:rsidR="002F7850" w:rsidRPr="00731248" w:rsidRDefault="002F7850" w:rsidP="001E55BE">
      <w:pPr>
        <w:spacing w:before="120" w:after="120" w:line="276" w:lineRule="auto"/>
        <w:jc w:val="both"/>
        <w:rPr>
          <w:rFonts w:ascii="Arial" w:hAnsi="Arial" w:cs="Arial"/>
          <w:sz w:val="20"/>
          <w:szCs w:val="20"/>
        </w:rPr>
      </w:pPr>
      <w:r w:rsidRPr="002F7850">
        <w:rPr>
          <w:rFonts w:ascii="Arial" w:hAnsi="Arial" w:cs="Arial"/>
          <w:sz w:val="20"/>
          <w:szCs w:val="20"/>
        </w:rPr>
        <w:t xml:space="preserve">Z uwagi na zagrożenie realizacji Drogi Czerwonej, jako elementu niezbędnego dla działalności Portu Gdynia, jego dalszego rozwoju, a w szczególności planów budowy Portu Zewnętrznego, ZMPG S.A. </w:t>
      </w:r>
      <w:r w:rsidR="00190D2C">
        <w:rPr>
          <w:rFonts w:ascii="Arial" w:hAnsi="Arial" w:cs="Arial"/>
          <w:sz w:val="20"/>
          <w:szCs w:val="20"/>
        </w:rPr>
        <w:t>podejmował</w:t>
      </w:r>
      <w:r w:rsidRPr="002F7850">
        <w:rPr>
          <w:rFonts w:ascii="Arial" w:hAnsi="Arial" w:cs="Arial"/>
          <w:sz w:val="20"/>
          <w:szCs w:val="20"/>
        </w:rPr>
        <w:t xml:space="preserve"> działania mające </w:t>
      </w:r>
      <w:r w:rsidR="00190D2C">
        <w:rPr>
          <w:rFonts w:ascii="Arial" w:hAnsi="Arial" w:cs="Arial"/>
          <w:sz w:val="20"/>
          <w:szCs w:val="20"/>
        </w:rPr>
        <w:t xml:space="preserve">na celu usunięcie </w:t>
      </w:r>
      <w:r w:rsidR="00DF7D7C">
        <w:rPr>
          <w:rFonts w:ascii="Arial" w:hAnsi="Arial" w:cs="Arial"/>
          <w:sz w:val="20"/>
          <w:szCs w:val="20"/>
        </w:rPr>
        <w:t>przeszkód</w:t>
      </w:r>
      <w:r w:rsidRPr="002F7850">
        <w:rPr>
          <w:rFonts w:ascii="Arial" w:hAnsi="Arial" w:cs="Arial"/>
          <w:sz w:val="20"/>
          <w:szCs w:val="20"/>
        </w:rPr>
        <w:t xml:space="preserve"> w realizacji lądowej infrastruktury dostępowej do </w:t>
      </w:r>
      <w:r w:rsidR="00190D2C">
        <w:rPr>
          <w:rFonts w:ascii="Arial" w:hAnsi="Arial" w:cs="Arial"/>
          <w:sz w:val="20"/>
          <w:szCs w:val="20"/>
        </w:rPr>
        <w:t xml:space="preserve">Portu Gdynia. </w:t>
      </w:r>
      <w:r w:rsidRPr="002F7850">
        <w:rPr>
          <w:rFonts w:ascii="Arial" w:hAnsi="Arial" w:cs="Arial"/>
          <w:sz w:val="20"/>
          <w:szCs w:val="20"/>
        </w:rPr>
        <w:t>W tym celu ZMPG S.A. zlecił, na wniosek MGMiŻŚ wykonanie opracowania „Aktualizacja koncepcji technicznej i analiz ruchu oraz wstępna analiza kosztów i korzyści budowy Drogi Czerwonej finansowanej z Budżetu Państwa”.</w:t>
      </w:r>
      <w:r w:rsidRPr="00731248">
        <w:rPr>
          <w:rFonts w:ascii="Arial" w:hAnsi="Arial" w:cs="Arial"/>
          <w:sz w:val="20"/>
          <w:szCs w:val="20"/>
        </w:rPr>
        <w:t xml:space="preserve"> </w:t>
      </w:r>
      <w:r w:rsidRPr="002F7850">
        <w:rPr>
          <w:rFonts w:ascii="Arial" w:hAnsi="Arial" w:cs="Arial"/>
          <w:sz w:val="20"/>
          <w:szCs w:val="20"/>
        </w:rPr>
        <w:t>W dniu 25</w:t>
      </w:r>
      <w:r w:rsidR="00190D2C">
        <w:rPr>
          <w:rFonts w:ascii="Arial" w:hAnsi="Arial" w:cs="Arial"/>
          <w:sz w:val="20"/>
          <w:szCs w:val="20"/>
        </w:rPr>
        <w:t xml:space="preserve"> września </w:t>
      </w:r>
      <w:r w:rsidRPr="002F7850">
        <w:rPr>
          <w:rFonts w:ascii="Arial" w:hAnsi="Arial" w:cs="Arial"/>
          <w:sz w:val="20"/>
          <w:szCs w:val="20"/>
        </w:rPr>
        <w:t>2018</w:t>
      </w:r>
      <w:r w:rsidR="00190D2C">
        <w:rPr>
          <w:rFonts w:ascii="Arial" w:hAnsi="Arial" w:cs="Arial"/>
          <w:sz w:val="20"/>
          <w:szCs w:val="20"/>
        </w:rPr>
        <w:t xml:space="preserve"> </w:t>
      </w:r>
      <w:r w:rsidRPr="002F7850">
        <w:rPr>
          <w:rFonts w:ascii="Arial" w:hAnsi="Arial" w:cs="Arial"/>
          <w:sz w:val="20"/>
          <w:szCs w:val="20"/>
        </w:rPr>
        <w:t xml:space="preserve">r. </w:t>
      </w:r>
      <w:r w:rsidR="00CB2406">
        <w:rPr>
          <w:rFonts w:ascii="Arial" w:hAnsi="Arial" w:cs="Arial"/>
          <w:sz w:val="20"/>
          <w:szCs w:val="20"/>
        </w:rPr>
        <w:t>opublikowany został</w:t>
      </w:r>
      <w:r w:rsidRPr="002F7850">
        <w:rPr>
          <w:rFonts w:ascii="Arial" w:hAnsi="Arial" w:cs="Arial"/>
          <w:sz w:val="20"/>
          <w:szCs w:val="20"/>
        </w:rPr>
        <w:t xml:space="preserve"> raport </w:t>
      </w:r>
      <w:r w:rsidR="00CB2406" w:rsidRPr="002F7850">
        <w:rPr>
          <w:rFonts w:ascii="Arial" w:hAnsi="Arial" w:cs="Arial"/>
          <w:sz w:val="20"/>
          <w:szCs w:val="20"/>
        </w:rPr>
        <w:t>N</w:t>
      </w:r>
      <w:r w:rsidR="00CB2406">
        <w:rPr>
          <w:rFonts w:ascii="Arial" w:hAnsi="Arial" w:cs="Arial"/>
          <w:sz w:val="20"/>
          <w:szCs w:val="20"/>
        </w:rPr>
        <w:t xml:space="preserve">ajwyższej </w:t>
      </w:r>
      <w:r w:rsidR="00CB2406" w:rsidRPr="002F7850">
        <w:rPr>
          <w:rFonts w:ascii="Arial" w:hAnsi="Arial" w:cs="Arial"/>
          <w:sz w:val="20"/>
          <w:szCs w:val="20"/>
        </w:rPr>
        <w:t>I</w:t>
      </w:r>
      <w:r w:rsidR="00CB2406">
        <w:rPr>
          <w:rFonts w:ascii="Arial" w:hAnsi="Arial" w:cs="Arial"/>
          <w:sz w:val="20"/>
          <w:szCs w:val="20"/>
        </w:rPr>
        <w:t xml:space="preserve">zby </w:t>
      </w:r>
      <w:r w:rsidR="00CB2406" w:rsidRPr="002F7850">
        <w:rPr>
          <w:rFonts w:ascii="Arial" w:hAnsi="Arial" w:cs="Arial"/>
          <w:sz w:val="20"/>
          <w:szCs w:val="20"/>
        </w:rPr>
        <w:t>K</w:t>
      </w:r>
      <w:r w:rsidR="00CB2406">
        <w:rPr>
          <w:rFonts w:ascii="Arial" w:hAnsi="Arial" w:cs="Arial"/>
          <w:sz w:val="20"/>
          <w:szCs w:val="20"/>
        </w:rPr>
        <w:t>ontroli</w:t>
      </w:r>
      <w:r w:rsidR="00CB2406" w:rsidRPr="002F7850">
        <w:rPr>
          <w:rFonts w:ascii="Arial" w:hAnsi="Arial" w:cs="Arial"/>
          <w:sz w:val="20"/>
          <w:szCs w:val="20"/>
        </w:rPr>
        <w:t xml:space="preserve"> </w:t>
      </w:r>
      <w:r w:rsidRPr="002F7850">
        <w:rPr>
          <w:rFonts w:ascii="Arial" w:hAnsi="Arial" w:cs="Arial"/>
          <w:sz w:val="20"/>
          <w:szCs w:val="20"/>
        </w:rPr>
        <w:t xml:space="preserve">o wynikach kontroli „Infrastruktura </w:t>
      </w:r>
      <w:r w:rsidR="00DF7D7C">
        <w:rPr>
          <w:rFonts w:ascii="Arial" w:hAnsi="Arial" w:cs="Arial"/>
          <w:sz w:val="20"/>
          <w:szCs w:val="20"/>
        </w:rPr>
        <w:t>dostępowa do portów morskich”, w którym wielokrotnie podkreślono</w:t>
      </w:r>
      <w:r w:rsidRPr="002F7850">
        <w:rPr>
          <w:rFonts w:ascii="Arial" w:hAnsi="Arial" w:cs="Arial"/>
          <w:sz w:val="20"/>
          <w:szCs w:val="20"/>
        </w:rPr>
        <w:t xml:space="preserve"> bariery i trudności w dostępie do portu w Gdyni</w:t>
      </w:r>
      <w:r w:rsidR="00DF7D7C">
        <w:rPr>
          <w:rFonts w:ascii="Arial" w:hAnsi="Arial" w:cs="Arial"/>
          <w:sz w:val="20"/>
          <w:szCs w:val="20"/>
        </w:rPr>
        <w:t>.</w:t>
      </w:r>
      <w:r w:rsidRPr="002F7850">
        <w:rPr>
          <w:rFonts w:ascii="Arial" w:hAnsi="Arial" w:cs="Arial"/>
          <w:sz w:val="20"/>
          <w:szCs w:val="20"/>
        </w:rPr>
        <w:t xml:space="preserve"> </w:t>
      </w:r>
      <w:r w:rsidR="00CB2406">
        <w:rPr>
          <w:rFonts w:ascii="Arial" w:hAnsi="Arial" w:cs="Arial"/>
          <w:sz w:val="20"/>
          <w:szCs w:val="20"/>
        </w:rPr>
        <w:br/>
      </w:r>
      <w:r w:rsidR="00190D2C">
        <w:rPr>
          <w:rFonts w:ascii="Arial" w:hAnsi="Arial" w:cs="Arial"/>
          <w:sz w:val="20"/>
          <w:szCs w:val="20"/>
        </w:rPr>
        <w:t xml:space="preserve">Z inicjatywy ZMPG S.A. </w:t>
      </w:r>
      <w:r w:rsidRPr="002F7850">
        <w:rPr>
          <w:rFonts w:ascii="Arial" w:hAnsi="Arial" w:cs="Arial"/>
          <w:sz w:val="20"/>
          <w:szCs w:val="20"/>
        </w:rPr>
        <w:t xml:space="preserve">Ministerstwo Gospodarki Morskiej i Żeglugi Śródlądowej, w ramach nowelizacji </w:t>
      </w:r>
      <w:bookmarkStart w:id="12" w:name="_Hlk534877270"/>
      <w:r w:rsidRPr="002F7850">
        <w:rPr>
          <w:rFonts w:ascii="Arial" w:hAnsi="Arial" w:cs="Arial"/>
          <w:sz w:val="20"/>
          <w:szCs w:val="20"/>
        </w:rPr>
        <w:t>ustawy o portach i przystaniach morskich</w:t>
      </w:r>
      <w:bookmarkEnd w:id="12"/>
      <w:r w:rsidR="00190D2C">
        <w:rPr>
          <w:rFonts w:ascii="Arial" w:hAnsi="Arial" w:cs="Arial"/>
          <w:sz w:val="20"/>
          <w:szCs w:val="20"/>
        </w:rPr>
        <w:t>, zaproponowało</w:t>
      </w:r>
      <w:r w:rsidRPr="002F7850">
        <w:rPr>
          <w:rFonts w:ascii="Arial" w:hAnsi="Arial" w:cs="Arial"/>
          <w:sz w:val="20"/>
          <w:szCs w:val="20"/>
        </w:rPr>
        <w:t xml:space="preserve"> zmiany w ustawie o drogach publicznych, które umożliwić mają realizację Drogi Czerwonej w Gdyni przez Generalną Dyrekcję Dróg Krajowych </w:t>
      </w:r>
      <w:r w:rsidR="00502EF6">
        <w:rPr>
          <w:rFonts w:ascii="Arial" w:hAnsi="Arial" w:cs="Arial"/>
          <w:sz w:val="20"/>
          <w:szCs w:val="20"/>
        </w:rPr>
        <w:br/>
      </w:r>
      <w:r w:rsidRPr="002F7850">
        <w:rPr>
          <w:rFonts w:ascii="Arial" w:hAnsi="Arial" w:cs="Arial"/>
          <w:sz w:val="20"/>
          <w:szCs w:val="20"/>
        </w:rPr>
        <w:t xml:space="preserve">i Autostrad. </w:t>
      </w:r>
    </w:p>
    <w:p w14:paraId="18DD85A3" w14:textId="77777777" w:rsidR="002F7850" w:rsidRPr="002F7850" w:rsidRDefault="002F7850" w:rsidP="00502EF6">
      <w:pPr>
        <w:spacing w:before="120" w:after="120" w:line="276" w:lineRule="auto"/>
        <w:jc w:val="both"/>
        <w:rPr>
          <w:rFonts w:ascii="Arial" w:hAnsi="Arial" w:cs="Arial"/>
          <w:sz w:val="20"/>
          <w:szCs w:val="20"/>
        </w:rPr>
      </w:pPr>
      <w:r w:rsidRPr="002F7850">
        <w:rPr>
          <w:rFonts w:ascii="Arial" w:hAnsi="Arial" w:cs="Arial"/>
          <w:sz w:val="20"/>
          <w:szCs w:val="20"/>
        </w:rPr>
        <w:t>W ramach przygotowań przedinwestycyjnych „Budowy Portu Zewnętrznego w Porcie Gdynia” firma Multiconsult Polska Sp. z o.o. prowadzi</w:t>
      </w:r>
      <w:r w:rsidR="00A96116">
        <w:rPr>
          <w:rFonts w:ascii="Arial" w:hAnsi="Arial" w:cs="Arial"/>
          <w:sz w:val="20"/>
          <w:szCs w:val="20"/>
        </w:rPr>
        <w:t>ła</w:t>
      </w:r>
      <w:r w:rsidRPr="002F7850">
        <w:rPr>
          <w:rFonts w:ascii="Arial" w:hAnsi="Arial" w:cs="Arial"/>
          <w:sz w:val="20"/>
          <w:szCs w:val="20"/>
        </w:rPr>
        <w:t xml:space="preserve"> prace w zakresie wariantowej koncepcji „Obsługi komunikacyjnej zewnętrznych pirsów Portu Gdynia”. Trwają uzgodnienia z Miastem Gdynia dotyczące waria</w:t>
      </w:r>
      <w:r w:rsidR="00A96116">
        <w:rPr>
          <w:rFonts w:ascii="Arial" w:hAnsi="Arial" w:cs="Arial"/>
          <w:sz w:val="20"/>
          <w:szCs w:val="20"/>
        </w:rPr>
        <w:t>ntowej koncepcji bezkolizyjnego</w:t>
      </w:r>
      <w:r w:rsidRPr="002F7850">
        <w:rPr>
          <w:rFonts w:ascii="Arial" w:hAnsi="Arial" w:cs="Arial"/>
          <w:sz w:val="20"/>
          <w:szCs w:val="20"/>
        </w:rPr>
        <w:t xml:space="preserve"> połączenia ul. Janka Wiśniewskiego z Molem Węglowym.</w:t>
      </w:r>
    </w:p>
    <w:p w14:paraId="055C8ED7" w14:textId="57006356" w:rsidR="002F7850" w:rsidRPr="002F7850" w:rsidRDefault="002F7850" w:rsidP="00502EF6">
      <w:pPr>
        <w:spacing w:before="120" w:after="120" w:line="276" w:lineRule="auto"/>
        <w:jc w:val="both"/>
        <w:rPr>
          <w:rFonts w:ascii="Arial" w:hAnsi="Arial" w:cs="Arial"/>
          <w:sz w:val="20"/>
          <w:szCs w:val="20"/>
        </w:rPr>
      </w:pPr>
      <w:r w:rsidRPr="002F7850">
        <w:rPr>
          <w:rFonts w:ascii="Arial" w:hAnsi="Arial" w:cs="Arial"/>
          <w:sz w:val="20"/>
          <w:szCs w:val="20"/>
        </w:rPr>
        <w:t xml:space="preserve">ZMPG S.A. uczestniczył w opiniowaniu przygotowywanego przez Miasto Gdynia, w  </w:t>
      </w:r>
      <w:r w:rsidR="00A96116">
        <w:rPr>
          <w:rFonts w:ascii="Arial" w:hAnsi="Arial" w:cs="Arial"/>
          <w:sz w:val="20"/>
          <w:szCs w:val="20"/>
        </w:rPr>
        <w:t xml:space="preserve">ramach projektu TENTacle, </w:t>
      </w:r>
      <w:r w:rsidRPr="002F7850">
        <w:rPr>
          <w:rFonts w:ascii="Arial" w:hAnsi="Arial" w:cs="Arial"/>
          <w:sz w:val="20"/>
          <w:szCs w:val="20"/>
        </w:rPr>
        <w:t>„Studium ostatniej mili dla węzła sieci bazowej TEN-T Gdynia, odpowiadającego inwestycjom spójnym z Planem Pracy Korytarza Bałtyk</w:t>
      </w:r>
      <w:r w:rsidR="00BD690C">
        <w:rPr>
          <w:rFonts w:ascii="Arial" w:hAnsi="Arial" w:cs="Arial"/>
          <w:sz w:val="20"/>
          <w:szCs w:val="20"/>
        </w:rPr>
        <w:t xml:space="preserve"> </w:t>
      </w:r>
      <w:r w:rsidRPr="002F7850">
        <w:rPr>
          <w:rFonts w:ascii="Arial" w:hAnsi="Arial" w:cs="Arial"/>
          <w:sz w:val="20"/>
          <w:szCs w:val="20"/>
        </w:rPr>
        <w:t xml:space="preserve">- Adriatyk”. W ramach tego dokumentu przygotowywane są analizy i prognozy ruchu towarowego i pasażerskiego z/do portu morskiego </w:t>
      </w:r>
      <w:r w:rsidR="00E3757C">
        <w:rPr>
          <w:rFonts w:ascii="Arial" w:hAnsi="Arial" w:cs="Arial"/>
          <w:sz w:val="20"/>
          <w:szCs w:val="20"/>
        </w:rPr>
        <w:br/>
      </w:r>
      <w:r w:rsidRPr="002F7850">
        <w:rPr>
          <w:rFonts w:ascii="Arial" w:hAnsi="Arial" w:cs="Arial"/>
          <w:sz w:val="20"/>
          <w:szCs w:val="20"/>
        </w:rPr>
        <w:t>w Gdyni</w:t>
      </w:r>
      <w:r w:rsidR="00E3757C">
        <w:rPr>
          <w:rFonts w:ascii="Arial" w:hAnsi="Arial" w:cs="Arial"/>
          <w:sz w:val="20"/>
          <w:szCs w:val="20"/>
        </w:rPr>
        <w:t>,</w:t>
      </w:r>
      <w:r w:rsidRPr="002F7850">
        <w:rPr>
          <w:rFonts w:ascii="Arial" w:hAnsi="Arial" w:cs="Arial"/>
          <w:sz w:val="20"/>
          <w:szCs w:val="20"/>
        </w:rPr>
        <w:t xml:space="preserve"> umożliwiające podjęcie decyzji odnośnie realizacji optymalnego wariantu rozwoju systemu transportowego Gdyni w sieci bazowej TEN-T.</w:t>
      </w:r>
    </w:p>
    <w:p w14:paraId="4AE092AA" w14:textId="5EAE6867" w:rsidR="002F7850" w:rsidRDefault="002F7850" w:rsidP="002C29B7">
      <w:pPr>
        <w:spacing w:before="120" w:after="120" w:line="276" w:lineRule="auto"/>
        <w:jc w:val="both"/>
        <w:rPr>
          <w:rFonts w:ascii="Arial" w:hAnsi="Arial" w:cs="Arial"/>
          <w:sz w:val="20"/>
          <w:szCs w:val="20"/>
        </w:rPr>
      </w:pPr>
      <w:r w:rsidRPr="002F7850">
        <w:rPr>
          <w:rFonts w:ascii="Arial" w:hAnsi="Arial" w:cs="Arial"/>
          <w:sz w:val="20"/>
          <w:szCs w:val="20"/>
        </w:rPr>
        <w:t>W ramach projektu TENTacle zakończono pracę nad „Koncepcją systemu zarządzania ruchem drogowym - element technicznej i organizacyjnej optymalizacji dostępu drogowego do Portu Gdynia wraz</w:t>
      </w:r>
      <w:r w:rsidR="00F557F1">
        <w:rPr>
          <w:rFonts w:ascii="Arial" w:hAnsi="Arial" w:cs="Arial"/>
          <w:sz w:val="20"/>
          <w:szCs w:val="20"/>
        </w:rPr>
        <w:t xml:space="preserve"> z analizą kosztów i korzyści”. </w:t>
      </w:r>
      <w:r w:rsidRPr="002F7850">
        <w:rPr>
          <w:rFonts w:ascii="Arial" w:hAnsi="Arial" w:cs="Arial"/>
          <w:sz w:val="20"/>
          <w:szCs w:val="20"/>
        </w:rPr>
        <w:t>Prace angażowały operatorów terminali przeładunkowych działających na terenie Portu Gdynia, co zapewniło kompleksowe badanie</w:t>
      </w:r>
      <w:r w:rsidR="00F557F1">
        <w:rPr>
          <w:rFonts w:ascii="Arial" w:hAnsi="Arial" w:cs="Arial"/>
          <w:sz w:val="20"/>
          <w:szCs w:val="20"/>
        </w:rPr>
        <w:t xml:space="preserve"> możliwości wdrożenia systemu. Kontynuacją tych prac było także </w:t>
      </w:r>
      <w:r w:rsidRPr="002F7850">
        <w:rPr>
          <w:rFonts w:ascii="Arial" w:hAnsi="Arial" w:cs="Arial"/>
          <w:sz w:val="20"/>
          <w:szCs w:val="20"/>
        </w:rPr>
        <w:t xml:space="preserve">złożenie wniosku aplikacyjnego o dofinansowanie </w:t>
      </w:r>
      <w:r w:rsidR="00F557F1">
        <w:rPr>
          <w:rFonts w:ascii="Arial" w:hAnsi="Arial" w:cs="Arial"/>
          <w:sz w:val="20"/>
          <w:szCs w:val="20"/>
        </w:rPr>
        <w:br/>
      </w:r>
      <w:r w:rsidRPr="002F7850">
        <w:rPr>
          <w:rFonts w:ascii="Arial" w:hAnsi="Arial" w:cs="Arial"/>
          <w:sz w:val="20"/>
          <w:szCs w:val="20"/>
        </w:rPr>
        <w:t xml:space="preserve">z instrumentu CEF Transport </w:t>
      </w:r>
      <w:r w:rsidR="00BD690C">
        <w:rPr>
          <w:rFonts w:ascii="Arial" w:hAnsi="Arial" w:cs="Arial"/>
          <w:sz w:val="20"/>
          <w:szCs w:val="20"/>
        </w:rPr>
        <w:t xml:space="preserve">„Łącząc Europę” </w:t>
      </w:r>
      <w:r w:rsidRPr="002F7850">
        <w:rPr>
          <w:rFonts w:ascii="Arial" w:hAnsi="Arial" w:cs="Arial"/>
          <w:sz w:val="20"/>
          <w:szCs w:val="20"/>
        </w:rPr>
        <w:t xml:space="preserve">2018 dla projektu „Studium wykonalności wraz </w:t>
      </w:r>
      <w:r w:rsidR="00BD690C">
        <w:rPr>
          <w:rFonts w:ascii="Arial" w:hAnsi="Arial" w:cs="Arial"/>
          <w:sz w:val="20"/>
          <w:szCs w:val="20"/>
        </w:rPr>
        <w:br/>
      </w:r>
      <w:r w:rsidRPr="002F7850">
        <w:rPr>
          <w:rFonts w:ascii="Arial" w:hAnsi="Arial" w:cs="Arial"/>
          <w:sz w:val="20"/>
          <w:szCs w:val="20"/>
        </w:rPr>
        <w:t xml:space="preserve">z dokumentacją techniczną inteligentnego systemu zarządzania ruchem samochodów ciężarowych </w:t>
      </w:r>
      <w:r w:rsidR="00BD690C">
        <w:rPr>
          <w:rFonts w:ascii="Arial" w:hAnsi="Arial" w:cs="Arial"/>
          <w:sz w:val="20"/>
          <w:szCs w:val="20"/>
        </w:rPr>
        <w:br/>
      </w:r>
      <w:r w:rsidRPr="002F7850">
        <w:rPr>
          <w:rFonts w:ascii="Arial" w:hAnsi="Arial" w:cs="Arial"/>
          <w:sz w:val="20"/>
          <w:szCs w:val="20"/>
        </w:rPr>
        <w:t>w Porcie Gdynia</w:t>
      </w:r>
      <w:r w:rsidR="00F557F1">
        <w:rPr>
          <w:rFonts w:ascii="Arial" w:hAnsi="Arial" w:cs="Arial"/>
          <w:sz w:val="20"/>
          <w:szCs w:val="20"/>
        </w:rPr>
        <w:t>”</w:t>
      </w:r>
      <w:r w:rsidRPr="002F7850">
        <w:rPr>
          <w:rFonts w:ascii="Arial" w:hAnsi="Arial" w:cs="Arial"/>
          <w:sz w:val="20"/>
          <w:szCs w:val="20"/>
        </w:rPr>
        <w:t xml:space="preserve">. </w:t>
      </w:r>
    </w:p>
    <w:p w14:paraId="518E9E7D" w14:textId="6269D459" w:rsidR="00584910" w:rsidRPr="002F7850" w:rsidRDefault="00BD690C" w:rsidP="002C29B7">
      <w:pPr>
        <w:spacing w:before="120" w:after="120" w:line="276" w:lineRule="auto"/>
        <w:jc w:val="both"/>
        <w:rPr>
          <w:rFonts w:ascii="Arial" w:hAnsi="Arial" w:cs="Arial"/>
          <w:sz w:val="20"/>
          <w:szCs w:val="20"/>
        </w:rPr>
      </w:pPr>
      <w:r w:rsidRPr="00E3757C">
        <w:rPr>
          <w:rFonts w:ascii="Arial" w:hAnsi="Arial" w:cs="Arial"/>
          <w:sz w:val="20"/>
          <w:szCs w:val="20"/>
        </w:rPr>
        <w:t xml:space="preserve">Zakres projektu obejmuje opracowanie studium wykonalności i projektów technicznych wykonawczych Inteligentnego Systemu Zarządzania Ruchem Portu Gdynia. Wykonanie projektów technicznych systemu umożliwi jego analizę operacyjną, technologiczno-informatyczną, finansową oraz wdrożenia </w:t>
      </w:r>
      <w:r w:rsidR="00E3757C">
        <w:rPr>
          <w:rFonts w:ascii="Arial" w:hAnsi="Arial" w:cs="Arial"/>
          <w:sz w:val="20"/>
          <w:szCs w:val="20"/>
        </w:rPr>
        <w:br/>
      </w:r>
      <w:r w:rsidRPr="00E3757C">
        <w:rPr>
          <w:rFonts w:ascii="Arial" w:hAnsi="Arial" w:cs="Arial"/>
          <w:sz w:val="20"/>
          <w:szCs w:val="20"/>
        </w:rPr>
        <w:t xml:space="preserve">i zapewnienia trwałości funkcjonowania, na potrzeby opracowania końcowego studium wykonalności. Działania w projekcie obejmują również koordynację merytoryczną realizacji projektu w ścisłej współpracy ze społecznością portową oraz jego promocję i rozpowszechnianie wyników. Projekt będzie realizowany do kwietnia 2022 r. </w:t>
      </w:r>
      <w:r w:rsidR="00584910" w:rsidRPr="00E3757C">
        <w:rPr>
          <w:rFonts w:ascii="Arial" w:hAnsi="Arial" w:cs="Arial"/>
          <w:sz w:val="20"/>
          <w:szCs w:val="20"/>
        </w:rPr>
        <w:t xml:space="preserve">Wartość projektu opiewa na kwotę 1 345 000,00 euro, a poziom dofinansowania wynosi 50%. </w:t>
      </w:r>
    </w:p>
    <w:p w14:paraId="24676551" w14:textId="77777777" w:rsidR="002F7850" w:rsidRPr="000F19F7" w:rsidRDefault="002F7850" w:rsidP="00BF76C0">
      <w:pPr>
        <w:pStyle w:val="Akapitzlist"/>
        <w:numPr>
          <w:ilvl w:val="0"/>
          <w:numId w:val="3"/>
        </w:numPr>
        <w:spacing w:before="120" w:after="120" w:line="276" w:lineRule="auto"/>
        <w:jc w:val="both"/>
        <w:rPr>
          <w:rFonts w:ascii="Arial" w:hAnsi="Arial" w:cs="Arial"/>
          <w:b/>
          <w:sz w:val="20"/>
          <w:szCs w:val="20"/>
        </w:rPr>
      </w:pPr>
      <w:r w:rsidRPr="000F19F7">
        <w:rPr>
          <w:rFonts w:ascii="Arial" w:hAnsi="Arial" w:cs="Arial"/>
          <w:b/>
          <w:sz w:val="20"/>
          <w:szCs w:val="20"/>
        </w:rPr>
        <w:t>Integracja portu z zapleczem, ze szczególnym uwzględnieniem terminali intermodalnych</w:t>
      </w:r>
    </w:p>
    <w:p w14:paraId="2DA69AEF" w14:textId="6ED30601" w:rsidR="002F7850" w:rsidRDefault="002F7850" w:rsidP="000F19F7">
      <w:pPr>
        <w:spacing w:before="120" w:after="120" w:line="276" w:lineRule="auto"/>
        <w:jc w:val="both"/>
        <w:rPr>
          <w:rFonts w:ascii="Arial" w:hAnsi="Arial" w:cs="Arial"/>
          <w:sz w:val="20"/>
          <w:szCs w:val="20"/>
        </w:rPr>
      </w:pPr>
      <w:r w:rsidRPr="002F7850">
        <w:rPr>
          <w:rFonts w:ascii="Arial" w:hAnsi="Arial" w:cs="Arial"/>
          <w:sz w:val="20"/>
          <w:szCs w:val="20"/>
        </w:rPr>
        <w:t>Celem projektu jest wzmocnienie pozycji konkurencyjnej Portu Gdynia poprzez rozbudowę sieci terminali intermodalnych oraz zwiększenie liczby kolejowych serwisów intermodalnych z zapleczem gospodarczym i przemysłowym kraju. W 2018</w:t>
      </w:r>
      <w:r w:rsidRPr="00731248">
        <w:rPr>
          <w:rFonts w:ascii="Arial" w:hAnsi="Arial" w:cs="Arial"/>
          <w:sz w:val="20"/>
          <w:szCs w:val="20"/>
        </w:rPr>
        <w:t xml:space="preserve"> </w:t>
      </w:r>
      <w:r w:rsidRPr="002F7850">
        <w:rPr>
          <w:rFonts w:ascii="Arial" w:hAnsi="Arial" w:cs="Arial"/>
          <w:sz w:val="20"/>
          <w:szCs w:val="20"/>
        </w:rPr>
        <w:t xml:space="preserve">r. ZMPG S.A. podpisał list intencyjny z PKP S.A. </w:t>
      </w:r>
      <w:r w:rsidR="003A6B55">
        <w:rPr>
          <w:rFonts w:ascii="Arial" w:hAnsi="Arial" w:cs="Arial"/>
          <w:sz w:val="20"/>
          <w:szCs w:val="20"/>
        </w:rPr>
        <w:br/>
      </w:r>
      <w:r w:rsidRPr="002F7850">
        <w:rPr>
          <w:rFonts w:ascii="Arial" w:hAnsi="Arial" w:cs="Arial"/>
          <w:sz w:val="20"/>
          <w:szCs w:val="20"/>
        </w:rPr>
        <w:t>w sprawie współpracy w zakresie rozwoju terminali intermodalnych realizujących funkcję zaplecza dla Portu Gdynia z wykorzystaniem terenów będących w zasobach PKP. Podpisał także „Porozumienie Operatorów Terminali Przeładunkowych i Centrów Logistycznych Europy Środkowo-Wschodniej”.</w:t>
      </w:r>
    </w:p>
    <w:p w14:paraId="309A4DD3" w14:textId="3428D19A" w:rsidR="000C1D09" w:rsidRDefault="000C1D09" w:rsidP="000F19F7">
      <w:pPr>
        <w:spacing w:before="120" w:after="120" w:line="276" w:lineRule="auto"/>
        <w:jc w:val="both"/>
        <w:rPr>
          <w:rFonts w:ascii="Arial" w:hAnsi="Arial" w:cs="Arial"/>
          <w:sz w:val="20"/>
          <w:szCs w:val="20"/>
        </w:rPr>
      </w:pPr>
    </w:p>
    <w:p w14:paraId="1CFDC1B0" w14:textId="77777777" w:rsidR="000C1D09" w:rsidRDefault="000C1D09" w:rsidP="000F19F7">
      <w:pPr>
        <w:spacing w:before="120" w:after="120" w:line="276" w:lineRule="auto"/>
        <w:jc w:val="both"/>
        <w:rPr>
          <w:rFonts w:ascii="Arial" w:hAnsi="Arial" w:cs="Arial"/>
          <w:sz w:val="20"/>
          <w:szCs w:val="20"/>
        </w:rPr>
      </w:pPr>
    </w:p>
    <w:p w14:paraId="6B9299BD" w14:textId="77777777" w:rsidR="002F7850" w:rsidRPr="000F19F7" w:rsidRDefault="002F7850" w:rsidP="00BF76C0">
      <w:pPr>
        <w:pStyle w:val="Akapitzlist"/>
        <w:numPr>
          <w:ilvl w:val="0"/>
          <w:numId w:val="3"/>
        </w:numPr>
        <w:spacing w:before="120" w:after="120" w:line="276" w:lineRule="auto"/>
        <w:jc w:val="both"/>
        <w:rPr>
          <w:rFonts w:ascii="Arial" w:hAnsi="Arial" w:cs="Arial"/>
          <w:b/>
          <w:sz w:val="20"/>
          <w:szCs w:val="20"/>
        </w:rPr>
      </w:pPr>
      <w:bookmarkStart w:id="13" w:name="_Toc1558200"/>
      <w:r w:rsidRPr="000F19F7">
        <w:rPr>
          <w:rFonts w:ascii="Arial" w:hAnsi="Arial" w:cs="Arial"/>
          <w:b/>
          <w:sz w:val="20"/>
          <w:szCs w:val="20"/>
        </w:rPr>
        <w:t>Elektronizacja zamówień w ZMPG-a S.A.</w:t>
      </w:r>
      <w:bookmarkEnd w:id="13"/>
    </w:p>
    <w:p w14:paraId="7220DC78" w14:textId="77777777" w:rsidR="002F7850" w:rsidRPr="002F7850" w:rsidRDefault="002F7850" w:rsidP="000F19F7">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1 pn. Utrzymanie uniwersalnego charakteru portu i posiadanych przewag rynkowych oraz w priorytecie 2 pn. Nowoczesny potencjał. </w:t>
      </w:r>
    </w:p>
    <w:p w14:paraId="71B6EEB0" w14:textId="77777777" w:rsidR="00811993" w:rsidRPr="002F7850" w:rsidRDefault="002F7850" w:rsidP="000F19F7">
      <w:pPr>
        <w:spacing w:before="120" w:after="120" w:line="276" w:lineRule="auto"/>
        <w:jc w:val="both"/>
        <w:rPr>
          <w:rFonts w:ascii="Arial" w:hAnsi="Arial" w:cs="Arial"/>
          <w:sz w:val="20"/>
          <w:szCs w:val="20"/>
        </w:rPr>
      </w:pPr>
      <w:r w:rsidRPr="002F7850">
        <w:rPr>
          <w:rFonts w:ascii="Arial" w:hAnsi="Arial" w:cs="Arial"/>
          <w:sz w:val="20"/>
          <w:szCs w:val="20"/>
        </w:rPr>
        <w:t xml:space="preserve">Projekt polega na wdrożeniu i utrzymaniu elektronicznego Portalu e-usług w Zarządzie Morskiego Portu Gdynia S.A., a także optymalizacji do potrzeb przedsiębiorstwa wraz z jego integracją z systemem rządowym tj. Platformą e–Zamówienia. Wdrożone, uruchomione i zintegrowane oprogramowanie służyć będzie przeprowadzaniu postępowań przetargowych wraz z ich archiwizacją oraz komunikacją </w:t>
      </w:r>
      <w:r w:rsidR="003A6B55">
        <w:rPr>
          <w:rFonts w:ascii="Arial" w:hAnsi="Arial" w:cs="Arial"/>
          <w:sz w:val="20"/>
          <w:szCs w:val="20"/>
        </w:rPr>
        <w:br/>
      </w:r>
      <w:r w:rsidRPr="002F7850">
        <w:rPr>
          <w:rFonts w:ascii="Arial" w:hAnsi="Arial" w:cs="Arial"/>
          <w:sz w:val="20"/>
          <w:szCs w:val="20"/>
        </w:rPr>
        <w:t>z Wykonawcami w formie elektronicznej zgodnie z Ustawą Prawo zamówień publicznych.</w:t>
      </w:r>
    </w:p>
    <w:p w14:paraId="11EFC2F6" w14:textId="77777777" w:rsidR="002F7850" w:rsidRPr="00190D2C" w:rsidRDefault="002F7850" w:rsidP="00BF76C0">
      <w:pPr>
        <w:pStyle w:val="Akapitzlist"/>
        <w:numPr>
          <w:ilvl w:val="0"/>
          <w:numId w:val="3"/>
        </w:numPr>
        <w:spacing w:after="0" w:line="276" w:lineRule="auto"/>
        <w:jc w:val="both"/>
        <w:rPr>
          <w:rFonts w:ascii="Arial" w:hAnsi="Arial" w:cs="Arial"/>
          <w:b/>
          <w:sz w:val="20"/>
          <w:szCs w:val="20"/>
        </w:rPr>
      </w:pPr>
      <w:bookmarkStart w:id="14" w:name="_Toc1558201"/>
      <w:r w:rsidRPr="00190D2C">
        <w:rPr>
          <w:rFonts w:ascii="Arial" w:hAnsi="Arial" w:cs="Arial"/>
          <w:b/>
          <w:sz w:val="20"/>
          <w:szCs w:val="20"/>
        </w:rPr>
        <w:t>System do rozliczania opłaty deszczowej – Intero</w:t>
      </w:r>
      <w:bookmarkEnd w:id="14"/>
    </w:p>
    <w:p w14:paraId="361715EF" w14:textId="77777777" w:rsidR="002F7850" w:rsidRPr="002F7850" w:rsidRDefault="002F7850" w:rsidP="002C29B7">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4. pn. Port przyjazny otoczeniu. </w:t>
      </w:r>
    </w:p>
    <w:p w14:paraId="2EB13F00" w14:textId="77777777" w:rsidR="002F7850" w:rsidRPr="002F7850" w:rsidRDefault="002F7850" w:rsidP="004230D3">
      <w:pPr>
        <w:spacing w:before="120" w:after="120" w:line="276" w:lineRule="auto"/>
        <w:jc w:val="both"/>
        <w:rPr>
          <w:rFonts w:ascii="Arial" w:hAnsi="Arial" w:cs="Arial"/>
          <w:sz w:val="20"/>
          <w:szCs w:val="20"/>
        </w:rPr>
      </w:pPr>
      <w:r w:rsidRPr="002F7850">
        <w:rPr>
          <w:rFonts w:ascii="Arial" w:hAnsi="Arial" w:cs="Arial"/>
          <w:sz w:val="20"/>
          <w:szCs w:val="20"/>
        </w:rPr>
        <w:t xml:space="preserve">Projekt polegał na zbudowaniu systemu informatycznego ułatwiającego rozliczanie opłat za usługi wodne. W ramach II edycji programu Space3ac, Zarząd Morskiego Portu Gdynia S.A. podjął współpracę z firmą Inero Software. Współpraca polegała na stworzeniu systemu informatycznego ułatwiającego rozliczanie opłat za usługi wodne (tzw. opłaty deszczowej) w myśl ustawy z dnia 20 lipca </w:t>
      </w:r>
      <w:r w:rsidR="004230D3">
        <w:rPr>
          <w:rFonts w:ascii="Arial" w:hAnsi="Arial" w:cs="Arial"/>
          <w:sz w:val="20"/>
          <w:szCs w:val="20"/>
        </w:rPr>
        <w:t>2017 r. - Prawo wodne (Dz. U.</w:t>
      </w:r>
      <w:r w:rsidRPr="002F7850">
        <w:rPr>
          <w:rFonts w:ascii="Arial" w:hAnsi="Arial" w:cs="Arial"/>
          <w:sz w:val="20"/>
          <w:szCs w:val="20"/>
        </w:rPr>
        <w:t xml:space="preserve"> 2017, poz. 1566). System INTERO, działający w formie usługi SaaS (Software as </w:t>
      </w:r>
      <w:r w:rsidR="004230D3">
        <w:rPr>
          <w:rFonts w:ascii="Arial" w:hAnsi="Arial" w:cs="Arial"/>
          <w:sz w:val="20"/>
          <w:szCs w:val="20"/>
        </w:rPr>
        <w:br/>
      </w:r>
      <w:r w:rsidRPr="002F7850">
        <w:rPr>
          <w:rFonts w:ascii="Arial" w:hAnsi="Arial" w:cs="Arial"/>
          <w:sz w:val="20"/>
          <w:szCs w:val="20"/>
        </w:rPr>
        <w:t>a Service), został opracowany przez przedsiębiorstwo ty</w:t>
      </w:r>
      <w:r w:rsidR="004230D3">
        <w:rPr>
          <w:rFonts w:ascii="Arial" w:hAnsi="Arial" w:cs="Arial"/>
          <w:sz w:val="20"/>
          <w:szCs w:val="20"/>
        </w:rPr>
        <w:t>pu Startup w oparciu o dane, m.in. operaty wodnoprawne,</w:t>
      </w:r>
      <w:r w:rsidRPr="002F7850">
        <w:rPr>
          <w:rFonts w:ascii="Arial" w:hAnsi="Arial" w:cs="Arial"/>
          <w:sz w:val="20"/>
          <w:szCs w:val="20"/>
        </w:rPr>
        <w:t xml:space="preserve"> pozyskane od ZMPG</w:t>
      </w:r>
      <w:r w:rsidR="004230D3">
        <w:rPr>
          <w:rFonts w:ascii="Arial" w:hAnsi="Arial" w:cs="Arial"/>
          <w:sz w:val="20"/>
          <w:szCs w:val="20"/>
        </w:rPr>
        <w:t xml:space="preserve"> S.A</w:t>
      </w:r>
      <w:r w:rsidRPr="002F7850">
        <w:rPr>
          <w:rFonts w:ascii="Arial" w:hAnsi="Arial" w:cs="Arial"/>
          <w:sz w:val="20"/>
          <w:szCs w:val="20"/>
        </w:rPr>
        <w:t>.</w:t>
      </w:r>
    </w:p>
    <w:p w14:paraId="60CAC049" w14:textId="77777777" w:rsidR="002F7850" w:rsidRPr="002C29B7" w:rsidRDefault="002F7850" w:rsidP="00BF76C0">
      <w:pPr>
        <w:pStyle w:val="Akapitzlist"/>
        <w:keepNext/>
        <w:keepLines/>
        <w:numPr>
          <w:ilvl w:val="0"/>
          <w:numId w:val="3"/>
        </w:numPr>
        <w:spacing w:after="0" w:line="240" w:lineRule="auto"/>
        <w:jc w:val="both"/>
        <w:outlineLvl w:val="1"/>
        <w:rPr>
          <w:rFonts w:ascii="Arial" w:hAnsi="Arial" w:cs="Arial"/>
          <w:b/>
          <w:sz w:val="20"/>
          <w:szCs w:val="20"/>
        </w:rPr>
      </w:pPr>
      <w:bookmarkStart w:id="15" w:name="_Toc535836163"/>
      <w:bookmarkStart w:id="16" w:name="_Toc1558202"/>
      <w:r w:rsidRPr="002C29B7">
        <w:rPr>
          <w:rFonts w:ascii="Arial" w:hAnsi="Arial" w:cs="Arial"/>
          <w:b/>
          <w:sz w:val="20"/>
          <w:szCs w:val="20"/>
        </w:rPr>
        <w:t xml:space="preserve">Bunkrowanie paliwa LNG w Porcie Gdynia Nabrzeże-Statek, instrukcja do bunkrowania, Rozporządzenie </w:t>
      </w:r>
      <w:r w:rsidRPr="002C29B7">
        <w:rPr>
          <w:rFonts w:ascii="Arial" w:hAnsi="Arial" w:cs="Arial"/>
          <w:b/>
          <w:sz w:val="20"/>
          <w:szCs w:val="20"/>
        </w:rPr>
        <w:br/>
        <w:t>i Legislacja</w:t>
      </w:r>
      <w:bookmarkEnd w:id="15"/>
      <w:bookmarkEnd w:id="16"/>
      <w:r w:rsidRPr="002C29B7">
        <w:rPr>
          <w:rFonts w:ascii="Arial" w:hAnsi="Arial" w:cs="Arial"/>
          <w:b/>
          <w:sz w:val="20"/>
          <w:szCs w:val="20"/>
        </w:rPr>
        <w:t xml:space="preserve"> </w:t>
      </w:r>
    </w:p>
    <w:p w14:paraId="5D3F8FD4" w14:textId="77777777" w:rsidR="002F7850" w:rsidRPr="002F7850" w:rsidRDefault="002F7850" w:rsidP="002C29B7">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2 pn. Nowoczesny potencjał oraz w priorytecie 4 pn. Port przyjazny otoczeniu.  </w:t>
      </w:r>
    </w:p>
    <w:p w14:paraId="6A7D93A7" w14:textId="77777777" w:rsidR="002F7850" w:rsidRPr="002F7850" w:rsidRDefault="002F7850" w:rsidP="00D4571F">
      <w:pPr>
        <w:spacing w:before="120" w:after="120" w:line="276" w:lineRule="auto"/>
        <w:jc w:val="both"/>
        <w:rPr>
          <w:rFonts w:ascii="Arial" w:hAnsi="Arial" w:cs="Arial"/>
          <w:sz w:val="20"/>
          <w:szCs w:val="20"/>
        </w:rPr>
      </w:pPr>
      <w:r w:rsidRPr="002F7850">
        <w:rPr>
          <w:rFonts w:ascii="Arial" w:hAnsi="Arial" w:cs="Arial"/>
          <w:sz w:val="20"/>
          <w:szCs w:val="20"/>
        </w:rPr>
        <w:t>Projekt polega na przygotowaniu miejsca i procedur administracyjnych do bunkrowania paliwem LNG jednostek pływających w Porcie Gdynia. Działania w jego ramach umożliwią zaoferowanie usługi bunkrowania dla statków, w tym nowo powstającej floty zasilanej LNG, co jest związane z większą ilością zawinięć jednostek pływających do Portu Gdynia. W ramach projektu nastąpi wdrożenie usługi bunkrowania paliwa LNG w Porcie Gdynia, usługa ta przyczyni się do podniesienia konkurencyjności Portu Gd</w:t>
      </w:r>
      <w:r w:rsidR="00E87F34" w:rsidRPr="00E87F34">
        <w:rPr>
          <w:rFonts w:ascii="Arial" w:hAnsi="Arial" w:cs="Arial"/>
          <w:sz w:val="20"/>
          <w:szCs w:val="20"/>
        </w:rPr>
        <w:t xml:space="preserve">ynia na arenie międzynarodowej. </w:t>
      </w:r>
      <w:r w:rsidRPr="002F7850">
        <w:rPr>
          <w:rFonts w:ascii="Arial" w:hAnsi="Arial" w:cs="Arial"/>
          <w:sz w:val="20"/>
          <w:szCs w:val="20"/>
        </w:rPr>
        <w:t xml:space="preserve">Związana jest z </w:t>
      </w:r>
      <w:r w:rsidR="00716B73" w:rsidRPr="00E87F34">
        <w:rPr>
          <w:rFonts w:ascii="Arial" w:hAnsi="Arial" w:cs="Arial"/>
          <w:sz w:val="20"/>
          <w:szCs w:val="20"/>
        </w:rPr>
        <w:t>wymogami dyrektywy Parlamentu Europejskiego i Rady 2014/94/UE z dnia 22 października 2014 r. w sprawie rozwoju infrastruktury paliw alternatywnych (Dz.</w:t>
      </w:r>
      <w:r w:rsidR="00E87F34" w:rsidRPr="00E87F34">
        <w:rPr>
          <w:rFonts w:ascii="Arial" w:hAnsi="Arial" w:cs="Arial"/>
          <w:sz w:val="20"/>
          <w:szCs w:val="20"/>
        </w:rPr>
        <w:t xml:space="preserve"> </w:t>
      </w:r>
      <w:r w:rsidR="00716B73" w:rsidRPr="00E87F34">
        <w:rPr>
          <w:rFonts w:ascii="Arial" w:hAnsi="Arial" w:cs="Arial"/>
          <w:sz w:val="20"/>
          <w:szCs w:val="20"/>
        </w:rPr>
        <w:t>Urz.</w:t>
      </w:r>
      <w:r w:rsidR="00E87F34" w:rsidRPr="00E87F34">
        <w:rPr>
          <w:rFonts w:ascii="Arial" w:hAnsi="Arial" w:cs="Arial"/>
          <w:sz w:val="20"/>
          <w:szCs w:val="20"/>
        </w:rPr>
        <w:t xml:space="preserve"> UE z dnia 28.10.2014, L 307/1)</w:t>
      </w:r>
      <w:r w:rsidR="00716B73" w:rsidRPr="00E87F34">
        <w:rPr>
          <w:rFonts w:ascii="Arial" w:hAnsi="Arial" w:cs="Arial"/>
          <w:sz w:val="20"/>
          <w:szCs w:val="20"/>
        </w:rPr>
        <w:t>, zgodnie z którą do 2025 r.</w:t>
      </w:r>
      <w:r w:rsidRPr="002F7850">
        <w:rPr>
          <w:rFonts w:ascii="Arial" w:hAnsi="Arial" w:cs="Arial"/>
          <w:sz w:val="20"/>
          <w:szCs w:val="20"/>
        </w:rPr>
        <w:t xml:space="preserve"> powinny powstać punkty bunkrowania LNG w portach sieci TEN-T. Wdrożenie usługi bunkrowania LNG zwiększy wachlarz usług w Porcie Gdynia oraz przyczyni się ograniczania szkodliwych produktów spalin pochodzących z paliw tradycyjnych opartych na ropie naftowej. Dodatkowo, wdrożenie usługi bunkrowania LNG w Porcie Gdynia wpłynie pozytywnie na rozwój łańcucha logistycznego tego paliwa w Polsce.  </w:t>
      </w:r>
    </w:p>
    <w:p w14:paraId="6E964D20" w14:textId="77777777" w:rsidR="002F7850" w:rsidRPr="00A0553A" w:rsidRDefault="002F7850" w:rsidP="00BF76C0">
      <w:pPr>
        <w:pStyle w:val="Akapitzlist"/>
        <w:keepNext/>
        <w:keepLines/>
        <w:numPr>
          <w:ilvl w:val="0"/>
          <w:numId w:val="3"/>
        </w:numPr>
        <w:spacing w:after="0" w:line="240" w:lineRule="auto"/>
        <w:jc w:val="both"/>
        <w:outlineLvl w:val="1"/>
        <w:rPr>
          <w:rFonts w:ascii="Arial" w:hAnsi="Arial" w:cs="Arial"/>
          <w:b/>
          <w:sz w:val="20"/>
          <w:szCs w:val="20"/>
        </w:rPr>
      </w:pPr>
      <w:bookmarkStart w:id="17" w:name="_Toc1558203"/>
      <w:r w:rsidRPr="00A0553A">
        <w:rPr>
          <w:rFonts w:ascii="Arial" w:hAnsi="Arial" w:cs="Arial"/>
          <w:b/>
          <w:sz w:val="20"/>
          <w:szCs w:val="20"/>
        </w:rPr>
        <w:t>Żegluga wycieczkowa na Morzu Bałtyckim</w:t>
      </w:r>
      <w:bookmarkEnd w:id="17"/>
    </w:p>
    <w:p w14:paraId="1719AE34"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roku. Zapisy te uwzględniono </w:t>
      </w:r>
      <w:r w:rsidR="00423763">
        <w:rPr>
          <w:rFonts w:ascii="Arial" w:hAnsi="Arial" w:cs="Arial"/>
          <w:sz w:val="20"/>
          <w:szCs w:val="20"/>
        </w:rPr>
        <w:br/>
      </w:r>
      <w:r w:rsidRPr="002F7850">
        <w:rPr>
          <w:rFonts w:ascii="Arial" w:hAnsi="Arial" w:cs="Arial"/>
          <w:sz w:val="20"/>
          <w:szCs w:val="20"/>
        </w:rPr>
        <w:t xml:space="preserve">w priorytecie 1 pn. Utrzymanie uniwersalnego charakteru portu i posiadanych przewag rynkowych. </w:t>
      </w:r>
    </w:p>
    <w:p w14:paraId="4F3CB1D1"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polegał na wykonaniu analizy oraz badań rejonu Morza Bałtyckiego w </w:t>
      </w:r>
      <w:r w:rsidR="00423763">
        <w:rPr>
          <w:rFonts w:ascii="Arial" w:hAnsi="Arial" w:cs="Arial"/>
          <w:sz w:val="20"/>
          <w:szCs w:val="20"/>
        </w:rPr>
        <w:t>zakresie</w:t>
      </w:r>
      <w:r w:rsidRPr="002F7850">
        <w:rPr>
          <w:rFonts w:ascii="Arial" w:hAnsi="Arial" w:cs="Arial"/>
          <w:sz w:val="20"/>
          <w:szCs w:val="20"/>
        </w:rPr>
        <w:t xml:space="preserve"> oferty armatorów statków wycieczkowych. Opracowano dokument pn. </w:t>
      </w:r>
      <w:r w:rsidR="00423763">
        <w:rPr>
          <w:rFonts w:ascii="Arial" w:hAnsi="Arial" w:cs="Arial"/>
          <w:sz w:val="20"/>
          <w:szCs w:val="20"/>
        </w:rPr>
        <w:t>„</w:t>
      </w:r>
      <w:r w:rsidRPr="002F7850">
        <w:rPr>
          <w:rFonts w:ascii="Arial" w:hAnsi="Arial" w:cs="Arial"/>
          <w:sz w:val="20"/>
          <w:szCs w:val="20"/>
        </w:rPr>
        <w:t>Żegluga wycieczkowa na Morzu Bałtyckim</w:t>
      </w:r>
      <w:r w:rsidR="00423763">
        <w:rPr>
          <w:rFonts w:ascii="Arial" w:hAnsi="Arial" w:cs="Arial"/>
          <w:sz w:val="20"/>
          <w:szCs w:val="20"/>
        </w:rPr>
        <w:t>”</w:t>
      </w:r>
      <w:r w:rsidRPr="002F7850">
        <w:rPr>
          <w:rFonts w:ascii="Arial" w:hAnsi="Arial" w:cs="Arial"/>
          <w:sz w:val="20"/>
          <w:szCs w:val="20"/>
        </w:rPr>
        <w:t xml:space="preserve">, który zawiera informacje </w:t>
      </w:r>
      <w:r w:rsidR="00423763">
        <w:rPr>
          <w:rFonts w:ascii="Arial" w:hAnsi="Arial" w:cs="Arial"/>
          <w:sz w:val="20"/>
          <w:szCs w:val="20"/>
        </w:rPr>
        <w:t>o turystycznej atrakcyjności r</w:t>
      </w:r>
      <w:r w:rsidRPr="002F7850">
        <w:rPr>
          <w:rFonts w:ascii="Arial" w:hAnsi="Arial" w:cs="Arial"/>
          <w:sz w:val="20"/>
          <w:szCs w:val="20"/>
        </w:rPr>
        <w:t xml:space="preserve">egionu Morza Bałtyckiego, morskich połączeniach liniowych o charakterze turystycznym oraz o strukturze przewozów morskimi statkami wycieczkowymi na Bałtyku. Podstawą przygotowania opracowania były prace nad projektem pn. </w:t>
      </w:r>
      <w:r w:rsidR="00A15F3D">
        <w:rPr>
          <w:rFonts w:ascii="Arial" w:hAnsi="Arial" w:cs="Arial"/>
          <w:sz w:val="20"/>
          <w:szCs w:val="20"/>
        </w:rPr>
        <w:t>„</w:t>
      </w:r>
      <w:r w:rsidRPr="002F7850">
        <w:rPr>
          <w:rFonts w:ascii="Arial" w:hAnsi="Arial" w:cs="Arial"/>
          <w:sz w:val="20"/>
          <w:szCs w:val="20"/>
        </w:rPr>
        <w:t>Wykonanie koncepcji zagospodarowania pirsu Mola Rybackiego w Gdyni</w:t>
      </w:r>
      <w:r w:rsidR="00A15F3D">
        <w:rPr>
          <w:rFonts w:ascii="Arial" w:hAnsi="Arial" w:cs="Arial"/>
          <w:sz w:val="20"/>
          <w:szCs w:val="20"/>
        </w:rPr>
        <w:t>”</w:t>
      </w:r>
      <w:r w:rsidRPr="002F7850">
        <w:rPr>
          <w:rFonts w:ascii="Arial" w:hAnsi="Arial" w:cs="Arial"/>
          <w:sz w:val="20"/>
          <w:szCs w:val="20"/>
        </w:rPr>
        <w:t xml:space="preserve">. Zadaniem analizy i badania obecnej sytuacji </w:t>
      </w:r>
      <w:r w:rsidR="00A15F3D">
        <w:rPr>
          <w:rFonts w:ascii="Arial" w:hAnsi="Arial" w:cs="Arial"/>
          <w:sz w:val="20"/>
          <w:szCs w:val="20"/>
        </w:rPr>
        <w:t>oraz</w:t>
      </w:r>
      <w:r w:rsidRPr="002F7850">
        <w:rPr>
          <w:rFonts w:ascii="Arial" w:hAnsi="Arial" w:cs="Arial"/>
          <w:sz w:val="20"/>
          <w:szCs w:val="20"/>
        </w:rPr>
        <w:t xml:space="preserve"> przyszły</w:t>
      </w:r>
      <w:r w:rsidR="00A15F3D">
        <w:rPr>
          <w:rFonts w:ascii="Arial" w:hAnsi="Arial" w:cs="Arial"/>
          <w:sz w:val="20"/>
          <w:szCs w:val="20"/>
        </w:rPr>
        <w:t>ch zmian wśród innych oferentów</w:t>
      </w:r>
      <w:r w:rsidRPr="002F7850">
        <w:rPr>
          <w:rFonts w:ascii="Arial" w:hAnsi="Arial" w:cs="Arial"/>
          <w:sz w:val="20"/>
          <w:szCs w:val="20"/>
        </w:rPr>
        <w:t xml:space="preserve"> podobnych usług portowych, było zbadanie innowacyjnego podejścia do obsługi pasażerów wycieczkowców.</w:t>
      </w:r>
    </w:p>
    <w:p w14:paraId="667E9037" w14:textId="77777777" w:rsidR="002F7850" w:rsidRPr="002F7850" w:rsidRDefault="002F7850" w:rsidP="00D4571F">
      <w:pPr>
        <w:spacing w:before="120" w:after="120" w:line="276" w:lineRule="auto"/>
        <w:jc w:val="both"/>
        <w:rPr>
          <w:rFonts w:ascii="Arial" w:hAnsi="Arial" w:cs="Arial"/>
          <w:sz w:val="20"/>
          <w:szCs w:val="20"/>
        </w:rPr>
      </w:pPr>
      <w:r w:rsidRPr="002F7850">
        <w:rPr>
          <w:rFonts w:ascii="Arial" w:hAnsi="Arial" w:cs="Arial"/>
          <w:sz w:val="20"/>
          <w:szCs w:val="20"/>
        </w:rPr>
        <w:t xml:space="preserve">Celem projektu jest zwiększenie liczby miejsc zwinięć wycieczkowców i podniesienie konkurencyjności Portu Gdynia i Miasta Gdynia. </w:t>
      </w:r>
    </w:p>
    <w:p w14:paraId="206F8066" w14:textId="77777777" w:rsidR="002F7850" w:rsidRPr="00921756" w:rsidRDefault="002F7850" w:rsidP="00BF76C0">
      <w:pPr>
        <w:pStyle w:val="Akapitzlist"/>
        <w:keepNext/>
        <w:keepLines/>
        <w:numPr>
          <w:ilvl w:val="0"/>
          <w:numId w:val="3"/>
        </w:numPr>
        <w:spacing w:after="0" w:line="240" w:lineRule="auto"/>
        <w:jc w:val="both"/>
        <w:outlineLvl w:val="1"/>
        <w:rPr>
          <w:rFonts w:ascii="Arial" w:hAnsi="Arial" w:cs="Arial"/>
          <w:b/>
          <w:sz w:val="20"/>
          <w:szCs w:val="20"/>
        </w:rPr>
      </w:pPr>
      <w:bookmarkStart w:id="18" w:name="_Toc535561264"/>
      <w:bookmarkStart w:id="19" w:name="_Toc1558204"/>
      <w:r w:rsidRPr="00921756">
        <w:rPr>
          <w:rFonts w:ascii="Arial" w:hAnsi="Arial" w:cs="Arial"/>
          <w:b/>
          <w:sz w:val="20"/>
          <w:szCs w:val="20"/>
        </w:rPr>
        <w:t xml:space="preserve">Wyposażenie nabrzeży w Porcie Gdynia w Wyposażenie nabrzeży w Porcie Gdynia </w:t>
      </w:r>
      <w:r w:rsidR="00D4571F">
        <w:rPr>
          <w:rFonts w:ascii="Arial" w:hAnsi="Arial" w:cs="Arial"/>
          <w:b/>
          <w:sz w:val="20"/>
          <w:szCs w:val="20"/>
        </w:rPr>
        <w:br/>
      </w:r>
      <w:r w:rsidRPr="00921756">
        <w:rPr>
          <w:rFonts w:ascii="Arial" w:hAnsi="Arial" w:cs="Arial"/>
          <w:b/>
          <w:sz w:val="20"/>
          <w:szCs w:val="20"/>
        </w:rPr>
        <w:t>w automatyczne urządzenia cumownicze oraz stworzenie zarządzającego i kontrolującego je wspólnego systemu IT</w:t>
      </w:r>
      <w:bookmarkEnd w:id="18"/>
      <w:bookmarkEnd w:id="19"/>
    </w:p>
    <w:p w14:paraId="709D8A8A"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2 </w:t>
      </w:r>
      <w:r w:rsidRPr="002F7850">
        <w:rPr>
          <w:rFonts w:ascii="Arial" w:hAnsi="Arial" w:cs="Arial"/>
          <w:sz w:val="20"/>
          <w:szCs w:val="20"/>
        </w:rPr>
        <w:br/>
        <w:t xml:space="preserve">pn. Nowoczesny potencjał oraz w priorytecie 3 pn. Pełna dostępność transportowa do portu jako warunek rozwoju multimodalnej platformy logistycznej. </w:t>
      </w:r>
    </w:p>
    <w:p w14:paraId="66D8C6E4"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Projekt polega na zamontowaniu na wybranych nabrzeżach w Porcie Gdynia systemu automatycznych urządzeń cumowniczych działających na zasadzie wytwarzania próżni. W ramach projektu będzie również opracowana analiza, w wyniku której dokonany zostanie wybór nabrzeży, gdzie zamontowane zostaną automatyczne urządzenia cumownicze. Projekt zakłada także opracowanie zarządzającego</w:t>
      </w:r>
      <w:r w:rsidR="00D4571F">
        <w:rPr>
          <w:rFonts w:ascii="Arial" w:hAnsi="Arial" w:cs="Arial"/>
          <w:sz w:val="20"/>
          <w:szCs w:val="20"/>
        </w:rPr>
        <w:br/>
      </w:r>
      <w:r w:rsidRPr="002F7850">
        <w:rPr>
          <w:rFonts w:ascii="Arial" w:hAnsi="Arial" w:cs="Arial"/>
          <w:sz w:val="20"/>
          <w:szCs w:val="20"/>
        </w:rPr>
        <w:t>i kontrolującego je systemu IT</w:t>
      </w:r>
      <w:r w:rsidR="00D4571F">
        <w:rPr>
          <w:rFonts w:ascii="Arial" w:hAnsi="Arial" w:cs="Arial"/>
          <w:sz w:val="20"/>
          <w:szCs w:val="20"/>
        </w:rPr>
        <w:t>,</w:t>
      </w:r>
      <w:r w:rsidRPr="002F7850">
        <w:rPr>
          <w:rFonts w:ascii="Arial" w:hAnsi="Arial" w:cs="Arial"/>
          <w:sz w:val="20"/>
          <w:szCs w:val="20"/>
        </w:rPr>
        <w:t xml:space="preserve"> gdzie będą zamieszczone, archiwizowane, uaktualniane oraz regularnie używane dane dotyczące statków cumujących w Porcie Gdynia.</w:t>
      </w:r>
    </w:p>
    <w:p w14:paraId="25531549" w14:textId="77777777" w:rsidR="002F7850" w:rsidRPr="002F7850" w:rsidRDefault="002F7850" w:rsidP="008A7DB1">
      <w:pPr>
        <w:spacing w:before="120" w:after="120" w:line="276" w:lineRule="auto"/>
        <w:jc w:val="both"/>
        <w:rPr>
          <w:rFonts w:ascii="Arial" w:hAnsi="Arial" w:cs="Arial"/>
          <w:sz w:val="20"/>
          <w:szCs w:val="20"/>
        </w:rPr>
      </w:pPr>
      <w:r w:rsidRPr="002F7850">
        <w:rPr>
          <w:rFonts w:ascii="Arial" w:hAnsi="Arial" w:cs="Arial"/>
          <w:sz w:val="20"/>
          <w:szCs w:val="20"/>
        </w:rPr>
        <w:t>Celem projektu jest zapew</w:t>
      </w:r>
      <w:r w:rsidR="00F67E64">
        <w:rPr>
          <w:rFonts w:ascii="Arial" w:hAnsi="Arial" w:cs="Arial"/>
          <w:sz w:val="20"/>
          <w:szCs w:val="20"/>
        </w:rPr>
        <w:t>nienie usługi cumowania statków</w:t>
      </w:r>
      <w:r w:rsidRPr="002F7850">
        <w:rPr>
          <w:rFonts w:ascii="Arial" w:hAnsi="Arial" w:cs="Arial"/>
          <w:sz w:val="20"/>
          <w:szCs w:val="20"/>
        </w:rPr>
        <w:t xml:space="preserve"> w sposób automatyczny, szybszy </w:t>
      </w:r>
      <w:r w:rsidR="00D4571F">
        <w:rPr>
          <w:rFonts w:ascii="Arial" w:hAnsi="Arial" w:cs="Arial"/>
          <w:sz w:val="20"/>
          <w:szCs w:val="20"/>
        </w:rPr>
        <w:br/>
      </w:r>
      <w:r w:rsidRPr="002F7850">
        <w:rPr>
          <w:rFonts w:ascii="Arial" w:hAnsi="Arial" w:cs="Arial"/>
          <w:sz w:val="20"/>
          <w:szCs w:val="20"/>
        </w:rPr>
        <w:t xml:space="preserve">i bezpieczniejszy niż tradycyjny, a także podniesienie poziomu konkurencyjności portu morskiego </w:t>
      </w:r>
      <w:r w:rsidR="00D4571F">
        <w:rPr>
          <w:rFonts w:ascii="Arial" w:hAnsi="Arial" w:cs="Arial"/>
          <w:sz w:val="20"/>
          <w:szCs w:val="20"/>
        </w:rPr>
        <w:br/>
      </w:r>
      <w:r w:rsidRPr="002F7850">
        <w:rPr>
          <w:rFonts w:ascii="Arial" w:hAnsi="Arial" w:cs="Arial"/>
          <w:sz w:val="20"/>
          <w:szCs w:val="20"/>
        </w:rPr>
        <w:t>w Gdyni na arenie międzynarodowej.</w:t>
      </w:r>
      <w:r w:rsidR="008A7DB1">
        <w:rPr>
          <w:rFonts w:ascii="Arial" w:hAnsi="Arial" w:cs="Arial"/>
          <w:sz w:val="20"/>
          <w:szCs w:val="20"/>
        </w:rPr>
        <w:t xml:space="preserve"> </w:t>
      </w:r>
      <w:r w:rsidRPr="002F7850">
        <w:rPr>
          <w:rFonts w:ascii="Arial" w:hAnsi="Arial" w:cs="Arial"/>
          <w:sz w:val="20"/>
          <w:szCs w:val="20"/>
        </w:rPr>
        <w:t>Projekt został złożony do programu CEF Transport 2018 w celu pozyskania dofinansowania na jego realizację.</w:t>
      </w:r>
    </w:p>
    <w:p w14:paraId="7F64600A" w14:textId="77777777" w:rsidR="002F7850" w:rsidRPr="008A7DB1" w:rsidRDefault="002F7850" w:rsidP="00BF76C0">
      <w:pPr>
        <w:pStyle w:val="Akapitzlist"/>
        <w:keepNext/>
        <w:keepLines/>
        <w:numPr>
          <w:ilvl w:val="0"/>
          <w:numId w:val="3"/>
        </w:numPr>
        <w:spacing w:after="0" w:line="240" w:lineRule="auto"/>
        <w:jc w:val="both"/>
        <w:outlineLvl w:val="1"/>
        <w:rPr>
          <w:rFonts w:ascii="Arial" w:hAnsi="Arial" w:cs="Arial"/>
          <w:b/>
          <w:sz w:val="20"/>
          <w:szCs w:val="20"/>
        </w:rPr>
      </w:pPr>
      <w:bookmarkStart w:id="20" w:name="_Toc1558205"/>
      <w:r w:rsidRPr="00921756">
        <w:rPr>
          <w:rFonts w:ascii="Arial" w:hAnsi="Arial" w:cs="Arial"/>
          <w:b/>
          <w:sz w:val="20"/>
          <w:szCs w:val="20"/>
        </w:rPr>
        <w:t>Pyły we wschodniej części portu, analiza rozwiązań technicznych i instytucjonalnych</w:t>
      </w:r>
      <w:bookmarkEnd w:id="20"/>
    </w:p>
    <w:p w14:paraId="48C56D9F"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w:t>
      </w:r>
      <w:r w:rsidR="008A7DB1">
        <w:rPr>
          <w:rFonts w:ascii="Arial" w:hAnsi="Arial" w:cs="Arial"/>
          <w:sz w:val="20"/>
          <w:szCs w:val="20"/>
        </w:rPr>
        <w:br/>
      </w:r>
      <w:r w:rsidRPr="002F7850">
        <w:rPr>
          <w:rFonts w:ascii="Arial" w:hAnsi="Arial" w:cs="Arial"/>
          <w:sz w:val="20"/>
          <w:szCs w:val="20"/>
        </w:rPr>
        <w:t xml:space="preserve">1 pn. Utrzymanie uniwersalnego charakteru portu i posiadanych przewag rynkowych oraz w priorytecie 4 pn. Port przyjazny otoczeniu. </w:t>
      </w:r>
    </w:p>
    <w:p w14:paraId="590B4EB1"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W ramach projektu dokonano przeglądu bieżącej sytuacji w pobliżu Nabrzeży Francuskiego </w:t>
      </w:r>
      <w:r w:rsidR="008A7DB1">
        <w:rPr>
          <w:rFonts w:ascii="Arial" w:hAnsi="Arial" w:cs="Arial"/>
          <w:sz w:val="20"/>
          <w:szCs w:val="20"/>
        </w:rPr>
        <w:br/>
      </w:r>
      <w:r w:rsidRPr="002F7850">
        <w:rPr>
          <w:rFonts w:ascii="Arial" w:hAnsi="Arial" w:cs="Arial"/>
          <w:sz w:val="20"/>
          <w:szCs w:val="20"/>
        </w:rPr>
        <w:t xml:space="preserve">i Holenderskiego. Zapoznano się z technologią i techniką prowadzenia przeładunku węgla przez Morski Terminal Masowy Gdynia Sp. z o.o. (MTMG). Przeprowadzono rozpoznanie technik stosowanych na świecie w celu ograniczenia emisji pyłów z hałd węglowych i miejsc przeładunku ładunków sypkich. </w:t>
      </w:r>
    </w:p>
    <w:p w14:paraId="21D6C5A7" w14:textId="77777777" w:rsidR="002F7850" w:rsidRPr="008A7DB1" w:rsidRDefault="002F7850" w:rsidP="00BF76C0">
      <w:pPr>
        <w:pStyle w:val="Akapitzlist"/>
        <w:keepNext/>
        <w:keepLines/>
        <w:numPr>
          <w:ilvl w:val="0"/>
          <w:numId w:val="3"/>
        </w:numPr>
        <w:spacing w:after="0" w:line="240" w:lineRule="auto"/>
        <w:jc w:val="both"/>
        <w:outlineLvl w:val="1"/>
        <w:rPr>
          <w:rFonts w:ascii="Arial" w:eastAsiaTheme="majorEastAsia" w:hAnsi="Arial" w:cs="Arial"/>
          <w:b/>
          <w:sz w:val="20"/>
          <w:szCs w:val="20"/>
          <w:lang w:eastAsia="pl-PL"/>
        </w:rPr>
      </w:pPr>
      <w:bookmarkStart w:id="21" w:name="_Toc1558209"/>
      <w:r w:rsidRPr="00921756">
        <w:rPr>
          <w:rFonts w:ascii="Arial" w:eastAsiaTheme="majorEastAsia" w:hAnsi="Arial" w:cs="Arial"/>
          <w:b/>
          <w:sz w:val="20"/>
          <w:szCs w:val="20"/>
          <w:lang w:eastAsia="pl-PL"/>
        </w:rPr>
        <w:t>Zagospodarowanie terenów Mola Rybackiego</w:t>
      </w:r>
      <w:bookmarkEnd w:id="21"/>
    </w:p>
    <w:p w14:paraId="476959FB"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1 pn. Utrzymanie uniwersalnego charakteru portu i posiadanych przewag rynkowych oraz priorytecie 2 pn. Nowoczesny potencjał. </w:t>
      </w:r>
    </w:p>
    <w:p w14:paraId="2FADC282"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Działania prowadzone przez ZMPG-a S.A. w kontekście Mo</w:t>
      </w:r>
      <w:r w:rsidR="00026E2D">
        <w:rPr>
          <w:rFonts w:ascii="Arial" w:hAnsi="Arial" w:cs="Arial"/>
          <w:sz w:val="20"/>
          <w:szCs w:val="20"/>
        </w:rPr>
        <w:t>la Rybackiego dotyczą utworzenia</w:t>
      </w:r>
      <w:r w:rsidRPr="002F7850">
        <w:rPr>
          <w:rFonts w:ascii="Arial" w:hAnsi="Arial" w:cs="Arial"/>
          <w:sz w:val="20"/>
          <w:szCs w:val="20"/>
        </w:rPr>
        <w:t xml:space="preserve"> naturalnej bariery odgradzającej obszary, na których prowa</w:t>
      </w:r>
      <w:r w:rsidR="00026E2D">
        <w:rPr>
          <w:rFonts w:ascii="Arial" w:hAnsi="Arial" w:cs="Arial"/>
          <w:sz w:val="20"/>
          <w:szCs w:val="20"/>
        </w:rPr>
        <w:t xml:space="preserve">dzona jest działalność portowa </w:t>
      </w:r>
      <w:r w:rsidRPr="002F7850">
        <w:rPr>
          <w:rFonts w:ascii="Arial" w:hAnsi="Arial" w:cs="Arial"/>
          <w:sz w:val="20"/>
          <w:szCs w:val="20"/>
        </w:rPr>
        <w:t xml:space="preserve">od dzielnic mieszkalno-użytkowych miasta Gdynia. Zadanie </w:t>
      </w:r>
      <w:r w:rsidR="00026E2D">
        <w:rPr>
          <w:rFonts w:ascii="Arial" w:hAnsi="Arial" w:cs="Arial"/>
          <w:sz w:val="20"/>
          <w:szCs w:val="20"/>
        </w:rPr>
        <w:t>związane</w:t>
      </w:r>
      <w:r w:rsidRPr="002F7850">
        <w:rPr>
          <w:rFonts w:ascii="Arial" w:hAnsi="Arial" w:cs="Arial"/>
          <w:sz w:val="20"/>
          <w:szCs w:val="20"/>
        </w:rPr>
        <w:t xml:space="preserve"> jest </w:t>
      </w:r>
      <w:r w:rsidR="00026E2D">
        <w:rPr>
          <w:rFonts w:ascii="Arial" w:hAnsi="Arial" w:cs="Arial"/>
          <w:sz w:val="20"/>
          <w:szCs w:val="20"/>
        </w:rPr>
        <w:t>z</w:t>
      </w:r>
      <w:r w:rsidRPr="002F7850">
        <w:rPr>
          <w:rFonts w:ascii="Arial" w:hAnsi="Arial" w:cs="Arial"/>
          <w:sz w:val="20"/>
          <w:szCs w:val="20"/>
        </w:rPr>
        <w:t xml:space="preserve"> całkowitym ograniczeni</w:t>
      </w:r>
      <w:r w:rsidR="00026E2D">
        <w:rPr>
          <w:rFonts w:ascii="Arial" w:hAnsi="Arial" w:cs="Arial"/>
          <w:sz w:val="20"/>
          <w:szCs w:val="20"/>
        </w:rPr>
        <w:t>em</w:t>
      </w:r>
      <w:r w:rsidRPr="002F7850">
        <w:rPr>
          <w:rFonts w:ascii="Arial" w:hAnsi="Arial" w:cs="Arial"/>
          <w:sz w:val="20"/>
          <w:szCs w:val="20"/>
        </w:rPr>
        <w:t xml:space="preserve"> rozwoju budownictwa mieszkaniowego na pirsie Mola Rybackiego. Dotychczasowe działania na tym obszarze w zakresie budowy mieszkań mogą stanowić zagrożenie dla realizacji inwestycji, jaką jest projekt budowy Portu Zewnętrznego w Porcie Gdynia. Sporządzono wniosek do MGMiŻŚ o zmianę granic Morskiego Portu Gdynia. Rozpatrzenie tego wniosku nastąpi po wydaniu przez MON rozporządzenia ws. granic portów wojennych. Celem zadania jest podniesienie bezpieczeństwa operacji portowych, realizacji inwestycji portowych oraz zadowolenia mieszkańców Gdyni.</w:t>
      </w:r>
    </w:p>
    <w:p w14:paraId="380BC447" w14:textId="77777777" w:rsidR="002F7850" w:rsidRPr="008A7DB1" w:rsidRDefault="002F7850" w:rsidP="00BF76C0">
      <w:pPr>
        <w:pStyle w:val="Akapitzlist"/>
        <w:keepNext/>
        <w:keepLines/>
        <w:numPr>
          <w:ilvl w:val="0"/>
          <w:numId w:val="3"/>
        </w:numPr>
        <w:spacing w:after="0" w:line="240" w:lineRule="auto"/>
        <w:jc w:val="both"/>
        <w:outlineLvl w:val="1"/>
        <w:rPr>
          <w:rFonts w:ascii="Arial" w:eastAsiaTheme="majorEastAsia" w:hAnsi="Arial" w:cs="Arial"/>
          <w:b/>
          <w:sz w:val="20"/>
          <w:szCs w:val="20"/>
          <w:lang w:eastAsia="pl-PL"/>
        </w:rPr>
      </w:pPr>
      <w:bookmarkStart w:id="22" w:name="_Toc1558210"/>
      <w:r w:rsidRPr="008A7DB1">
        <w:rPr>
          <w:rFonts w:ascii="Arial" w:eastAsiaTheme="majorEastAsia" w:hAnsi="Arial" w:cs="Arial"/>
          <w:b/>
          <w:sz w:val="20"/>
          <w:szCs w:val="20"/>
          <w:lang w:eastAsia="pl-PL"/>
        </w:rPr>
        <w:t>Digitalizacja informacji i pomiarów w Porcie Gdynia</w:t>
      </w:r>
      <w:bookmarkEnd w:id="22"/>
    </w:p>
    <w:p w14:paraId="3675A379" w14:textId="77777777" w:rsidR="002F7850" w:rsidRPr="002F7850"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1 </w:t>
      </w:r>
      <w:r w:rsidRPr="002F7850">
        <w:rPr>
          <w:rFonts w:ascii="Arial" w:hAnsi="Arial" w:cs="Arial"/>
          <w:sz w:val="20"/>
          <w:szCs w:val="20"/>
        </w:rPr>
        <w:br/>
        <w:t xml:space="preserve">pn. Utrzymanie uniwersalnego charakteru portu i posiadanych przewag rynkowych oraz w priorytecie 2 pn. Nowoczesny potencjał. </w:t>
      </w:r>
    </w:p>
    <w:p w14:paraId="5A0D1DF7" w14:textId="77777777" w:rsidR="002F7850" w:rsidRPr="002F7850" w:rsidRDefault="002F7850" w:rsidP="008A7DB1">
      <w:pPr>
        <w:spacing w:before="120" w:after="120" w:line="276" w:lineRule="auto"/>
        <w:jc w:val="both"/>
        <w:rPr>
          <w:rFonts w:ascii="Arial" w:hAnsi="Arial" w:cs="Arial"/>
          <w:sz w:val="20"/>
          <w:szCs w:val="20"/>
        </w:rPr>
      </w:pPr>
      <w:r w:rsidRPr="002F7850">
        <w:rPr>
          <w:rFonts w:ascii="Arial" w:hAnsi="Arial" w:cs="Arial"/>
          <w:sz w:val="20"/>
          <w:szCs w:val="20"/>
        </w:rPr>
        <w:t>Działania prowadzone przez</w:t>
      </w:r>
      <w:r w:rsidR="00711FE8">
        <w:rPr>
          <w:rFonts w:ascii="Arial" w:hAnsi="Arial" w:cs="Arial"/>
          <w:sz w:val="20"/>
          <w:szCs w:val="20"/>
        </w:rPr>
        <w:t xml:space="preserve"> ZMPG S.A. w zakresie d</w:t>
      </w:r>
      <w:r w:rsidRPr="002F7850">
        <w:rPr>
          <w:rFonts w:ascii="Arial" w:hAnsi="Arial" w:cs="Arial"/>
          <w:sz w:val="20"/>
          <w:szCs w:val="20"/>
        </w:rPr>
        <w:t xml:space="preserve">igitalizacji procesów portowych dotyczą stworzenia platformy informatycznej do obsługi procesów administracyjnych i biznesowych w porcie Gdynia. </w:t>
      </w:r>
    </w:p>
    <w:p w14:paraId="444371BC" w14:textId="77777777" w:rsidR="002F7850" w:rsidRPr="00921756" w:rsidRDefault="002F7850" w:rsidP="00BF76C0">
      <w:pPr>
        <w:pStyle w:val="Akapitzlist"/>
        <w:keepNext/>
        <w:keepLines/>
        <w:numPr>
          <w:ilvl w:val="0"/>
          <w:numId w:val="3"/>
        </w:numPr>
        <w:spacing w:after="0" w:line="240" w:lineRule="auto"/>
        <w:jc w:val="both"/>
        <w:outlineLvl w:val="1"/>
        <w:rPr>
          <w:rFonts w:ascii="Arial" w:hAnsi="Arial" w:cs="Arial"/>
          <w:b/>
          <w:sz w:val="20"/>
          <w:szCs w:val="20"/>
        </w:rPr>
      </w:pPr>
      <w:bookmarkStart w:id="23" w:name="_Toc1558212"/>
      <w:r w:rsidRPr="00921756">
        <w:rPr>
          <w:rFonts w:ascii="Arial" w:hAnsi="Arial" w:cs="Arial"/>
          <w:b/>
          <w:sz w:val="20"/>
          <w:szCs w:val="20"/>
        </w:rPr>
        <w:t>Offshore Port Gdynia, Analiza miejsca i technologii przeładunku w Porcie Gdynia elementów do produkcji wiatraków na rzecz realizacji projektu rządowego dotyczącego farm wiatrowych</w:t>
      </w:r>
      <w:bookmarkEnd w:id="23"/>
    </w:p>
    <w:p w14:paraId="6A6F0D70" w14:textId="77777777" w:rsidR="006D6E07"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 xml:space="preserve">Projekt wpisuje się w Strategię Rozwoju Portu Gdynia do 2027. Zapisy te uwzględniono w priorytecie 2 pn. Nowoczesny potencjał. </w:t>
      </w:r>
    </w:p>
    <w:p w14:paraId="41638137" w14:textId="77777777" w:rsidR="00ED3AAB" w:rsidRPr="009B007B" w:rsidRDefault="002F7850" w:rsidP="00921756">
      <w:pPr>
        <w:spacing w:before="120" w:after="120" w:line="276" w:lineRule="auto"/>
        <w:jc w:val="both"/>
        <w:rPr>
          <w:rFonts w:ascii="Arial" w:hAnsi="Arial" w:cs="Arial"/>
          <w:sz w:val="20"/>
          <w:szCs w:val="20"/>
        </w:rPr>
      </w:pPr>
      <w:r w:rsidRPr="002F7850">
        <w:rPr>
          <w:rFonts w:ascii="Arial" w:hAnsi="Arial" w:cs="Arial"/>
          <w:sz w:val="20"/>
          <w:szCs w:val="20"/>
        </w:rPr>
        <w:t>Projekt polega na przeanalizowaniu poszczególnych obszarów Portu Gdynia pod kątem możliwości zaadoptowania do obsługi przeładunku i montażu elementów morskich farm wiatrowych, w ramach Narodowego Programu Rozwoju Morskiej Energetyki Wiatrowej. Cele projektu skupiają się wokół opracowania analiz organizacyjno-technicznych wybranych terenów w Porcie Gdynia. Istotnym działaniem w ramach projektu jest działalność promocyjno-informacyj</w:t>
      </w:r>
      <w:r w:rsidR="00816109">
        <w:rPr>
          <w:rFonts w:ascii="Arial" w:hAnsi="Arial" w:cs="Arial"/>
          <w:sz w:val="20"/>
          <w:szCs w:val="20"/>
        </w:rPr>
        <w:t xml:space="preserve">na, dotycząca stanowiska ZMPG </w:t>
      </w:r>
      <w:r w:rsidRPr="002F7850">
        <w:rPr>
          <w:rFonts w:ascii="Arial" w:hAnsi="Arial" w:cs="Arial"/>
          <w:sz w:val="20"/>
          <w:szCs w:val="20"/>
        </w:rPr>
        <w:t xml:space="preserve">S.A. w środowisku offshore’owym. Pozwoli to zapewnić Gdyni wiodącą pozycję pośród polskich portów przy obsłudze </w:t>
      </w:r>
      <w:r w:rsidR="00816109">
        <w:rPr>
          <w:rFonts w:ascii="Arial" w:hAnsi="Arial" w:cs="Arial"/>
          <w:sz w:val="20"/>
          <w:szCs w:val="20"/>
        </w:rPr>
        <w:t>morskiej energetyki wiatrowej</w:t>
      </w:r>
      <w:r w:rsidRPr="002F7850">
        <w:rPr>
          <w:rFonts w:ascii="Arial" w:hAnsi="Arial" w:cs="Arial"/>
          <w:sz w:val="20"/>
          <w:szCs w:val="20"/>
        </w:rPr>
        <w:t>.</w:t>
      </w:r>
    </w:p>
    <w:p w14:paraId="2160FAAB" w14:textId="77777777" w:rsidR="00816614" w:rsidRPr="009B007B" w:rsidRDefault="0006014B" w:rsidP="0006014B">
      <w:pPr>
        <w:pStyle w:val="spis1"/>
        <w:rPr>
          <w:rFonts w:ascii="Arial" w:hAnsi="Arial" w:cs="Arial"/>
          <w:sz w:val="20"/>
          <w:szCs w:val="20"/>
        </w:rPr>
      </w:pPr>
      <w:bookmarkStart w:id="24" w:name="_Toc3385290"/>
      <w:r w:rsidRPr="009B007B">
        <w:rPr>
          <w:rFonts w:ascii="Arial" w:hAnsi="Arial" w:cs="Arial"/>
          <w:sz w:val="20"/>
          <w:szCs w:val="20"/>
        </w:rPr>
        <w:t xml:space="preserve">Port Szczecin </w:t>
      </w:r>
      <w:r w:rsidR="00476FC1">
        <w:rPr>
          <w:rFonts w:ascii="Arial" w:hAnsi="Arial" w:cs="Arial"/>
          <w:sz w:val="20"/>
          <w:szCs w:val="20"/>
        </w:rPr>
        <w:t xml:space="preserve">i </w:t>
      </w:r>
      <w:r w:rsidRPr="009B007B">
        <w:rPr>
          <w:rFonts w:ascii="Arial" w:hAnsi="Arial" w:cs="Arial"/>
          <w:sz w:val="20"/>
          <w:szCs w:val="20"/>
        </w:rPr>
        <w:t>Świnoujście</w:t>
      </w:r>
      <w:bookmarkEnd w:id="24"/>
    </w:p>
    <w:p w14:paraId="207D23E0" w14:textId="77777777" w:rsidR="001A3DEE" w:rsidRPr="00BF0ED3" w:rsidRDefault="00BB4C39" w:rsidP="00BF0ED3">
      <w:pPr>
        <w:pStyle w:val="spis2"/>
        <w:rPr>
          <w:rFonts w:ascii="Arial" w:hAnsi="Arial" w:cs="Arial"/>
          <w:sz w:val="20"/>
          <w:szCs w:val="20"/>
        </w:rPr>
      </w:pPr>
      <w:bookmarkStart w:id="25" w:name="_Toc3385291"/>
      <w:r w:rsidRPr="00BB4C39">
        <w:rPr>
          <w:rFonts w:ascii="Arial" w:hAnsi="Arial" w:cs="Arial"/>
          <w:sz w:val="20"/>
          <w:szCs w:val="20"/>
        </w:rPr>
        <w:t>Przeładunki wg grup towarowych w tys. ton w</w:t>
      </w:r>
      <w:r>
        <w:rPr>
          <w:rFonts w:ascii="Arial" w:hAnsi="Arial" w:cs="Arial"/>
          <w:sz w:val="20"/>
          <w:szCs w:val="20"/>
        </w:rPr>
        <w:t xml:space="preserve"> 2018 r. (dane Zarządu Morskich</w:t>
      </w:r>
      <w:r w:rsidRPr="00BB4C39">
        <w:rPr>
          <w:rFonts w:ascii="Arial" w:hAnsi="Arial" w:cs="Arial"/>
          <w:sz w:val="20"/>
          <w:szCs w:val="20"/>
        </w:rPr>
        <w:t xml:space="preserve"> Port</w:t>
      </w:r>
      <w:r>
        <w:rPr>
          <w:rFonts w:ascii="Arial" w:hAnsi="Arial" w:cs="Arial"/>
          <w:sz w:val="20"/>
          <w:szCs w:val="20"/>
        </w:rPr>
        <w:t>ów</w:t>
      </w:r>
      <w:r w:rsidRPr="00BB4C39">
        <w:rPr>
          <w:rFonts w:ascii="Arial" w:hAnsi="Arial" w:cs="Arial"/>
          <w:sz w:val="20"/>
          <w:szCs w:val="20"/>
        </w:rPr>
        <w:t xml:space="preserve"> </w:t>
      </w:r>
      <w:r>
        <w:rPr>
          <w:rFonts w:ascii="Arial" w:hAnsi="Arial" w:cs="Arial"/>
          <w:sz w:val="20"/>
          <w:szCs w:val="20"/>
        </w:rPr>
        <w:t>Szczecin i Świnoujście</w:t>
      </w:r>
      <w:r w:rsidRPr="00BB4C39">
        <w:rPr>
          <w:rFonts w:ascii="Arial" w:hAnsi="Arial" w:cs="Arial"/>
          <w:sz w:val="20"/>
          <w:szCs w:val="20"/>
        </w:rPr>
        <w:t xml:space="preserve"> S.A.).</w:t>
      </w:r>
    </w:p>
    <w:tbl>
      <w:tblPr>
        <w:tblStyle w:val="Tabela-Siatka1"/>
        <w:tblW w:w="9634" w:type="dxa"/>
        <w:tblLook w:val="04A0" w:firstRow="1" w:lastRow="0" w:firstColumn="1" w:lastColumn="0" w:noHBand="0" w:noVBand="1"/>
      </w:tblPr>
      <w:tblGrid>
        <w:gridCol w:w="9634"/>
      </w:tblGrid>
      <w:tr w:rsidR="001A3DEE" w:rsidRPr="001A3DEE" w14:paraId="7F00A8AB" w14:textId="77777777" w:rsidTr="00DE58D9">
        <w:trPr>
          <w:trHeight w:val="7740"/>
        </w:trPr>
        <w:tc>
          <w:tcPr>
            <w:tcW w:w="9634" w:type="dxa"/>
          </w:tcPr>
          <w:tbl>
            <w:tblPr>
              <w:tblStyle w:val="Tabelasiatki1jasna"/>
              <w:tblW w:w="9395" w:type="dxa"/>
              <w:tblLook w:val="04A0" w:firstRow="1" w:lastRow="0" w:firstColumn="1" w:lastColumn="0" w:noHBand="0" w:noVBand="1"/>
            </w:tblPr>
            <w:tblGrid>
              <w:gridCol w:w="617"/>
              <w:gridCol w:w="2436"/>
              <w:gridCol w:w="1114"/>
              <w:gridCol w:w="1012"/>
              <w:gridCol w:w="1114"/>
              <w:gridCol w:w="1012"/>
              <w:gridCol w:w="1011"/>
              <w:gridCol w:w="1073"/>
              <w:gridCol w:w="6"/>
            </w:tblGrid>
            <w:tr w:rsidR="001A3DEE" w:rsidRPr="001A3DEE" w14:paraId="5EAC8384" w14:textId="77777777" w:rsidTr="00872891">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9395" w:type="dxa"/>
                  <w:gridSpan w:val="9"/>
                  <w:hideMark/>
                </w:tcPr>
                <w:p w14:paraId="7BD6133A"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 xml:space="preserve">Przeładunki w granicach administracyjnych portów w Szczecinie i w Świnoujściu </w:t>
                  </w:r>
                  <w:r w:rsidRPr="001A3DEE">
                    <w:rPr>
                      <w:rFonts w:ascii="Arial" w:eastAsia="Times New Roman" w:hAnsi="Arial" w:cs="Arial"/>
                      <w:sz w:val="20"/>
                      <w:szCs w:val="20"/>
                      <w:lang w:eastAsia="pl-PL"/>
                    </w:rPr>
                    <w:br/>
                    <w:t>według grup towarowych w 2018 r. (w tys. ton)</w:t>
                  </w:r>
                </w:p>
              </w:tc>
            </w:tr>
            <w:tr w:rsidR="001A3DEE" w:rsidRPr="001A3DEE" w14:paraId="72D0610A" w14:textId="77777777" w:rsidTr="00872891">
              <w:trPr>
                <w:trHeight w:val="815"/>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1B3E4B14"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Lp.</w:t>
                  </w:r>
                </w:p>
              </w:tc>
              <w:tc>
                <w:tcPr>
                  <w:tcW w:w="2436" w:type="dxa"/>
                  <w:vMerge w:val="restart"/>
                  <w:hideMark/>
                </w:tcPr>
                <w:p w14:paraId="3FD2F5DD"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Grupa towarowa</w:t>
                  </w:r>
                </w:p>
              </w:tc>
              <w:tc>
                <w:tcPr>
                  <w:tcW w:w="6341" w:type="dxa"/>
                  <w:gridSpan w:val="7"/>
                  <w:hideMark/>
                </w:tcPr>
                <w:p w14:paraId="1B2EF096"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872891" w:rsidRPr="001A3DEE" w14:paraId="39E106D2" w14:textId="77777777" w:rsidTr="00872891">
              <w:trPr>
                <w:gridAfter w:val="1"/>
                <w:wAfter w:w="3" w:type="dxa"/>
                <w:trHeight w:val="528"/>
              </w:trPr>
              <w:tc>
                <w:tcPr>
                  <w:cnfStyle w:val="001000000000" w:firstRow="0" w:lastRow="0" w:firstColumn="1" w:lastColumn="0" w:oddVBand="0" w:evenVBand="0" w:oddHBand="0" w:evenHBand="0" w:firstRowFirstColumn="0" w:firstRowLastColumn="0" w:lastRowFirstColumn="0" w:lastRowLastColumn="0"/>
                  <w:tcW w:w="0" w:type="auto"/>
                  <w:vMerge/>
                  <w:hideMark/>
                </w:tcPr>
                <w:p w14:paraId="3F279F77" w14:textId="77777777" w:rsidR="001A3DEE" w:rsidRPr="001A3DEE" w:rsidRDefault="001A3DEE" w:rsidP="001A3DEE">
                  <w:pPr>
                    <w:rPr>
                      <w:rFonts w:ascii="Arial" w:eastAsia="Times New Roman" w:hAnsi="Arial" w:cs="Arial"/>
                      <w:sz w:val="20"/>
                      <w:szCs w:val="20"/>
                      <w:lang w:eastAsia="pl-PL"/>
                    </w:rPr>
                  </w:pPr>
                </w:p>
              </w:tc>
              <w:tc>
                <w:tcPr>
                  <w:tcW w:w="0" w:type="auto"/>
                  <w:vMerge/>
                  <w:hideMark/>
                </w:tcPr>
                <w:p w14:paraId="6E1D622F" w14:textId="77777777" w:rsidR="001A3DEE" w:rsidRPr="001A3DEE" w:rsidRDefault="001A3DEE" w:rsidP="001A3DE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2127" w:type="dxa"/>
                  <w:gridSpan w:val="2"/>
                  <w:hideMark/>
                </w:tcPr>
                <w:p w14:paraId="784C89A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2017</w:t>
                  </w:r>
                </w:p>
              </w:tc>
              <w:tc>
                <w:tcPr>
                  <w:tcW w:w="2127" w:type="dxa"/>
                  <w:gridSpan w:val="2"/>
                  <w:hideMark/>
                </w:tcPr>
                <w:p w14:paraId="2B48B656"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2018</w:t>
                  </w:r>
                </w:p>
              </w:tc>
              <w:tc>
                <w:tcPr>
                  <w:tcW w:w="2086" w:type="dxa"/>
                  <w:gridSpan w:val="2"/>
                  <w:hideMark/>
                </w:tcPr>
                <w:p w14:paraId="1F87DAC9"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 %</w:t>
                  </w:r>
                </w:p>
              </w:tc>
            </w:tr>
            <w:tr w:rsidR="00ED236D" w:rsidRPr="001A3DEE" w14:paraId="3E4801A1" w14:textId="77777777" w:rsidTr="00872891">
              <w:trPr>
                <w:gridAfter w:val="1"/>
                <w:wAfter w:w="6" w:type="dxa"/>
                <w:trHeight w:val="468"/>
              </w:trPr>
              <w:tc>
                <w:tcPr>
                  <w:cnfStyle w:val="001000000000" w:firstRow="0" w:lastRow="0" w:firstColumn="1" w:lastColumn="0" w:oddVBand="0" w:evenVBand="0" w:oddHBand="0" w:evenHBand="0" w:firstRowFirstColumn="0" w:firstRowLastColumn="0" w:lastRowFirstColumn="0" w:lastRowLastColumn="0"/>
                  <w:tcW w:w="0" w:type="auto"/>
                  <w:vMerge/>
                  <w:hideMark/>
                </w:tcPr>
                <w:p w14:paraId="08CF69CE" w14:textId="77777777" w:rsidR="001A3DEE" w:rsidRPr="001A3DEE" w:rsidRDefault="001A3DEE" w:rsidP="001A3DEE">
                  <w:pPr>
                    <w:rPr>
                      <w:rFonts w:ascii="Arial" w:eastAsia="Times New Roman" w:hAnsi="Arial" w:cs="Arial"/>
                      <w:sz w:val="20"/>
                      <w:szCs w:val="20"/>
                      <w:lang w:eastAsia="pl-PL"/>
                    </w:rPr>
                  </w:pPr>
                </w:p>
              </w:tc>
              <w:tc>
                <w:tcPr>
                  <w:tcW w:w="0" w:type="auto"/>
                  <w:vMerge/>
                  <w:hideMark/>
                </w:tcPr>
                <w:p w14:paraId="181AAA34" w14:textId="77777777" w:rsidR="001A3DEE" w:rsidRPr="001A3DEE" w:rsidRDefault="001A3DEE" w:rsidP="001A3DE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1114" w:type="dxa"/>
                  <w:hideMark/>
                </w:tcPr>
                <w:p w14:paraId="5200405E"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grudzień</w:t>
                  </w:r>
                </w:p>
              </w:tc>
              <w:tc>
                <w:tcPr>
                  <w:tcW w:w="1012" w:type="dxa"/>
                  <w:hideMark/>
                </w:tcPr>
                <w:p w14:paraId="6EB227D1"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rok</w:t>
                  </w:r>
                </w:p>
              </w:tc>
              <w:tc>
                <w:tcPr>
                  <w:tcW w:w="1114" w:type="dxa"/>
                  <w:hideMark/>
                </w:tcPr>
                <w:p w14:paraId="43AE7CAE"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grudzień</w:t>
                  </w:r>
                </w:p>
              </w:tc>
              <w:tc>
                <w:tcPr>
                  <w:tcW w:w="1012" w:type="dxa"/>
                  <w:hideMark/>
                </w:tcPr>
                <w:p w14:paraId="17F1ED84"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rok</w:t>
                  </w:r>
                </w:p>
              </w:tc>
              <w:tc>
                <w:tcPr>
                  <w:tcW w:w="1012" w:type="dxa"/>
                  <w:hideMark/>
                </w:tcPr>
                <w:p w14:paraId="37318D5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5 : 3</w:t>
                  </w:r>
                </w:p>
              </w:tc>
              <w:tc>
                <w:tcPr>
                  <w:tcW w:w="1073" w:type="dxa"/>
                  <w:hideMark/>
                </w:tcPr>
                <w:p w14:paraId="0306FDE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6 : 4</w:t>
                  </w:r>
                </w:p>
              </w:tc>
            </w:tr>
            <w:tr w:rsidR="00872891" w:rsidRPr="001A3DEE" w14:paraId="1F86C3A8"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6B734E7C"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1</w:t>
                  </w:r>
                </w:p>
              </w:tc>
              <w:tc>
                <w:tcPr>
                  <w:tcW w:w="2436" w:type="dxa"/>
                  <w:hideMark/>
                </w:tcPr>
                <w:p w14:paraId="4196E973"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Węgiel</w:t>
                  </w:r>
                </w:p>
              </w:tc>
              <w:tc>
                <w:tcPr>
                  <w:tcW w:w="1114" w:type="dxa"/>
                  <w:hideMark/>
                </w:tcPr>
                <w:p w14:paraId="5586CB19"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323,3</w:t>
                  </w:r>
                </w:p>
              </w:tc>
              <w:tc>
                <w:tcPr>
                  <w:tcW w:w="1012" w:type="dxa"/>
                  <w:hideMark/>
                </w:tcPr>
                <w:p w14:paraId="2F2A749F"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2 139,0</w:t>
                  </w:r>
                </w:p>
              </w:tc>
              <w:tc>
                <w:tcPr>
                  <w:tcW w:w="1114" w:type="dxa"/>
                  <w:hideMark/>
                </w:tcPr>
                <w:p w14:paraId="0AC8B8E1"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417,0</w:t>
                  </w:r>
                </w:p>
              </w:tc>
              <w:tc>
                <w:tcPr>
                  <w:tcW w:w="1012" w:type="dxa"/>
                  <w:hideMark/>
                </w:tcPr>
                <w:p w14:paraId="51693D4B"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3 440,0</w:t>
                  </w:r>
                </w:p>
              </w:tc>
              <w:tc>
                <w:tcPr>
                  <w:tcW w:w="1012" w:type="dxa"/>
                  <w:hideMark/>
                </w:tcPr>
                <w:p w14:paraId="4D6150DE"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129,0</w:t>
                  </w:r>
                </w:p>
              </w:tc>
              <w:tc>
                <w:tcPr>
                  <w:tcW w:w="1073" w:type="dxa"/>
                  <w:hideMark/>
                </w:tcPr>
                <w:p w14:paraId="296840B2"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160,8</w:t>
                  </w:r>
                </w:p>
              </w:tc>
            </w:tr>
            <w:tr w:rsidR="00872891" w:rsidRPr="001A3DEE" w14:paraId="55BAE97D"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100CD974"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2</w:t>
                  </w:r>
                </w:p>
              </w:tc>
              <w:tc>
                <w:tcPr>
                  <w:tcW w:w="2436" w:type="dxa"/>
                  <w:hideMark/>
                </w:tcPr>
                <w:p w14:paraId="57FEED50"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Ruda</w:t>
                  </w:r>
                </w:p>
              </w:tc>
              <w:tc>
                <w:tcPr>
                  <w:tcW w:w="1114" w:type="dxa"/>
                  <w:hideMark/>
                </w:tcPr>
                <w:p w14:paraId="69E2FC6A"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304,7</w:t>
                  </w:r>
                </w:p>
              </w:tc>
              <w:tc>
                <w:tcPr>
                  <w:tcW w:w="1012" w:type="dxa"/>
                  <w:hideMark/>
                </w:tcPr>
                <w:p w14:paraId="43FA4CFE"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2 482,5</w:t>
                  </w:r>
                </w:p>
              </w:tc>
              <w:tc>
                <w:tcPr>
                  <w:tcW w:w="1114" w:type="dxa"/>
                  <w:hideMark/>
                </w:tcPr>
                <w:p w14:paraId="746887F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146,4</w:t>
                  </w:r>
                </w:p>
              </w:tc>
              <w:tc>
                <w:tcPr>
                  <w:tcW w:w="1012" w:type="dxa"/>
                  <w:hideMark/>
                </w:tcPr>
                <w:p w14:paraId="6935B4F9"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3 226,0</w:t>
                  </w:r>
                </w:p>
              </w:tc>
              <w:tc>
                <w:tcPr>
                  <w:tcW w:w="1012" w:type="dxa"/>
                  <w:hideMark/>
                </w:tcPr>
                <w:p w14:paraId="4C6C99F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48,0</w:t>
                  </w:r>
                </w:p>
              </w:tc>
              <w:tc>
                <w:tcPr>
                  <w:tcW w:w="1073" w:type="dxa"/>
                  <w:hideMark/>
                </w:tcPr>
                <w:p w14:paraId="7D5C371A"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129,9</w:t>
                  </w:r>
                </w:p>
              </w:tc>
            </w:tr>
            <w:tr w:rsidR="00872891" w:rsidRPr="001A3DEE" w14:paraId="390FBBA1"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7E9C42CA"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3</w:t>
                  </w:r>
                </w:p>
              </w:tc>
              <w:tc>
                <w:tcPr>
                  <w:tcW w:w="2436" w:type="dxa"/>
                  <w:hideMark/>
                </w:tcPr>
                <w:p w14:paraId="4BBB2C2E"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Inne masowe</w:t>
                  </w:r>
                </w:p>
              </w:tc>
              <w:tc>
                <w:tcPr>
                  <w:tcW w:w="1114" w:type="dxa"/>
                  <w:hideMark/>
                </w:tcPr>
                <w:p w14:paraId="669AB0A8"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224,7</w:t>
                  </w:r>
                </w:p>
              </w:tc>
              <w:tc>
                <w:tcPr>
                  <w:tcW w:w="1012" w:type="dxa"/>
                  <w:hideMark/>
                </w:tcPr>
                <w:p w14:paraId="577815F7"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3 076,8</w:t>
                  </w:r>
                </w:p>
              </w:tc>
              <w:tc>
                <w:tcPr>
                  <w:tcW w:w="1114" w:type="dxa"/>
                  <w:hideMark/>
                </w:tcPr>
                <w:p w14:paraId="34EF8504"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316,4</w:t>
                  </w:r>
                </w:p>
              </w:tc>
              <w:tc>
                <w:tcPr>
                  <w:tcW w:w="1012" w:type="dxa"/>
                  <w:hideMark/>
                </w:tcPr>
                <w:p w14:paraId="63CEAD96"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3 373,3</w:t>
                  </w:r>
                </w:p>
              </w:tc>
              <w:tc>
                <w:tcPr>
                  <w:tcW w:w="1012" w:type="dxa"/>
                  <w:hideMark/>
                </w:tcPr>
                <w:p w14:paraId="0AE64A1B"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140,8</w:t>
                  </w:r>
                </w:p>
              </w:tc>
              <w:tc>
                <w:tcPr>
                  <w:tcW w:w="1073" w:type="dxa"/>
                  <w:hideMark/>
                </w:tcPr>
                <w:p w14:paraId="3FB5B5E4"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109,6</w:t>
                  </w:r>
                </w:p>
              </w:tc>
            </w:tr>
            <w:tr w:rsidR="00872891" w:rsidRPr="001A3DEE" w14:paraId="7B5C30D5"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2B9DD420"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4</w:t>
                  </w:r>
                </w:p>
              </w:tc>
              <w:tc>
                <w:tcPr>
                  <w:tcW w:w="2436" w:type="dxa"/>
                  <w:hideMark/>
                </w:tcPr>
                <w:p w14:paraId="60DF91C9"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Zboże</w:t>
                  </w:r>
                </w:p>
              </w:tc>
              <w:tc>
                <w:tcPr>
                  <w:tcW w:w="1114" w:type="dxa"/>
                  <w:hideMark/>
                </w:tcPr>
                <w:p w14:paraId="7BE8B4C4"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78,3</w:t>
                  </w:r>
                </w:p>
              </w:tc>
              <w:tc>
                <w:tcPr>
                  <w:tcW w:w="1012" w:type="dxa"/>
                  <w:hideMark/>
                </w:tcPr>
                <w:p w14:paraId="296BC0D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1 461,7</w:t>
                  </w:r>
                </w:p>
              </w:tc>
              <w:tc>
                <w:tcPr>
                  <w:tcW w:w="1114" w:type="dxa"/>
                  <w:hideMark/>
                </w:tcPr>
                <w:p w14:paraId="25D282ED"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69,5</w:t>
                  </w:r>
                </w:p>
              </w:tc>
              <w:tc>
                <w:tcPr>
                  <w:tcW w:w="1012" w:type="dxa"/>
                  <w:hideMark/>
                </w:tcPr>
                <w:p w14:paraId="17F5911F"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1 095,2</w:t>
                  </w:r>
                </w:p>
              </w:tc>
              <w:tc>
                <w:tcPr>
                  <w:tcW w:w="1012" w:type="dxa"/>
                  <w:hideMark/>
                </w:tcPr>
                <w:p w14:paraId="42CD0FA1"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88,8</w:t>
                  </w:r>
                </w:p>
              </w:tc>
              <w:tc>
                <w:tcPr>
                  <w:tcW w:w="1073" w:type="dxa"/>
                  <w:hideMark/>
                </w:tcPr>
                <w:p w14:paraId="4FDD6443"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74,9</w:t>
                  </w:r>
                </w:p>
              </w:tc>
            </w:tr>
            <w:tr w:rsidR="00872891" w:rsidRPr="001A3DEE" w14:paraId="4277A3EA"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1ACA5B0F"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5</w:t>
                  </w:r>
                </w:p>
              </w:tc>
              <w:tc>
                <w:tcPr>
                  <w:tcW w:w="2436" w:type="dxa"/>
                  <w:hideMark/>
                </w:tcPr>
                <w:p w14:paraId="601415B4"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Drewno</w:t>
                  </w:r>
                </w:p>
              </w:tc>
              <w:tc>
                <w:tcPr>
                  <w:tcW w:w="1114" w:type="dxa"/>
                  <w:hideMark/>
                </w:tcPr>
                <w:p w14:paraId="7D9190A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6,3</w:t>
                  </w:r>
                </w:p>
              </w:tc>
              <w:tc>
                <w:tcPr>
                  <w:tcW w:w="1012" w:type="dxa"/>
                  <w:hideMark/>
                </w:tcPr>
                <w:p w14:paraId="54663C17"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15,8</w:t>
                  </w:r>
                </w:p>
              </w:tc>
              <w:tc>
                <w:tcPr>
                  <w:tcW w:w="1114" w:type="dxa"/>
                  <w:hideMark/>
                </w:tcPr>
                <w:p w14:paraId="711C22D5"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18,4</w:t>
                  </w:r>
                </w:p>
              </w:tc>
              <w:tc>
                <w:tcPr>
                  <w:tcW w:w="1012" w:type="dxa"/>
                  <w:hideMark/>
                </w:tcPr>
                <w:p w14:paraId="5F713578"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75,5</w:t>
                  </w:r>
                </w:p>
              </w:tc>
              <w:tc>
                <w:tcPr>
                  <w:tcW w:w="1012" w:type="dxa"/>
                  <w:hideMark/>
                </w:tcPr>
                <w:p w14:paraId="151D329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0,0</w:t>
                  </w:r>
                </w:p>
              </w:tc>
              <w:tc>
                <w:tcPr>
                  <w:tcW w:w="1073" w:type="dxa"/>
                  <w:hideMark/>
                </w:tcPr>
                <w:p w14:paraId="1C2B415F"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477,8</w:t>
                  </w:r>
                </w:p>
              </w:tc>
            </w:tr>
            <w:tr w:rsidR="00872891" w:rsidRPr="001A3DEE" w14:paraId="6F3009F6"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02D83003"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6</w:t>
                  </w:r>
                </w:p>
              </w:tc>
              <w:tc>
                <w:tcPr>
                  <w:tcW w:w="2436" w:type="dxa"/>
                  <w:hideMark/>
                </w:tcPr>
                <w:p w14:paraId="3AB69B10"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Drobnica                    </w:t>
                  </w:r>
                </w:p>
              </w:tc>
              <w:tc>
                <w:tcPr>
                  <w:tcW w:w="1114" w:type="dxa"/>
                  <w:hideMark/>
                </w:tcPr>
                <w:p w14:paraId="0A678298"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971,9</w:t>
                  </w:r>
                </w:p>
              </w:tc>
              <w:tc>
                <w:tcPr>
                  <w:tcW w:w="1012" w:type="dxa"/>
                  <w:hideMark/>
                </w:tcPr>
                <w:p w14:paraId="4009BA2A"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12 870,1</w:t>
                  </w:r>
                </w:p>
              </w:tc>
              <w:tc>
                <w:tcPr>
                  <w:tcW w:w="1114" w:type="dxa"/>
                  <w:hideMark/>
                </w:tcPr>
                <w:p w14:paraId="5037B8E5"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955,4</w:t>
                  </w:r>
                </w:p>
              </w:tc>
              <w:tc>
                <w:tcPr>
                  <w:tcW w:w="1012" w:type="dxa"/>
                  <w:hideMark/>
                </w:tcPr>
                <w:p w14:paraId="04BD08A7"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13 431,3</w:t>
                  </w:r>
                </w:p>
              </w:tc>
              <w:tc>
                <w:tcPr>
                  <w:tcW w:w="1012" w:type="dxa"/>
                  <w:hideMark/>
                </w:tcPr>
                <w:p w14:paraId="6301B1E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98,3</w:t>
                  </w:r>
                </w:p>
              </w:tc>
              <w:tc>
                <w:tcPr>
                  <w:tcW w:w="1073" w:type="dxa"/>
                  <w:hideMark/>
                </w:tcPr>
                <w:p w14:paraId="5311DBF4"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104,4</w:t>
                  </w:r>
                </w:p>
              </w:tc>
            </w:tr>
            <w:tr w:rsidR="001A3DEE" w:rsidRPr="001A3DEE" w14:paraId="37856214" w14:textId="77777777" w:rsidTr="00872891">
              <w:trPr>
                <w:trHeight w:val="241"/>
              </w:trPr>
              <w:tc>
                <w:tcPr>
                  <w:cnfStyle w:val="001000000000" w:firstRow="0" w:lastRow="0" w:firstColumn="1" w:lastColumn="0" w:oddVBand="0" w:evenVBand="0" w:oddHBand="0" w:evenHBand="0" w:firstRowFirstColumn="0" w:firstRowLastColumn="0" w:lastRowFirstColumn="0" w:lastRowLastColumn="0"/>
                  <w:tcW w:w="616" w:type="dxa"/>
                  <w:vMerge w:val="restart"/>
                  <w:hideMark/>
                </w:tcPr>
                <w:p w14:paraId="20FB18E8"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 </w:t>
                  </w:r>
                </w:p>
              </w:tc>
              <w:tc>
                <w:tcPr>
                  <w:tcW w:w="2436" w:type="dxa"/>
                  <w:hideMark/>
                </w:tcPr>
                <w:p w14:paraId="5BF73D8B"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i/>
                      <w:iCs/>
                      <w:sz w:val="20"/>
                      <w:szCs w:val="20"/>
                      <w:lang w:eastAsia="pl-PL"/>
                    </w:rPr>
                    <w:t>w tym:</w:t>
                  </w:r>
                </w:p>
              </w:tc>
              <w:tc>
                <w:tcPr>
                  <w:tcW w:w="6341" w:type="dxa"/>
                  <w:gridSpan w:val="7"/>
                  <w:hideMark/>
                </w:tcPr>
                <w:p w14:paraId="3700DF5A"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 </w:t>
                  </w:r>
                </w:p>
              </w:tc>
            </w:tr>
            <w:tr w:rsidR="00872891" w:rsidRPr="001A3DEE" w14:paraId="00B4F896"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0" w:type="auto"/>
                  <w:vMerge/>
                  <w:hideMark/>
                </w:tcPr>
                <w:p w14:paraId="13105FB4" w14:textId="77777777" w:rsidR="001A3DEE" w:rsidRPr="001A3DEE" w:rsidRDefault="001A3DEE" w:rsidP="001A3DEE">
                  <w:pPr>
                    <w:rPr>
                      <w:rFonts w:ascii="Arial" w:eastAsia="Times New Roman" w:hAnsi="Arial" w:cs="Arial"/>
                      <w:sz w:val="20"/>
                      <w:szCs w:val="20"/>
                      <w:lang w:eastAsia="pl-PL"/>
                    </w:rPr>
                  </w:pPr>
                </w:p>
              </w:tc>
              <w:tc>
                <w:tcPr>
                  <w:tcW w:w="2436" w:type="dxa"/>
                  <w:hideMark/>
                </w:tcPr>
                <w:p w14:paraId="763425F9"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i/>
                      <w:iCs/>
                      <w:sz w:val="20"/>
                      <w:szCs w:val="20"/>
                      <w:lang w:eastAsia="pl-PL"/>
                    </w:rPr>
                    <w:t>drobnica promowa</w:t>
                  </w:r>
                </w:p>
              </w:tc>
              <w:tc>
                <w:tcPr>
                  <w:tcW w:w="1114" w:type="dxa"/>
                  <w:hideMark/>
                </w:tcPr>
                <w:p w14:paraId="49A1BA64"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i/>
                      <w:iCs/>
                      <w:sz w:val="20"/>
                      <w:szCs w:val="20"/>
                      <w:lang w:eastAsia="pl-PL"/>
                    </w:rPr>
                    <w:t>692,4</w:t>
                  </w:r>
                </w:p>
              </w:tc>
              <w:tc>
                <w:tcPr>
                  <w:tcW w:w="1012" w:type="dxa"/>
                  <w:hideMark/>
                </w:tcPr>
                <w:p w14:paraId="5C786EC2"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i/>
                      <w:iCs/>
                      <w:sz w:val="20"/>
                      <w:szCs w:val="20"/>
                      <w:lang w:eastAsia="pl-PL"/>
                    </w:rPr>
                    <w:t>9 309,4</w:t>
                  </w:r>
                </w:p>
              </w:tc>
              <w:tc>
                <w:tcPr>
                  <w:tcW w:w="1114" w:type="dxa"/>
                  <w:hideMark/>
                </w:tcPr>
                <w:p w14:paraId="133DFFEA"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i/>
                      <w:iCs/>
                      <w:sz w:val="20"/>
                      <w:szCs w:val="20"/>
                      <w:lang w:eastAsia="pl-PL"/>
                    </w:rPr>
                    <w:t>660,5</w:t>
                  </w:r>
                </w:p>
              </w:tc>
              <w:tc>
                <w:tcPr>
                  <w:tcW w:w="1012" w:type="dxa"/>
                  <w:hideMark/>
                </w:tcPr>
                <w:p w14:paraId="4C8F7C03"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i/>
                      <w:iCs/>
                      <w:sz w:val="20"/>
                      <w:szCs w:val="20"/>
                      <w:lang w:eastAsia="pl-PL"/>
                    </w:rPr>
                    <w:t>9 587,9</w:t>
                  </w:r>
                </w:p>
              </w:tc>
              <w:tc>
                <w:tcPr>
                  <w:tcW w:w="1012" w:type="dxa"/>
                  <w:hideMark/>
                </w:tcPr>
                <w:p w14:paraId="37956E49"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i/>
                      <w:iCs/>
                      <w:sz w:val="20"/>
                      <w:szCs w:val="20"/>
                      <w:lang w:eastAsia="pl-PL"/>
                    </w:rPr>
                    <w:t>95,4</w:t>
                  </w:r>
                </w:p>
              </w:tc>
              <w:tc>
                <w:tcPr>
                  <w:tcW w:w="1073" w:type="dxa"/>
                  <w:hideMark/>
                </w:tcPr>
                <w:p w14:paraId="7AB4AF46"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i/>
                      <w:iCs/>
                      <w:sz w:val="20"/>
                      <w:szCs w:val="20"/>
                      <w:lang w:eastAsia="pl-PL"/>
                    </w:rPr>
                    <w:t>103,0</w:t>
                  </w:r>
                </w:p>
              </w:tc>
            </w:tr>
            <w:tr w:rsidR="00872891" w:rsidRPr="001A3DEE" w14:paraId="1462E267" w14:textId="77777777" w:rsidTr="00872891">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616" w:type="dxa"/>
                  <w:hideMark/>
                </w:tcPr>
                <w:p w14:paraId="39B13230"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7</w:t>
                  </w:r>
                </w:p>
              </w:tc>
              <w:tc>
                <w:tcPr>
                  <w:tcW w:w="2436" w:type="dxa"/>
                  <w:hideMark/>
                </w:tcPr>
                <w:p w14:paraId="5DDF2EE8"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Ropa i przetwory</w:t>
                  </w:r>
                </w:p>
              </w:tc>
              <w:tc>
                <w:tcPr>
                  <w:tcW w:w="1114" w:type="dxa"/>
                  <w:hideMark/>
                </w:tcPr>
                <w:p w14:paraId="56176CE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277,6</w:t>
                  </w:r>
                </w:p>
              </w:tc>
              <w:tc>
                <w:tcPr>
                  <w:tcW w:w="1012" w:type="dxa"/>
                  <w:hideMark/>
                </w:tcPr>
                <w:p w14:paraId="5BBA702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3 377,7</w:t>
                  </w:r>
                </w:p>
              </w:tc>
              <w:tc>
                <w:tcPr>
                  <w:tcW w:w="1114" w:type="dxa"/>
                  <w:hideMark/>
                </w:tcPr>
                <w:p w14:paraId="1A6C6607"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397,7</w:t>
                  </w:r>
                </w:p>
              </w:tc>
              <w:tc>
                <w:tcPr>
                  <w:tcW w:w="1012" w:type="dxa"/>
                  <w:hideMark/>
                </w:tcPr>
                <w:p w14:paraId="4B92CB52"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3 972,9</w:t>
                  </w:r>
                </w:p>
              </w:tc>
              <w:tc>
                <w:tcPr>
                  <w:tcW w:w="1012" w:type="dxa"/>
                  <w:hideMark/>
                </w:tcPr>
                <w:p w14:paraId="598EEC25"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143,3</w:t>
                  </w:r>
                </w:p>
              </w:tc>
              <w:tc>
                <w:tcPr>
                  <w:tcW w:w="1073" w:type="dxa"/>
                  <w:hideMark/>
                </w:tcPr>
                <w:p w14:paraId="5B061BB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117,6</w:t>
                  </w:r>
                </w:p>
              </w:tc>
            </w:tr>
            <w:tr w:rsidR="00ED236D" w:rsidRPr="001A3DEE" w14:paraId="526E39A7" w14:textId="77777777" w:rsidTr="00872891">
              <w:trPr>
                <w:gridAfter w:val="1"/>
                <w:wAfter w:w="5" w:type="dxa"/>
                <w:trHeight w:val="876"/>
              </w:trPr>
              <w:tc>
                <w:tcPr>
                  <w:cnfStyle w:val="001000000000" w:firstRow="0" w:lastRow="0" w:firstColumn="1" w:lastColumn="0" w:oddVBand="0" w:evenVBand="0" w:oddHBand="0" w:evenHBand="0" w:firstRowFirstColumn="0" w:firstRowLastColumn="0" w:lastRowFirstColumn="0" w:lastRowLastColumn="0"/>
                  <w:tcW w:w="3053" w:type="dxa"/>
                  <w:gridSpan w:val="2"/>
                  <w:hideMark/>
                </w:tcPr>
                <w:p w14:paraId="30943A7F"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Razem obroty w portach w Szczecinie i w Świnoujściu</w:t>
                  </w:r>
                </w:p>
              </w:tc>
              <w:tc>
                <w:tcPr>
                  <w:tcW w:w="1114" w:type="dxa"/>
                  <w:hideMark/>
                </w:tcPr>
                <w:p w14:paraId="4194F30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2 186,8</w:t>
                  </w:r>
                </w:p>
              </w:tc>
              <w:tc>
                <w:tcPr>
                  <w:tcW w:w="1012" w:type="dxa"/>
                  <w:hideMark/>
                </w:tcPr>
                <w:p w14:paraId="0A3B312D"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25 423,6</w:t>
                  </w:r>
                </w:p>
              </w:tc>
              <w:tc>
                <w:tcPr>
                  <w:tcW w:w="1114" w:type="dxa"/>
                  <w:hideMark/>
                </w:tcPr>
                <w:p w14:paraId="1BDA4D96"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2 320,8</w:t>
                  </w:r>
                </w:p>
              </w:tc>
              <w:tc>
                <w:tcPr>
                  <w:tcW w:w="1012" w:type="dxa"/>
                  <w:hideMark/>
                </w:tcPr>
                <w:p w14:paraId="20DF3CD9"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28 614,2</w:t>
                  </w:r>
                </w:p>
              </w:tc>
              <w:tc>
                <w:tcPr>
                  <w:tcW w:w="1012" w:type="dxa"/>
                  <w:hideMark/>
                </w:tcPr>
                <w:p w14:paraId="2F2E2401"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106,1</w:t>
                  </w:r>
                </w:p>
              </w:tc>
              <w:tc>
                <w:tcPr>
                  <w:tcW w:w="1073" w:type="dxa"/>
                  <w:hideMark/>
                </w:tcPr>
                <w:p w14:paraId="182805AB"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112,5</w:t>
                  </w:r>
                </w:p>
              </w:tc>
            </w:tr>
            <w:tr w:rsidR="00872891" w:rsidRPr="001A3DEE" w14:paraId="46377CF9" w14:textId="77777777" w:rsidTr="00872891">
              <w:trPr>
                <w:gridAfter w:val="1"/>
                <w:wAfter w:w="6" w:type="dxa"/>
                <w:trHeight w:val="468"/>
              </w:trPr>
              <w:tc>
                <w:tcPr>
                  <w:cnfStyle w:val="001000000000" w:firstRow="0" w:lastRow="0" w:firstColumn="1" w:lastColumn="0" w:oddVBand="0" w:evenVBand="0" w:oddHBand="0" w:evenHBand="0" w:firstRowFirstColumn="0" w:firstRowLastColumn="0" w:lastRowFirstColumn="0" w:lastRowLastColumn="0"/>
                  <w:tcW w:w="616" w:type="dxa"/>
                  <w:hideMark/>
                </w:tcPr>
                <w:p w14:paraId="69A68EE9" w14:textId="77777777" w:rsidR="001A3DEE" w:rsidRPr="001A3DEE" w:rsidRDefault="001A3DEE" w:rsidP="001A3DEE">
                  <w:pPr>
                    <w:spacing w:before="100" w:beforeAutospacing="1" w:after="100" w:afterAutospacing="1"/>
                    <w:jc w:val="center"/>
                    <w:rPr>
                      <w:rFonts w:ascii="Arial" w:eastAsia="Times New Roman" w:hAnsi="Arial" w:cs="Arial"/>
                      <w:sz w:val="20"/>
                      <w:szCs w:val="20"/>
                      <w:lang w:eastAsia="pl-PL"/>
                    </w:rPr>
                  </w:pPr>
                  <w:r w:rsidRPr="001A3DEE">
                    <w:rPr>
                      <w:rFonts w:ascii="Arial" w:eastAsia="Times New Roman" w:hAnsi="Arial" w:cs="Arial"/>
                      <w:sz w:val="20"/>
                      <w:szCs w:val="20"/>
                      <w:lang w:eastAsia="pl-PL"/>
                    </w:rPr>
                    <w:t>8</w:t>
                  </w:r>
                </w:p>
              </w:tc>
              <w:tc>
                <w:tcPr>
                  <w:tcW w:w="2436" w:type="dxa"/>
                  <w:hideMark/>
                </w:tcPr>
                <w:p w14:paraId="35C57948" w14:textId="77777777" w:rsidR="001A3DEE" w:rsidRPr="001A3DEE" w:rsidRDefault="001A3DEE" w:rsidP="001A3DE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Przeładunki kontenerów TEU (20')</w:t>
                  </w:r>
                </w:p>
              </w:tc>
              <w:tc>
                <w:tcPr>
                  <w:tcW w:w="1114" w:type="dxa"/>
                  <w:hideMark/>
                </w:tcPr>
                <w:p w14:paraId="73CA8390"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8 445,0</w:t>
                  </w:r>
                </w:p>
              </w:tc>
              <w:tc>
                <w:tcPr>
                  <w:tcW w:w="1012" w:type="dxa"/>
                  <w:hideMark/>
                </w:tcPr>
                <w:p w14:paraId="3B26254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93 579,0</w:t>
                  </w:r>
                </w:p>
              </w:tc>
              <w:tc>
                <w:tcPr>
                  <w:tcW w:w="1114" w:type="dxa"/>
                  <w:hideMark/>
                </w:tcPr>
                <w:p w14:paraId="4171A35C"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6 358,0</w:t>
                  </w:r>
                </w:p>
              </w:tc>
              <w:tc>
                <w:tcPr>
                  <w:tcW w:w="1012" w:type="dxa"/>
                  <w:hideMark/>
                </w:tcPr>
                <w:p w14:paraId="3F94D697"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bCs/>
                      <w:sz w:val="20"/>
                      <w:szCs w:val="20"/>
                      <w:lang w:eastAsia="pl-PL"/>
                    </w:rPr>
                    <w:t>81 451,0</w:t>
                  </w:r>
                </w:p>
              </w:tc>
              <w:tc>
                <w:tcPr>
                  <w:tcW w:w="1012" w:type="dxa"/>
                  <w:hideMark/>
                </w:tcPr>
                <w:p w14:paraId="4BF93459"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75,3</w:t>
                  </w:r>
                </w:p>
              </w:tc>
              <w:tc>
                <w:tcPr>
                  <w:tcW w:w="1073" w:type="dxa"/>
                  <w:hideMark/>
                </w:tcPr>
                <w:p w14:paraId="325A1DD7" w14:textId="77777777" w:rsidR="001A3DEE" w:rsidRPr="001A3DEE" w:rsidRDefault="001A3DEE" w:rsidP="001A3DE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A3DEE">
                    <w:rPr>
                      <w:rFonts w:ascii="Arial" w:eastAsia="Times New Roman" w:hAnsi="Arial" w:cs="Arial"/>
                      <w:sz w:val="20"/>
                      <w:szCs w:val="20"/>
                      <w:lang w:eastAsia="pl-PL"/>
                    </w:rPr>
                    <w:t>87,0</w:t>
                  </w:r>
                </w:p>
              </w:tc>
            </w:tr>
            <w:tr w:rsidR="001A3DEE" w:rsidRPr="001A3DEE" w14:paraId="0B6A6A9F" w14:textId="77777777" w:rsidTr="00872891">
              <w:trPr>
                <w:trHeight w:val="271"/>
              </w:trPr>
              <w:tc>
                <w:tcPr>
                  <w:cnfStyle w:val="001000000000" w:firstRow="0" w:lastRow="0" w:firstColumn="1" w:lastColumn="0" w:oddVBand="0" w:evenVBand="0" w:oddHBand="0" w:evenHBand="0" w:firstRowFirstColumn="0" w:firstRowLastColumn="0" w:lastRowFirstColumn="0" w:lastRowLastColumn="0"/>
                  <w:tcW w:w="9395" w:type="dxa"/>
                  <w:gridSpan w:val="9"/>
                </w:tcPr>
                <w:p w14:paraId="59C23B51" w14:textId="77777777" w:rsidR="001A3DEE" w:rsidRPr="001A3DEE" w:rsidRDefault="001A3DEE" w:rsidP="001A3DEE">
                  <w:pPr>
                    <w:spacing w:before="100" w:beforeAutospacing="1" w:after="100" w:afterAutospacing="1"/>
                    <w:rPr>
                      <w:rFonts w:ascii="Arial" w:eastAsia="Times New Roman" w:hAnsi="Arial" w:cs="Arial"/>
                      <w:sz w:val="20"/>
                      <w:szCs w:val="20"/>
                      <w:lang w:eastAsia="pl-PL"/>
                    </w:rPr>
                  </w:pPr>
                </w:p>
              </w:tc>
            </w:tr>
          </w:tbl>
          <w:p w14:paraId="0C890139" w14:textId="77777777" w:rsidR="001A3DEE" w:rsidRPr="001A3DEE" w:rsidRDefault="001A3DEE" w:rsidP="001A3DEE">
            <w:pPr>
              <w:spacing w:before="100" w:beforeAutospacing="1" w:after="100" w:afterAutospacing="1"/>
              <w:rPr>
                <w:rFonts w:ascii="Arial" w:eastAsia="Times New Roman" w:hAnsi="Arial" w:cs="Arial"/>
                <w:sz w:val="20"/>
                <w:szCs w:val="20"/>
                <w:lang w:eastAsia="pl-PL"/>
              </w:rPr>
            </w:pPr>
          </w:p>
        </w:tc>
      </w:tr>
    </w:tbl>
    <w:p w14:paraId="57539477" w14:textId="7611098A" w:rsidR="001A3DEE" w:rsidRPr="00133665" w:rsidRDefault="001A3DEE" w:rsidP="00D16E7F">
      <w:pPr>
        <w:spacing w:before="100" w:beforeAutospacing="1" w:after="100" w:afterAutospacing="1"/>
        <w:rPr>
          <w:rFonts w:ascii="Arial" w:eastAsia="Times New Roman" w:hAnsi="Arial" w:cs="Arial"/>
          <w:b/>
          <w:bCs/>
          <w:iCs/>
          <w:sz w:val="20"/>
          <w:szCs w:val="20"/>
          <w:lang w:eastAsia="pl-PL"/>
        </w:rPr>
      </w:pPr>
      <w:r w:rsidRPr="00133665">
        <w:rPr>
          <w:rFonts w:ascii="Arial" w:eastAsia="Times New Roman" w:hAnsi="Arial" w:cs="Arial"/>
          <w:b/>
          <w:bCs/>
          <w:iCs/>
          <w:sz w:val="20"/>
          <w:szCs w:val="20"/>
          <w:lang w:eastAsia="pl-PL"/>
        </w:rPr>
        <w:t>Źródło: ZMPSiŚ S.A.,</w:t>
      </w:r>
      <w:r w:rsidR="00B64F55" w:rsidRPr="00133665">
        <w:rPr>
          <w:rFonts w:ascii="Arial" w:eastAsia="Times New Roman" w:hAnsi="Arial" w:cs="Arial"/>
          <w:b/>
          <w:bCs/>
          <w:iCs/>
          <w:sz w:val="20"/>
          <w:szCs w:val="20"/>
          <w:lang w:eastAsia="pl-PL"/>
        </w:rPr>
        <w:t xml:space="preserve"> </w:t>
      </w:r>
      <w:r w:rsidRPr="00133665">
        <w:rPr>
          <w:rFonts w:ascii="Arial" w:eastAsia="Times New Roman" w:hAnsi="Arial" w:cs="Arial"/>
          <w:b/>
          <w:bCs/>
          <w:iCs/>
          <w:sz w:val="20"/>
          <w:szCs w:val="20"/>
          <w:lang w:eastAsia="pl-PL"/>
        </w:rPr>
        <w:t>Dział Handlowy i Obsługi Inwestora</w:t>
      </w:r>
    </w:p>
    <w:p w14:paraId="06A7DE49" w14:textId="7338F703" w:rsidR="00F50BBB" w:rsidRDefault="00F50BBB" w:rsidP="00D16E7F">
      <w:pPr>
        <w:spacing w:before="100" w:beforeAutospacing="1" w:after="100" w:afterAutospacing="1"/>
        <w:rPr>
          <w:rFonts w:ascii="Arial" w:eastAsia="Times New Roman" w:hAnsi="Arial" w:cs="Arial"/>
          <w:bCs/>
          <w:iCs/>
          <w:sz w:val="20"/>
          <w:szCs w:val="20"/>
          <w:lang w:eastAsia="pl-PL"/>
        </w:rPr>
      </w:pPr>
    </w:p>
    <w:p w14:paraId="6B6933FC" w14:textId="77777777" w:rsidR="00F50BBB" w:rsidRPr="00D16E7F" w:rsidRDefault="00F50BBB" w:rsidP="00D16E7F">
      <w:pPr>
        <w:spacing w:before="100" w:beforeAutospacing="1" w:after="100" w:afterAutospacing="1"/>
        <w:rPr>
          <w:rFonts w:ascii="Arial" w:eastAsia="Times New Roman" w:hAnsi="Arial" w:cs="Arial"/>
          <w:sz w:val="20"/>
          <w:szCs w:val="20"/>
          <w:lang w:eastAsia="pl-PL"/>
        </w:rPr>
      </w:pPr>
    </w:p>
    <w:p w14:paraId="3C738C3F" w14:textId="77777777" w:rsidR="0006014B" w:rsidRPr="008324CD" w:rsidRDefault="008324CD" w:rsidP="008324CD">
      <w:pPr>
        <w:pStyle w:val="spis2"/>
        <w:rPr>
          <w:rFonts w:ascii="Arial" w:hAnsi="Arial" w:cs="Arial"/>
          <w:sz w:val="20"/>
          <w:szCs w:val="20"/>
        </w:rPr>
      </w:pPr>
      <w:r w:rsidRPr="008324CD">
        <w:rPr>
          <w:rFonts w:ascii="Arial" w:hAnsi="Arial" w:cs="Arial"/>
          <w:sz w:val="20"/>
          <w:szCs w:val="20"/>
        </w:rPr>
        <w:t xml:space="preserve">Realizowane projekty oraz inwestycje </w:t>
      </w:r>
      <w:r w:rsidR="008B579D" w:rsidRPr="008324CD">
        <w:rPr>
          <w:rFonts w:ascii="Arial" w:hAnsi="Arial" w:cs="Arial"/>
          <w:sz w:val="20"/>
          <w:szCs w:val="20"/>
        </w:rPr>
        <w:t>w Zespole Portów Szczecin – Świnoujście w 2018 r.</w:t>
      </w:r>
      <w:bookmarkEnd w:id="25"/>
    </w:p>
    <w:p w14:paraId="37D81FC2" w14:textId="77777777" w:rsidR="005F350A" w:rsidRPr="00540C6C" w:rsidRDefault="00923095" w:rsidP="00AC1D91">
      <w:pPr>
        <w:spacing w:before="120" w:after="120" w:line="276" w:lineRule="auto"/>
        <w:jc w:val="both"/>
        <w:rPr>
          <w:rFonts w:ascii="Arial" w:hAnsi="Arial" w:cs="Arial"/>
          <w:sz w:val="20"/>
          <w:szCs w:val="20"/>
        </w:rPr>
      </w:pPr>
      <w:bookmarkStart w:id="26" w:name="_Toc3385297"/>
      <w:r>
        <w:rPr>
          <w:rFonts w:ascii="Arial" w:hAnsi="Arial" w:cs="Arial"/>
          <w:sz w:val="20"/>
          <w:szCs w:val="20"/>
        </w:rPr>
        <w:t xml:space="preserve">Zarząd Morskich Portów Szczecin </w:t>
      </w:r>
      <w:r w:rsidR="00814527">
        <w:rPr>
          <w:rFonts w:ascii="Arial" w:hAnsi="Arial" w:cs="Arial"/>
          <w:sz w:val="20"/>
          <w:szCs w:val="20"/>
        </w:rPr>
        <w:t>-</w:t>
      </w:r>
      <w:r>
        <w:rPr>
          <w:rFonts w:ascii="Arial" w:hAnsi="Arial" w:cs="Arial"/>
          <w:sz w:val="20"/>
          <w:szCs w:val="20"/>
        </w:rPr>
        <w:t xml:space="preserve"> Świnoujście S.A. </w:t>
      </w:r>
      <w:r w:rsidR="005F350A" w:rsidRPr="00540C6C">
        <w:rPr>
          <w:rFonts w:ascii="Arial" w:hAnsi="Arial" w:cs="Arial"/>
          <w:sz w:val="20"/>
          <w:szCs w:val="20"/>
        </w:rPr>
        <w:t>sukcesywnie realizuje działania wpisują</w:t>
      </w:r>
      <w:r>
        <w:rPr>
          <w:rFonts w:ascii="Arial" w:hAnsi="Arial" w:cs="Arial"/>
          <w:sz w:val="20"/>
          <w:szCs w:val="20"/>
        </w:rPr>
        <w:t>ce</w:t>
      </w:r>
      <w:r w:rsidR="005F350A" w:rsidRPr="00540C6C">
        <w:rPr>
          <w:rFonts w:ascii="Arial" w:hAnsi="Arial" w:cs="Arial"/>
          <w:sz w:val="20"/>
          <w:szCs w:val="20"/>
        </w:rPr>
        <w:t xml:space="preserve"> się </w:t>
      </w:r>
      <w:r>
        <w:rPr>
          <w:rFonts w:ascii="Arial" w:hAnsi="Arial" w:cs="Arial"/>
          <w:sz w:val="20"/>
          <w:szCs w:val="20"/>
        </w:rPr>
        <w:br/>
      </w:r>
      <w:r w:rsidR="005F350A" w:rsidRPr="00540C6C">
        <w:rPr>
          <w:rFonts w:ascii="Arial" w:hAnsi="Arial" w:cs="Arial"/>
          <w:sz w:val="20"/>
          <w:szCs w:val="20"/>
        </w:rPr>
        <w:t>w ramy przyjętej polityki morskiej Rzeczypospolitej Polskiej</w:t>
      </w:r>
      <w:r>
        <w:rPr>
          <w:rFonts w:ascii="Arial" w:hAnsi="Arial" w:cs="Arial"/>
          <w:sz w:val="20"/>
          <w:szCs w:val="20"/>
        </w:rPr>
        <w:t>,</w:t>
      </w:r>
      <w:r w:rsidR="005F350A" w:rsidRPr="00540C6C">
        <w:rPr>
          <w:rFonts w:ascii="Arial" w:hAnsi="Arial" w:cs="Arial"/>
          <w:sz w:val="20"/>
          <w:szCs w:val="20"/>
        </w:rPr>
        <w:t xml:space="preserve"> m.in. poprzez działania zgodnie z przyjętą w 2014</w:t>
      </w:r>
      <w:r w:rsidR="00286187">
        <w:rPr>
          <w:rFonts w:ascii="Arial" w:hAnsi="Arial" w:cs="Arial"/>
          <w:sz w:val="20"/>
          <w:szCs w:val="20"/>
        </w:rPr>
        <w:t xml:space="preserve"> </w:t>
      </w:r>
      <w:r w:rsidR="005F350A" w:rsidRPr="00540C6C">
        <w:rPr>
          <w:rFonts w:ascii="Arial" w:hAnsi="Arial" w:cs="Arial"/>
          <w:sz w:val="20"/>
          <w:szCs w:val="20"/>
        </w:rPr>
        <w:t>r. „Strategią Rozwoju Portów Morskich w Szczecinie i Świnoujściu do 2027</w:t>
      </w:r>
      <w:r w:rsidR="00286187">
        <w:rPr>
          <w:rFonts w:ascii="Arial" w:hAnsi="Arial" w:cs="Arial"/>
          <w:sz w:val="20"/>
          <w:szCs w:val="20"/>
        </w:rPr>
        <w:t xml:space="preserve"> r.”, a także poprzez </w:t>
      </w:r>
      <w:r w:rsidR="005F350A" w:rsidRPr="00540C6C">
        <w:rPr>
          <w:rFonts w:ascii="Arial" w:hAnsi="Arial" w:cs="Arial"/>
          <w:sz w:val="20"/>
          <w:szCs w:val="20"/>
        </w:rPr>
        <w:t>realizację założonego planu inwestycyjnego oraz planowanie kolejnych działań rozwojowych.</w:t>
      </w:r>
    </w:p>
    <w:p w14:paraId="3A53CF15" w14:textId="28C9255A" w:rsidR="00D16E7F" w:rsidRPr="00AC1D91" w:rsidRDefault="00286187" w:rsidP="00AC1D91">
      <w:pPr>
        <w:spacing w:before="120" w:after="120" w:line="276" w:lineRule="auto"/>
        <w:jc w:val="both"/>
        <w:rPr>
          <w:rFonts w:ascii="Arial" w:hAnsi="Arial" w:cs="Arial"/>
          <w:sz w:val="20"/>
          <w:szCs w:val="20"/>
        </w:rPr>
      </w:pPr>
      <w:r>
        <w:rPr>
          <w:rFonts w:ascii="Arial" w:hAnsi="Arial" w:cs="Arial"/>
          <w:sz w:val="20"/>
          <w:szCs w:val="20"/>
        </w:rPr>
        <w:t>W 2018 r.</w:t>
      </w:r>
      <w:r w:rsidR="005F350A" w:rsidRPr="00540C6C">
        <w:rPr>
          <w:rFonts w:ascii="Arial" w:hAnsi="Arial" w:cs="Arial"/>
          <w:sz w:val="20"/>
          <w:szCs w:val="20"/>
        </w:rPr>
        <w:t xml:space="preserve"> </w:t>
      </w:r>
      <w:r w:rsidR="00AC1D91">
        <w:rPr>
          <w:rFonts w:ascii="Arial" w:hAnsi="Arial" w:cs="Arial"/>
          <w:sz w:val="20"/>
          <w:szCs w:val="20"/>
        </w:rPr>
        <w:t>ZMPSiŚ S.A.</w:t>
      </w:r>
      <w:r w:rsidR="005F350A" w:rsidRPr="00540C6C">
        <w:rPr>
          <w:rFonts w:ascii="Arial" w:hAnsi="Arial" w:cs="Arial"/>
          <w:sz w:val="20"/>
          <w:szCs w:val="20"/>
        </w:rPr>
        <w:t xml:space="preserve"> pr</w:t>
      </w:r>
      <w:r w:rsidR="00AC1D91">
        <w:rPr>
          <w:rFonts w:ascii="Arial" w:hAnsi="Arial" w:cs="Arial"/>
          <w:sz w:val="20"/>
          <w:szCs w:val="20"/>
        </w:rPr>
        <w:t>zygotowywał</w:t>
      </w:r>
      <w:r>
        <w:rPr>
          <w:rFonts w:ascii="Arial" w:hAnsi="Arial" w:cs="Arial"/>
          <w:sz w:val="20"/>
          <w:szCs w:val="20"/>
        </w:rPr>
        <w:t xml:space="preserve"> się do realizacji, prowadząc </w:t>
      </w:r>
      <w:r w:rsidR="005F350A" w:rsidRPr="00540C6C">
        <w:rPr>
          <w:rFonts w:ascii="Arial" w:hAnsi="Arial" w:cs="Arial"/>
          <w:sz w:val="20"/>
          <w:szCs w:val="20"/>
        </w:rPr>
        <w:t>działania zmierzające do przygotowania dokumentacji przedprojektowe</w:t>
      </w:r>
      <w:r>
        <w:rPr>
          <w:rFonts w:ascii="Arial" w:hAnsi="Arial" w:cs="Arial"/>
          <w:sz w:val="20"/>
          <w:szCs w:val="20"/>
        </w:rPr>
        <w:t>j oraz dokumentacji projektowej,</w:t>
      </w:r>
      <w:r w:rsidR="003A6ACE">
        <w:rPr>
          <w:rFonts w:ascii="Arial" w:hAnsi="Arial" w:cs="Arial"/>
          <w:sz w:val="20"/>
          <w:szCs w:val="20"/>
        </w:rPr>
        <w:t xml:space="preserve"> dla następujących inwestycji</w:t>
      </w:r>
      <w:r w:rsidR="005F350A" w:rsidRPr="00540C6C">
        <w:rPr>
          <w:rFonts w:ascii="Arial" w:hAnsi="Arial" w:cs="Arial"/>
          <w:sz w:val="20"/>
          <w:szCs w:val="20"/>
        </w:rPr>
        <w:t xml:space="preserve">:  </w:t>
      </w:r>
    </w:p>
    <w:p w14:paraId="3C3C2A60" w14:textId="77777777" w:rsidR="00A97075" w:rsidRDefault="005F350A" w:rsidP="00BF76C0">
      <w:pPr>
        <w:pStyle w:val="Akapitzlist"/>
        <w:numPr>
          <w:ilvl w:val="0"/>
          <w:numId w:val="3"/>
        </w:numPr>
        <w:spacing w:after="0" w:line="240" w:lineRule="auto"/>
        <w:jc w:val="both"/>
        <w:rPr>
          <w:rFonts w:ascii="Arial" w:hAnsi="Arial" w:cs="Arial"/>
          <w:sz w:val="20"/>
          <w:szCs w:val="20"/>
        </w:rPr>
      </w:pPr>
      <w:r w:rsidRPr="00AC1D91">
        <w:rPr>
          <w:rFonts w:ascii="Arial" w:hAnsi="Arial" w:cs="Arial"/>
          <w:b/>
          <w:sz w:val="20"/>
          <w:szCs w:val="20"/>
        </w:rPr>
        <w:t>Przystosowanie infrastruktury Terminalu Promowego w Świnoujściu do obsługi transportu intermodalnego</w:t>
      </w:r>
      <w:r w:rsidR="00A97075">
        <w:rPr>
          <w:rFonts w:ascii="Arial" w:hAnsi="Arial" w:cs="Arial"/>
          <w:sz w:val="20"/>
          <w:szCs w:val="20"/>
        </w:rPr>
        <w:t xml:space="preserve"> </w:t>
      </w:r>
    </w:p>
    <w:p w14:paraId="6B32853B" w14:textId="77777777" w:rsidR="005F350A" w:rsidRPr="00F55578" w:rsidRDefault="00A97075" w:rsidP="00A97075">
      <w:pPr>
        <w:spacing w:before="120" w:after="120" w:line="276" w:lineRule="auto"/>
        <w:jc w:val="both"/>
        <w:rPr>
          <w:rFonts w:ascii="Arial" w:hAnsi="Arial" w:cs="Arial"/>
          <w:sz w:val="20"/>
          <w:szCs w:val="20"/>
          <w:lang w:val="en-US"/>
        </w:rPr>
      </w:pPr>
      <w:r w:rsidRPr="00F55578">
        <w:rPr>
          <w:rFonts w:ascii="Arial" w:hAnsi="Arial" w:cs="Arial"/>
          <w:sz w:val="20"/>
          <w:szCs w:val="20"/>
          <w:lang w:val="en-US"/>
        </w:rPr>
        <w:t>P</w:t>
      </w:r>
      <w:r w:rsidR="005F350A" w:rsidRPr="00F55578">
        <w:rPr>
          <w:rFonts w:ascii="Arial" w:hAnsi="Arial" w:cs="Arial"/>
          <w:sz w:val="20"/>
          <w:szCs w:val="20"/>
          <w:lang w:val="en-US"/>
        </w:rPr>
        <w:t xml:space="preserve">rojekt realizowany w ramach CEF „Łącząc Europę”– Oś Priorytetowa – MAP Call 2014, F04 Specific Call for Cohesion Funds, Działanie: Priority 6: (F04) Motorways of the Sea (MoS). </w:t>
      </w:r>
    </w:p>
    <w:p w14:paraId="0C2E18E8" w14:textId="69B64B7D" w:rsidR="005F350A" w:rsidRPr="00540C6C" w:rsidRDefault="005F350A" w:rsidP="00A96BA0">
      <w:pPr>
        <w:spacing w:before="120" w:after="120" w:line="276" w:lineRule="auto"/>
        <w:jc w:val="both"/>
        <w:rPr>
          <w:rFonts w:ascii="Arial" w:hAnsi="Arial" w:cs="Arial"/>
          <w:sz w:val="20"/>
          <w:szCs w:val="20"/>
        </w:rPr>
      </w:pPr>
      <w:r w:rsidRPr="00540C6C">
        <w:rPr>
          <w:rFonts w:ascii="Arial" w:hAnsi="Arial" w:cs="Arial"/>
          <w:sz w:val="20"/>
          <w:szCs w:val="20"/>
        </w:rPr>
        <w:t>Celem inwestycji jest przystosowanie istniejącej infr</w:t>
      </w:r>
      <w:r w:rsidR="00286187">
        <w:rPr>
          <w:rFonts w:ascii="Arial" w:hAnsi="Arial" w:cs="Arial"/>
          <w:sz w:val="20"/>
          <w:szCs w:val="20"/>
        </w:rPr>
        <w:t xml:space="preserve">astruktury terminalu promowego </w:t>
      </w:r>
      <w:r w:rsidRPr="00540C6C">
        <w:rPr>
          <w:rFonts w:ascii="Arial" w:hAnsi="Arial" w:cs="Arial"/>
          <w:sz w:val="20"/>
          <w:szCs w:val="20"/>
        </w:rPr>
        <w:t>w Świnoujściu do obsługi transportu intermodalnego, w tym obsługi promów o długości do 2</w:t>
      </w:r>
      <w:r w:rsidR="00C05811">
        <w:rPr>
          <w:rFonts w:ascii="Arial" w:hAnsi="Arial" w:cs="Arial"/>
          <w:sz w:val="20"/>
          <w:szCs w:val="20"/>
        </w:rPr>
        <w:t>70</w:t>
      </w:r>
      <w:r w:rsidRPr="00540C6C">
        <w:rPr>
          <w:rFonts w:ascii="Arial" w:hAnsi="Arial" w:cs="Arial"/>
          <w:sz w:val="20"/>
          <w:szCs w:val="20"/>
        </w:rPr>
        <w:t xml:space="preserve"> m. Zakres rzeczowy obejmuje: zakup stanowiska nr 6, modernizacje i przedłużenie stanowiska nr 5, wykonanie niezbędnej infrastruktury technicznej wraz z budowa placów, torów i estakady. </w:t>
      </w:r>
      <w:r w:rsidR="00C05811">
        <w:rPr>
          <w:rFonts w:ascii="Arial" w:hAnsi="Arial" w:cs="Arial"/>
          <w:sz w:val="20"/>
          <w:szCs w:val="20"/>
        </w:rPr>
        <w:t>Planowane r</w:t>
      </w:r>
      <w:r w:rsidRPr="00540C6C">
        <w:rPr>
          <w:rFonts w:ascii="Arial" w:hAnsi="Arial" w:cs="Arial"/>
          <w:sz w:val="20"/>
          <w:szCs w:val="20"/>
        </w:rPr>
        <w:t xml:space="preserve">ozpoczęcie robót </w:t>
      </w:r>
      <w:r w:rsidR="00C05811">
        <w:rPr>
          <w:rFonts w:ascii="Arial" w:hAnsi="Arial" w:cs="Arial"/>
          <w:sz w:val="20"/>
          <w:szCs w:val="20"/>
        </w:rPr>
        <w:t xml:space="preserve">wrzesień </w:t>
      </w:r>
      <w:r w:rsidRPr="00540C6C">
        <w:rPr>
          <w:rFonts w:ascii="Arial" w:hAnsi="Arial" w:cs="Arial"/>
          <w:sz w:val="20"/>
          <w:szCs w:val="20"/>
        </w:rPr>
        <w:t>201</w:t>
      </w:r>
      <w:r w:rsidR="00C05811">
        <w:rPr>
          <w:rFonts w:ascii="Arial" w:hAnsi="Arial" w:cs="Arial"/>
          <w:sz w:val="20"/>
          <w:szCs w:val="20"/>
        </w:rPr>
        <w:t>9</w:t>
      </w:r>
      <w:r w:rsidRPr="00540C6C">
        <w:rPr>
          <w:rFonts w:ascii="Arial" w:hAnsi="Arial" w:cs="Arial"/>
          <w:sz w:val="20"/>
          <w:szCs w:val="20"/>
        </w:rPr>
        <w:t xml:space="preserve"> r.</w:t>
      </w:r>
      <w:r w:rsidR="00A96BA0">
        <w:rPr>
          <w:rFonts w:ascii="Arial" w:hAnsi="Arial" w:cs="Arial"/>
          <w:sz w:val="20"/>
          <w:szCs w:val="20"/>
        </w:rPr>
        <w:t>, z</w:t>
      </w:r>
      <w:r w:rsidRPr="00540C6C">
        <w:rPr>
          <w:rFonts w:ascii="Arial" w:hAnsi="Arial" w:cs="Arial"/>
          <w:sz w:val="20"/>
          <w:szCs w:val="20"/>
        </w:rPr>
        <w:t>akończenie prac 3</w:t>
      </w:r>
      <w:r w:rsidR="00C05811">
        <w:rPr>
          <w:rFonts w:ascii="Arial" w:hAnsi="Arial" w:cs="Arial"/>
          <w:sz w:val="20"/>
          <w:szCs w:val="20"/>
        </w:rPr>
        <w:t>1</w:t>
      </w:r>
      <w:r w:rsidRPr="00540C6C">
        <w:rPr>
          <w:rFonts w:ascii="Arial" w:hAnsi="Arial" w:cs="Arial"/>
          <w:sz w:val="20"/>
          <w:szCs w:val="20"/>
        </w:rPr>
        <w:t>.</w:t>
      </w:r>
      <w:r w:rsidR="00C05811">
        <w:rPr>
          <w:rFonts w:ascii="Arial" w:hAnsi="Arial" w:cs="Arial"/>
          <w:sz w:val="20"/>
          <w:szCs w:val="20"/>
        </w:rPr>
        <w:t>12</w:t>
      </w:r>
      <w:r w:rsidRPr="00540C6C">
        <w:rPr>
          <w:rFonts w:ascii="Arial" w:hAnsi="Arial" w:cs="Arial"/>
          <w:sz w:val="20"/>
          <w:szCs w:val="20"/>
        </w:rPr>
        <w:t>.2021 r.</w:t>
      </w:r>
    </w:p>
    <w:p w14:paraId="5F7E221E" w14:textId="77777777" w:rsidR="00A97075" w:rsidRDefault="005F350A" w:rsidP="00BF76C0">
      <w:pPr>
        <w:pStyle w:val="Akapitzlist"/>
        <w:numPr>
          <w:ilvl w:val="0"/>
          <w:numId w:val="3"/>
        </w:numPr>
        <w:spacing w:after="0" w:line="240" w:lineRule="auto"/>
        <w:jc w:val="both"/>
        <w:rPr>
          <w:rFonts w:ascii="Arial" w:hAnsi="Arial" w:cs="Arial"/>
          <w:sz w:val="20"/>
          <w:szCs w:val="20"/>
        </w:rPr>
      </w:pPr>
      <w:r w:rsidRPr="00A96BA0">
        <w:rPr>
          <w:rFonts w:ascii="Arial" w:hAnsi="Arial" w:cs="Arial"/>
          <w:b/>
          <w:sz w:val="20"/>
          <w:szCs w:val="20"/>
        </w:rPr>
        <w:t>Rozbudowa i modernizacja infrastruktury tech</w:t>
      </w:r>
      <w:r w:rsidR="00A96BA0">
        <w:rPr>
          <w:rFonts w:ascii="Arial" w:hAnsi="Arial" w:cs="Arial"/>
          <w:b/>
          <w:sz w:val="20"/>
          <w:szCs w:val="20"/>
        </w:rPr>
        <w:t>nicznej w portach w Szczecinie i Świnoujściu</w:t>
      </w:r>
      <w:r w:rsidR="00A97075">
        <w:rPr>
          <w:rFonts w:ascii="Arial" w:hAnsi="Arial" w:cs="Arial"/>
          <w:sz w:val="20"/>
          <w:szCs w:val="20"/>
        </w:rPr>
        <w:t xml:space="preserve"> </w:t>
      </w:r>
    </w:p>
    <w:p w14:paraId="04EFCEB1" w14:textId="77777777" w:rsidR="005F350A" w:rsidRPr="00A96BA0" w:rsidRDefault="00A97075" w:rsidP="00A97075">
      <w:pPr>
        <w:spacing w:before="120" w:after="120" w:line="276" w:lineRule="auto"/>
        <w:jc w:val="both"/>
        <w:rPr>
          <w:rFonts w:ascii="Arial" w:hAnsi="Arial" w:cs="Arial"/>
          <w:sz w:val="20"/>
          <w:szCs w:val="20"/>
        </w:rPr>
      </w:pPr>
      <w:r>
        <w:rPr>
          <w:rFonts w:ascii="Arial" w:hAnsi="Arial" w:cs="Arial"/>
          <w:sz w:val="20"/>
          <w:szCs w:val="20"/>
        </w:rPr>
        <w:t>P</w:t>
      </w:r>
      <w:r w:rsidR="005F350A" w:rsidRPr="00A96BA0">
        <w:rPr>
          <w:rFonts w:ascii="Arial" w:hAnsi="Arial" w:cs="Arial"/>
          <w:sz w:val="20"/>
          <w:szCs w:val="20"/>
        </w:rPr>
        <w:t xml:space="preserve">rojekt planowany do dofinansowania z Funduszu Spójności, Program Operacyjny Infrastruktura </w:t>
      </w:r>
      <w:r w:rsidR="000D09E5">
        <w:rPr>
          <w:rFonts w:ascii="Arial" w:hAnsi="Arial" w:cs="Arial"/>
          <w:sz w:val="20"/>
          <w:szCs w:val="20"/>
        </w:rPr>
        <w:br/>
      </w:r>
      <w:r w:rsidR="005F350A" w:rsidRPr="00A96BA0">
        <w:rPr>
          <w:rFonts w:ascii="Arial" w:hAnsi="Arial" w:cs="Arial"/>
          <w:sz w:val="20"/>
          <w:szCs w:val="20"/>
        </w:rPr>
        <w:t>i Środowisk</w:t>
      </w:r>
      <w:r w:rsidR="00A96BA0">
        <w:rPr>
          <w:rFonts w:ascii="Arial" w:hAnsi="Arial" w:cs="Arial"/>
          <w:sz w:val="20"/>
          <w:szCs w:val="20"/>
        </w:rPr>
        <w:t>o</w:t>
      </w:r>
      <w:r w:rsidR="005F350A" w:rsidRPr="00A96BA0">
        <w:rPr>
          <w:rFonts w:ascii="Arial" w:hAnsi="Arial" w:cs="Arial"/>
          <w:sz w:val="20"/>
          <w:szCs w:val="20"/>
        </w:rPr>
        <w:t xml:space="preserve"> 2014-2020,</w:t>
      </w:r>
      <w:r w:rsidR="005F350A" w:rsidRPr="00A97075">
        <w:rPr>
          <w:rFonts w:ascii="Arial" w:hAnsi="Arial" w:cs="Arial"/>
          <w:sz w:val="20"/>
          <w:szCs w:val="20"/>
        </w:rPr>
        <w:t xml:space="preserve"> </w:t>
      </w:r>
      <w:r w:rsidR="005F350A" w:rsidRPr="00A96BA0">
        <w:rPr>
          <w:rFonts w:ascii="Arial" w:hAnsi="Arial" w:cs="Arial"/>
          <w:sz w:val="20"/>
          <w:szCs w:val="20"/>
        </w:rPr>
        <w:t>Oś Priorytetowa III  Rozwój sieci drogowej TEN-T i transportu multimodalnego, Działanie 3.2 Rozwój transportu morskiego, śródlądowych dróg wodnych i połączeń multimodalnych</w:t>
      </w:r>
    </w:p>
    <w:p w14:paraId="72F62B6E" w14:textId="5333D1CD" w:rsidR="00C05811" w:rsidRPr="00CF796F" w:rsidRDefault="005F350A" w:rsidP="00CF796F">
      <w:pPr>
        <w:spacing w:line="276" w:lineRule="auto"/>
        <w:jc w:val="both"/>
        <w:rPr>
          <w:rFonts w:ascii="Arial" w:hAnsi="Arial" w:cs="Arial"/>
          <w:sz w:val="20"/>
          <w:szCs w:val="20"/>
        </w:rPr>
      </w:pPr>
      <w:r w:rsidRPr="00540C6C">
        <w:rPr>
          <w:rFonts w:ascii="Arial" w:hAnsi="Arial" w:cs="Arial"/>
          <w:sz w:val="20"/>
          <w:szCs w:val="20"/>
        </w:rPr>
        <w:t>Inwestycja dotyczy budowy nowej i modernizacji istniejącej infrastruktury technicznej obejmującej: sieci wodociągowe, kanalizację sanitarną, kanalizację wód opadowych, zasilanie elektroenergetyczne, sieci teletechniczne, sieć wody przeciwpożarowej oraz system odwadniania terenów. Inwestycja uporządkuje i uzupełni infrastrukturę techniczną we wszystki</w:t>
      </w:r>
      <w:r w:rsidR="005E2CC4">
        <w:rPr>
          <w:rFonts w:ascii="Arial" w:hAnsi="Arial" w:cs="Arial"/>
          <w:sz w:val="20"/>
          <w:szCs w:val="20"/>
        </w:rPr>
        <w:t xml:space="preserve">ch rejonach portu w Szczecinie </w:t>
      </w:r>
      <w:r w:rsidRPr="00540C6C">
        <w:rPr>
          <w:rFonts w:ascii="Arial" w:hAnsi="Arial" w:cs="Arial"/>
          <w:sz w:val="20"/>
          <w:szCs w:val="20"/>
        </w:rPr>
        <w:t>i Świnoujściu. Modernizacja zapewni optymalizację zużycia nośn</w:t>
      </w:r>
      <w:r w:rsidR="005E2CC4">
        <w:rPr>
          <w:rFonts w:ascii="Arial" w:hAnsi="Arial" w:cs="Arial"/>
          <w:sz w:val="20"/>
          <w:szCs w:val="20"/>
        </w:rPr>
        <w:t xml:space="preserve">ików energii, poprawę sytuacji </w:t>
      </w:r>
      <w:r w:rsidRPr="00540C6C">
        <w:rPr>
          <w:rFonts w:ascii="Arial" w:hAnsi="Arial" w:cs="Arial"/>
          <w:sz w:val="20"/>
          <w:szCs w:val="20"/>
        </w:rPr>
        <w:t>w zakresie ochrony środowiska i dostosowanie się w tym względzie do obowiąz</w:t>
      </w:r>
      <w:r w:rsidR="005E2CC4">
        <w:rPr>
          <w:rFonts w:ascii="Arial" w:hAnsi="Arial" w:cs="Arial"/>
          <w:sz w:val="20"/>
          <w:szCs w:val="20"/>
        </w:rPr>
        <w:t xml:space="preserve">ujących norm </w:t>
      </w:r>
      <w:r w:rsidRPr="00540C6C">
        <w:rPr>
          <w:rFonts w:ascii="Arial" w:hAnsi="Arial" w:cs="Arial"/>
          <w:sz w:val="20"/>
          <w:szCs w:val="20"/>
        </w:rPr>
        <w:t xml:space="preserve">i przepisów (obecnych, jak </w:t>
      </w:r>
      <w:r w:rsidR="00910DE7">
        <w:rPr>
          <w:rFonts w:ascii="Arial" w:hAnsi="Arial" w:cs="Arial"/>
          <w:sz w:val="20"/>
          <w:szCs w:val="20"/>
        </w:rPr>
        <w:br/>
      </w:r>
      <w:r w:rsidRPr="00540C6C">
        <w:rPr>
          <w:rFonts w:ascii="Arial" w:hAnsi="Arial" w:cs="Arial"/>
          <w:sz w:val="20"/>
          <w:szCs w:val="20"/>
        </w:rPr>
        <w:t>i planowanych do wprowadzenia). Ponieważ portowa infrastruktura techniczna obejmuje wiele branż</w:t>
      </w:r>
      <w:r w:rsidR="00CF796F">
        <w:rPr>
          <w:rFonts w:ascii="Arial" w:hAnsi="Arial" w:cs="Arial"/>
          <w:sz w:val="20"/>
          <w:szCs w:val="20"/>
        </w:rPr>
        <w:br/>
      </w:r>
      <w:r w:rsidRPr="00540C6C">
        <w:rPr>
          <w:rFonts w:ascii="Arial" w:hAnsi="Arial" w:cs="Arial"/>
          <w:sz w:val="20"/>
          <w:szCs w:val="20"/>
        </w:rPr>
        <w:t xml:space="preserve">i nie ogranicza się do jednego miejsca, jej rozbudowa i modernizacja obejmie wszystkie rejony portu </w:t>
      </w:r>
      <w:r w:rsidR="00CF796F">
        <w:rPr>
          <w:rFonts w:ascii="Arial" w:hAnsi="Arial" w:cs="Arial"/>
          <w:sz w:val="20"/>
          <w:szCs w:val="20"/>
        </w:rPr>
        <w:br/>
      </w:r>
      <w:r w:rsidRPr="00540C6C">
        <w:rPr>
          <w:rFonts w:ascii="Arial" w:hAnsi="Arial" w:cs="Arial"/>
          <w:sz w:val="20"/>
          <w:szCs w:val="20"/>
        </w:rPr>
        <w:t xml:space="preserve">w Szczecinie i Świnoujściu. Cała inwestycja prowadzona będzie etapowo, tak aby tereny portowe mogły nieprzerwanie funkcjonować podczas prowadzonych prac budowlanych. </w:t>
      </w:r>
      <w:r w:rsidRPr="00CF796F">
        <w:rPr>
          <w:rFonts w:ascii="Arial" w:hAnsi="Arial" w:cs="Arial"/>
          <w:sz w:val="20"/>
          <w:szCs w:val="20"/>
        </w:rPr>
        <w:t xml:space="preserve">Przewidywany okres realizacji </w:t>
      </w:r>
      <w:r w:rsidR="00CF796F">
        <w:rPr>
          <w:rFonts w:ascii="Arial" w:hAnsi="Arial" w:cs="Arial"/>
          <w:sz w:val="20"/>
          <w:szCs w:val="20"/>
        </w:rPr>
        <w:t>to lata</w:t>
      </w:r>
      <w:r w:rsidRPr="00CF796F">
        <w:rPr>
          <w:rFonts w:ascii="Arial" w:hAnsi="Arial" w:cs="Arial"/>
          <w:sz w:val="20"/>
          <w:szCs w:val="20"/>
        </w:rPr>
        <w:t xml:space="preserve"> 2019 – 2022</w:t>
      </w:r>
      <w:r w:rsidR="00CF796F">
        <w:rPr>
          <w:rFonts w:ascii="Arial" w:hAnsi="Arial" w:cs="Arial"/>
          <w:sz w:val="20"/>
          <w:szCs w:val="20"/>
        </w:rPr>
        <w:t>.</w:t>
      </w:r>
    </w:p>
    <w:p w14:paraId="6598B57C" w14:textId="77777777" w:rsidR="00C76A66" w:rsidRPr="00C76A66" w:rsidRDefault="005F350A" w:rsidP="00BF76C0">
      <w:pPr>
        <w:pStyle w:val="Akapitzlist"/>
        <w:numPr>
          <w:ilvl w:val="0"/>
          <w:numId w:val="3"/>
        </w:numPr>
        <w:spacing w:before="120" w:after="120" w:line="240" w:lineRule="auto"/>
        <w:jc w:val="both"/>
        <w:rPr>
          <w:rFonts w:ascii="Arial" w:hAnsi="Arial" w:cs="Arial"/>
          <w:sz w:val="20"/>
          <w:szCs w:val="20"/>
        </w:rPr>
      </w:pPr>
      <w:r w:rsidRPr="00CF796F">
        <w:rPr>
          <w:rFonts w:ascii="Arial" w:hAnsi="Arial" w:cs="Arial"/>
          <w:b/>
          <w:sz w:val="20"/>
          <w:szCs w:val="20"/>
        </w:rPr>
        <w:t>Poprawa dostępu do portu w Szczecinie w rejonie Kanału D</w:t>
      </w:r>
      <w:r w:rsidR="000B4658">
        <w:rPr>
          <w:rFonts w:ascii="Arial" w:hAnsi="Arial" w:cs="Arial"/>
          <w:b/>
          <w:sz w:val="20"/>
          <w:szCs w:val="20"/>
        </w:rPr>
        <w:t>ębickiego</w:t>
      </w:r>
      <w:r w:rsidRPr="00CF796F">
        <w:rPr>
          <w:rFonts w:ascii="Arial" w:hAnsi="Arial" w:cs="Arial"/>
          <w:sz w:val="20"/>
          <w:szCs w:val="20"/>
        </w:rPr>
        <w:t xml:space="preserve"> </w:t>
      </w:r>
    </w:p>
    <w:p w14:paraId="2E773D13" w14:textId="77777777" w:rsidR="005F350A" w:rsidRPr="00C76A66" w:rsidRDefault="00C76A66" w:rsidP="00D47D25">
      <w:pPr>
        <w:spacing w:before="120" w:after="120" w:line="276" w:lineRule="auto"/>
        <w:jc w:val="both"/>
        <w:rPr>
          <w:rFonts w:ascii="Arial" w:hAnsi="Arial" w:cs="Arial"/>
          <w:sz w:val="20"/>
          <w:szCs w:val="20"/>
        </w:rPr>
      </w:pPr>
      <w:r>
        <w:rPr>
          <w:rFonts w:ascii="Arial" w:hAnsi="Arial" w:cs="Arial"/>
          <w:sz w:val="20"/>
          <w:szCs w:val="20"/>
        </w:rPr>
        <w:t>P</w:t>
      </w:r>
      <w:r w:rsidR="005F350A" w:rsidRPr="00C76A66">
        <w:rPr>
          <w:rFonts w:ascii="Arial" w:hAnsi="Arial" w:cs="Arial"/>
          <w:sz w:val="20"/>
          <w:szCs w:val="20"/>
        </w:rPr>
        <w:t xml:space="preserve">rojekt planowany do dofinansowania z Funduszu Spójności, Program Operacyjny Infrastruktura </w:t>
      </w:r>
      <w:r w:rsidR="00D47D25">
        <w:rPr>
          <w:rFonts w:ascii="Arial" w:hAnsi="Arial" w:cs="Arial"/>
          <w:sz w:val="20"/>
          <w:szCs w:val="20"/>
        </w:rPr>
        <w:br/>
      </w:r>
      <w:r w:rsidR="005F350A" w:rsidRPr="00C76A66">
        <w:rPr>
          <w:rFonts w:ascii="Arial" w:hAnsi="Arial" w:cs="Arial"/>
          <w:sz w:val="20"/>
          <w:szCs w:val="20"/>
        </w:rPr>
        <w:t>i Środowisk</w:t>
      </w:r>
      <w:r w:rsidR="007E4B12" w:rsidRPr="00C76A66">
        <w:rPr>
          <w:rFonts w:ascii="Arial" w:hAnsi="Arial" w:cs="Arial"/>
          <w:sz w:val="20"/>
          <w:szCs w:val="20"/>
        </w:rPr>
        <w:t>o</w:t>
      </w:r>
      <w:r w:rsidR="005F350A" w:rsidRPr="00C76A66">
        <w:rPr>
          <w:rFonts w:ascii="Arial" w:hAnsi="Arial" w:cs="Arial"/>
          <w:sz w:val="20"/>
          <w:szCs w:val="20"/>
        </w:rPr>
        <w:t xml:space="preserve"> 2014-2020, Oś Priorytetowa III  Rozwój sieci drogowej TEN-T i transportu multimodalnego, Działanie 3.2 Rozwój transportu morskiego, śródlądowych dróg wodnych i połączeń multimodalnych</w:t>
      </w:r>
    </w:p>
    <w:p w14:paraId="2F6ED260" w14:textId="4EF42DF2" w:rsidR="005F350A" w:rsidRPr="00540C6C" w:rsidRDefault="005F350A" w:rsidP="00D47D25">
      <w:pPr>
        <w:spacing w:before="120" w:after="120" w:line="276" w:lineRule="auto"/>
        <w:jc w:val="both"/>
        <w:rPr>
          <w:rFonts w:ascii="Arial" w:hAnsi="Arial" w:cs="Arial"/>
          <w:sz w:val="20"/>
          <w:szCs w:val="20"/>
        </w:rPr>
      </w:pPr>
      <w:r w:rsidRPr="00540C6C">
        <w:rPr>
          <w:rFonts w:ascii="Arial" w:hAnsi="Arial" w:cs="Arial"/>
          <w:sz w:val="20"/>
          <w:szCs w:val="20"/>
        </w:rPr>
        <w:t xml:space="preserve">Celem działań inwestycyjnych w basenie Kanału Dębickiego jest uzyskanie zwiększonego jakościowo </w:t>
      </w:r>
      <w:r w:rsidRPr="00540C6C">
        <w:rPr>
          <w:rFonts w:ascii="Arial" w:hAnsi="Arial" w:cs="Arial"/>
          <w:sz w:val="20"/>
          <w:szCs w:val="20"/>
        </w:rPr>
        <w:br/>
        <w:t xml:space="preserve">i ilościowo potencjału do przeładunków drobnicowych, poprzez budowę nowego nabrzeża Norweskiego wraz z wykonaniem sieci zasilających i odbiorczych oraz modernizację istniejących nabrzeży Czeskiego i Słowackiego wraz z modernizacją infrastruktury technicznej na bezpośrednim zapleczu nabrzeży </w:t>
      </w:r>
      <w:r w:rsidR="004A55DA">
        <w:rPr>
          <w:rFonts w:ascii="Arial" w:hAnsi="Arial" w:cs="Arial"/>
          <w:sz w:val="20"/>
          <w:szCs w:val="20"/>
        </w:rPr>
        <w:t xml:space="preserve">oraz </w:t>
      </w:r>
      <w:r w:rsidRPr="00540C6C">
        <w:rPr>
          <w:rFonts w:ascii="Arial" w:hAnsi="Arial" w:cs="Arial"/>
          <w:sz w:val="20"/>
          <w:szCs w:val="20"/>
        </w:rPr>
        <w:t>przystosowanie ich do</w:t>
      </w:r>
      <w:r w:rsidR="004A55DA">
        <w:rPr>
          <w:rFonts w:ascii="Arial" w:hAnsi="Arial" w:cs="Arial"/>
          <w:sz w:val="20"/>
          <w:szCs w:val="20"/>
        </w:rPr>
        <w:t xml:space="preserve"> głębokości technicznej 12,5 m.</w:t>
      </w:r>
      <w:r w:rsidRPr="00540C6C">
        <w:rPr>
          <w:rFonts w:ascii="Arial" w:hAnsi="Arial" w:cs="Arial"/>
          <w:sz w:val="20"/>
          <w:szCs w:val="20"/>
        </w:rPr>
        <w:t xml:space="preserve"> Nab</w:t>
      </w:r>
      <w:r w:rsidR="005E2CC4">
        <w:rPr>
          <w:rFonts w:ascii="Arial" w:hAnsi="Arial" w:cs="Arial"/>
          <w:sz w:val="20"/>
          <w:szCs w:val="20"/>
        </w:rPr>
        <w:t xml:space="preserve">rzeża Czeskie </w:t>
      </w:r>
      <w:r w:rsidRPr="00540C6C">
        <w:rPr>
          <w:rFonts w:ascii="Arial" w:hAnsi="Arial" w:cs="Arial"/>
          <w:sz w:val="20"/>
          <w:szCs w:val="20"/>
        </w:rPr>
        <w:t>i Słowackie są najintensywniej wykorzystywanymi nabrzeżami drobn</w:t>
      </w:r>
      <w:r w:rsidR="005E2CC4">
        <w:rPr>
          <w:rFonts w:ascii="Arial" w:hAnsi="Arial" w:cs="Arial"/>
          <w:sz w:val="20"/>
          <w:szCs w:val="20"/>
        </w:rPr>
        <w:t xml:space="preserve">icowymi w porcie w Szczecinie, </w:t>
      </w:r>
      <w:r w:rsidRPr="00540C6C">
        <w:rPr>
          <w:rFonts w:ascii="Arial" w:hAnsi="Arial" w:cs="Arial"/>
          <w:sz w:val="20"/>
          <w:szCs w:val="20"/>
        </w:rPr>
        <w:t xml:space="preserve">a zakres inwestycji zapewni dostosowanie ich parametrów do obsługi największych statków jakie będą mogły zawijać do portu </w:t>
      </w:r>
      <w:r w:rsidR="002A11C9">
        <w:rPr>
          <w:rFonts w:ascii="Arial" w:hAnsi="Arial" w:cs="Arial"/>
          <w:sz w:val="20"/>
          <w:szCs w:val="20"/>
        </w:rPr>
        <w:br/>
      </w:r>
      <w:r w:rsidRPr="00540C6C">
        <w:rPr>
          <w:rFonts w:ascii="Arial" w:hAnsi="Arial" w:cs="Arial"/>
          <w:sz w:val="20"/>
          <w:szCs w:val="20"/>
        </w:rPr>
        <w:t>w Szczecinie. Elementem wspólnym dla obu projektów jest poszerzenie Kanału Dębickiego do szerokości 200 m poprzez wybranie mas ziemnych na całym odcinku umocnienia brzegowego oraz pogłębienie do głębokości</w:t>
      </w:r>
      <w:r w:rsidR="001E23C7">
        <w:rPr>
          <w:rFonts w:ascii="Arial" w:hAnsi="Arial" w:cs="Arial"/>
          <w:sz w:val="20"/>
          <w:szCs w:val="20"/>
        </w:rPr>
        <w:t xml:space="preserve"> technicznej - 12,5</w:t>
      </w:r>
      <w:r w:rsidR="001619F3">
        <w:rPr>
          <w:rFonts w:ascii="Arial" w:hAnsi="Arial" w:cs="Arial"/>
          <w:sz w:val="20"/>
          <w:szCs w:val="20"/>
        </w:rPr>
        <w:t xml:space="preserve"> </w:t>
      </w:r>
      <w:r w:rsidR="001E23C7">
        <w:rPr>
          <w:rFonts w:ascii="Arial" w:hAnsi="Arial" w:cs="Arial"/>
          <w:sz w:val="20"/>
          <w:szCs w:val="20"/>
        </w:rPr>
        <w:t xml:space="preserve">m, </w:t>
      </w:r>
      <w:r w:rsidR="001619F3">
        <w:rPr>
          <w:rFonts w:ascii="Arial" w:hAnsi="Arial" w:cs="Arial"/>
          <w:sz w:val="20"/>
          <w:szCs w:val="20"/>
        </w:rPr>
        <w:t xml:space="preserve">co </w:t>
      </w:r>
      <w:r w:rsidR="001E23C7">
        <w:rPr>
          <w:rFonts w:ascii="Arial" w:hAnsi="Arial" w:cs="Arial"/>
          <w:sz w:val="20"/>
          <w:szCs w:val="20"/>
        </w:rPr>
        <w:t xml:space="preserve">umożliwi </w:t>
      </w:r>
      <w:r w:rsidRPr="00540C6C">
        <w:rPr>
          <w:rFonts w:ascii="Arial" w:hAnsi="Arial" w:cs="Arial"/>
          <w:sz w:val="20"/>
          <w:szCs w:val="20"/>
        </w:rPr>
        <w:t>przyst</w:t>
      </w:r>
      <w:r w:rsidR="001619F3">
        <w:rPr>
          <w:rFonts w:ascii="Arial" w:hAnsi="Arial" w:cs="Arial"/>
          <w:sz w:val="20"/>
          <w:szCs w:val="20"/>
        </w:rPr>
        <w:t xml:space="preserve">osowanie nabrzeży do parametrów </w:t>
      </w:r>
      <w:r w:rsidRPr="00540C6C">
        <w:rPr>
          <w:rFonts w:ascii="Arial" w:hAnsi="Arial" w:cs="Arial"/>
          <w:sz w:val="20"/>
          <w:szCs w:val="20"/>
        </w:rPr>
        <w:t>zmodernizowanego toru wodnego Świnoujście -</w:t>
      </w:r>
      <w:r w:rsidR="001E23C7">
        <w:rPr>
          <w:rFonts w:ascii="Arial" w:hAnsi="Arial" w:cs="Arial"/>
          <w:sz w:val="20"/>
          <w:szCs w:val="20"/>
        </w:rPr>
        <w:t xml:space="preserve"> </w:t>
      </w:r>
      <w:r w:rsidRPr="00540C6C">
        <w:rPr>
          <w:rFonts w:ascii="Arial" w:hAnsi="Arial" w:cs="Arial"/>
          <w:sz w:val="20"/>
          <w:szCs w:val="20"/>
        </w:rPr>
        <w:t xml:space="preserve">Szczecin. </w:t>
      </w:r>
      <w:r w:rsidRPr="001619F3">
        <w:rPr>
          <w:rFonts w:ascii="Arial" w:hAnsi="Arial" w:cs="Arial"/>
          <w:sz w:val="20"/>
          <w:szCs w:val="20"/>
        </w:rPr>
        <w:t>Przewidywany okres realizacji</w:t>
      </w:r>
      <w:r w:rsidRPr="00540C6C">
        <w:rPr>
          <w:rFonts w:ascii="Arial" w:hAnsi="Arial" w:cs="Arial"/>
          <w:sz w:val="20"/>
          <w:szCs w:val="20"/>
        </w:rPr>
        <w:t xml:space="preserve"> </w:t>
      </w:r>
      <w:r w:rsidR="007E4B12">
        <w:rPr>
          <w:rFonts w:ascii="Arial" w:hAnsi="Arial" w:cs="Arial"/>
          <w:sz w:val="20"/>
          <w:szCs w:val="20"/>
        </w:rPr>
        <w:t>-</w:t>
      </w:r>
      <w:r w:rsidRPr="00540C6C">
        <w:rPr>
          <w:rFonts w:ascii="Arial" w:hAnsi="Arial" w:cs="Arial"/>
          <w:sz w:val="20"/>
          <w:szCs w:val="20"/>
        </w:rPr>
        <w:t xml:space="preserve"> 20</w:t>
      </w:r>
      <w:r w:rsidR="00D32D59">
        <w:rPr>
          <w:rFonts w:ascii="Arial" w:hAnsi="Arial" w:cs="Arial"/>
          <w:sz w:val="20"/>
          <w:szCs w:val="20"/>
        </w:rPr>
        <w:t>20</w:t>
      </w:r>
      <w:r w:rsidR="001619F3">
        <w:rPr>
          <w:rFonts w:ascii="Arial" w:hAnsi="Arial" w:cs="Arial"/>
          <w:sz w:val="20"/>
          <w:szCs w:val="20"/>
        </w:rPr>
        <w:t xml:space="preserve"> </w:t>
      </w:r>
      <w:r w:rsidR="00D32D59">
        <w:rPr>
          <w:rFonts w:ascii="Arial" w:hAnsi="Arial" w:cs="Arial"/>
          <w:sz w:val="20"/>
          <w:szCs w:val="20"/>
        </w:rPr>
        <w:t>-</w:t>
      </w:r>
      <w:r w:rsidR="002A11C9">
        <w:rPr>
          <w:rFonts w:ascii="Arial" w:hAnsi="Arial" w:cs="Arial"/>
          <w:sz w:val="20"/>
          <w:szCs w:val="20"/>
        </w:rPr>
        <w:t xml:space="preserve"> </w:t>
      </w:r>
      <w:r w:rsidR="00D32D59">
        <w:rPr>
          <w:rFonts w:ascii="Arial" w:hAnsi="Arial" w:cs="Arial"/>
          <w:sz w:val="20"/>
          <w:szCs w:val="20"/>
        </w:rPr>
        <w:t>2023</w:t>
      </w:r>
      <w:r w:rsidR="001619F3">
        <w:rPr>
          <w:rFonts w:ascii="Arial" w:hAnsi="Arial" w:cs="Arial"/>
          <w:sz w:val="20"/>
          <w:szCs w:val="20"/>
        </w:rPr>
        <w:t>.</w:t>
      </w:r>
    </w:p>
    <w:p w14:paraId="498989DC" w14:textId="77777777" w:rsidR="004D2702" w:rsidRPr="004D2702" w:rsidRDefault="005F350A" w:rsidP="00BF76C0">
      <w:pPr>
        <w:pStyle w:val="Akapitzlist"/>
        <w:numPr>
          <w:ilvl w:val="0"/>
          <w:numId w:val="3"/>
        </w:numPr>
        <w:spacing w:before="120" w:after="120" w:line="276" w:lineRule="auto"/>
        <w:jc w:val="both"/>
        <w:rPr>
          <w:rFonts w:ascii="Arial" w:hAnsi="Arial" w:cs="Arial"/>
          <w:b/>
          <w:sz w:val="20"/>
          <w:szCs w:val="20"/>
        </w:rPr>
      </w:pPr>
      <w:r w:rsidRPr="004D2702">
        <w:rPr>
          <w:rFonts w:ascii="Arial" w:hAnsi="Arial" w:cs="Arial"/>
          <w:b/>
          <w:sz w:val="20"/>
          <w:szCs w:val="20"/>
        </w:rPr>
        <w:t>Poprawa dostępu do portu w Szczecinie w rejonie Basenu Kaszubskiego</w:t>
      </w:r>
      <w:r w:rsidR="007E4B12" w:rsidRPr="004D2702">
        <w:rPr>
          <w:rFonts w:ascii="Arial" w:hAnsi="Arial" w:cs="Arial"/>
          <w:b/>
          <w:sz w:val="20"/>
          <w:szCs w:val="20"/>
        </w:rPr>
        <w:t xml:space="preserve"> </w:t>
      </w:r>
    </w:p>
    <w:p w14:paraId="3C7AA6B9" w14:textId="77777777" w:rsidR="005F350A" w:rsidRPr="007E4B12" w:rsidRDefault="004D2702" w:rsidP="004D2702">
      <w:pPr>
        <w:spacing w:before="120" w:after="120" w:line="276" w:lineRule="auto"/>
        <w:jc w:val="both"/>
        <w:rPr>
          <w:rFonts w:ascii="Arial" w:hAnsi="Arial" w:cs="Arial"/>
          <w:sz w:val="20"/>
          <w:szCs w:val="20"/>
        </w:rPr>
      </w:pPr>
      <w:r>
        <w:rPr>
          <w:rFonts w:ascii="Arial" w:hAnsi="Arial" w:cs="Arial"/>
          <w:sz w:val="20"/>
          <w:szCs w:val="20"/>
        </w:rPr>
        <w:t>P</w:t>
      </w:r>
      <w:r w:rsidR="005F350A" w:rsidRPr="007E4B12">
        <w:rPr>
          <w:rFonts w:ascii="Arial" w:hAnsi="Arial" w:cs="Arial"/>
          <w:sz w:val="20"/>
          <w:szCs w:val="20"/>
        </w:rPr>
        <w:t xml:space="preserve">rojekt planowany do dofinansowania z Funduszu Spójności, Program Operacyjny Infrastruktura </w:t>
      </w:r>
      <w:r>
        <w:rPr>
          <w:rFonts w:ascii="Arial" w:hAnsi="Arial" w:cs="Arial"/>
          <w:sz w:val="20"/>
          <w:szCs w:val="20"/>
        </w:rPr>
        <w:br/>
      </w:r>
      <w:r w:rsidR="005F350A" w:rsidRPr="007E4B12">
        <w:rPr>
          <w:rFonts w:ascii="Arial" w:hAnsi="Arial" w:cs="Arial"/>
          <w:sz w:val="20"/>
          <w:szCs w:val="20"/>
        </w:rPr>
        <w:t>i Środowisk</w:t>
      </w:r>
      <w:r w:rsidR="007E4B12">
        <w:rPr>
          <w:rFonts w:ascii="Arial" w:hAnsi="Arial" w:cs="Arial"/>
          <w:sz w:val="20"/>
          <w:szCs w:val="20"/>
        </w:rPr>
        <w:t>o</w:t>
      </w:r>
      <w:r w:rsidR="005F350A" w:rsidRPr="007E4B12">
        <w:rPr>
          <w:rFonts w:ascii="Arial" w:hAnsi="Arial" w:cs="Arial"/>
          <w:sz w:val="20"/>
          <w:szCs w:val="20"/>
        </w:rPr>
        <w:t xml:space="preserve"> 2014-2020, Oś Priorytetowa III  Rozwój sieci drogowej TEN-T i transportu multimodalnego, Działanie 3.2 Rozwój transportu morskiego, śródlądowych dróg wodnych i połączeń multimodalnych</w:t>
      </w:r>
    </w:p>
    <w:p w14:paraId="485ACCF7" w14:textId="77777777" w:rsidR="005F350A" w:rsidRPr="00540C6C" w:rsidRDefault="005F350A" w:rsidP="004D2702">
      <w:pPr>
        <w:spacing w:before="120" w:after="120" w:line="276" w:lineRule="auto"/>
        <w:jc w:val="both"/>
        <w:rPr>
          <w:rFonts w:ascii="Arial" w:hAnsi="Arial" w:cs="Arial"/>
          <w:sz w:val="20"/>
          <w:szCs w:val="20"/>
        </w:rPr>
      </w:pPr>
      <w:r w:rsidRPr="00540C6C">
        <w:rPr>
          <w:rFonts w:ascii="Arial" w:hAnsi="Arial" w:cs="Arial"/>
          <w:sz w:val="20"/>
          <w:szCs w:val="20"/>
        </w:rPr>
        <w:t xml:space="preserve">Celem działań inwestycyjnych w rejonie Basenu Kaszubskiego jest uzyskanie zwiększonego jakościowo potencjału do przeładunków masowych, poprzez modernizację istniejących nabrzeży Katowickiego </w:t>
      </w:r>
      <w:r w:rsidR="004D2702">
        <w:rPr>
          <w:rFonts w:ascii="Arial" w:hAnsi="Arial" w:cs="Arial"/>
          <w:sz w:val="20"/>
          <w:szCs w:val="20"/>
        </w:rPr>
        <w:br/>
      </w:r>
      <w:r w:rsidRPr="00540C6C">
        <w:rPr>
          <w:rFonts w:ascii="Arial" w:hAnsi="Arial" w:cs="Arial"/>
          <w:sz w:val="20"/>
          <w:szCs w:val="20"/>
        </w:rPr>
        <w:t>i Chorzowskiego, które są najintensywniej wykorzystywanymi nabrzeżami w rejonie przeładunków masowych w porcie w Szczecinie. Zakres inwestycji w przypadku w/w nabrzeży obejmuje przystosowanie ich parametrów technicznych i eksploatacyjnych do obsługi największych statków</w:t>
      </w:r>
      <w:r w:rsidR="004A55DA">
        <w:rPr>
          <w:rFonts w:ascii="Arial" w:hAnsi="Arial" w:cs="Arial"/>
          <w:sz w:val="20"/>
          <w:szCs w:val="20"/>
        </w:rPr>
        <w:t>,</w:t>
      </w:r>
      <w:r w:rsidRPr="00540C6C">
        <w:rPr>
          <w:rFonts w:ascii="Arial" w:hAnsi="Arial" w:cs="Arial"/>
          <w:sz w:val="20"/>
          <w:szCs w:val="20"/>
        </w:rPr>
        <w:t xml:space="preserve"> jakie będą mogł</w:t>
      </w:r>
      <w:r w:rsidR="00F9729B">
        <w:rPr>
          <w:rFonts w:ascii="Arial" w:hAnsi="Arial" w:cs="Arial"/>
          <w:sz w:val="20"/>
          <w:szCs w:val="20"/>
        </w:rPr>
        <w:t>y zawijać do portu w Szczecinie</w:t>
      </w:r>
      <w:r w:rsidRPr="00540C6C">
        <w:rPr>
          <w:rFonts w:ascii="Arial" w:hAnsi="Arial" w:cs="Arial"/>
          <w:sz w:val="20"/>
          <w:szCs w:val="20"/>
        </w:rPr>
        <w:t xml:space="preserve">. Ponadto celem projektu jest uzyskanie głębokości technicznej Htech = 12,5m i nośności nabrzeży 40kN/m2. Elementem komplementarnym projektu jest zalądowienie Basenu Noteckiego urobkiem z robót pogłębiarskich w rejonie Basenu Kaszubskiego. Obecnie baseny portowe charakteryzują się niewielkimi głębokościami oraz nabrzeżami o stosunkowo niedużym zapleczu składowym. Dodatkowo słabe parametry techniczne nabrzeży w basenie Noteckim, brak możliwości przeładunku na nabrzeżu Dolnośląskim i konieczność dowożenia ładunku na place składowe zlokalizowane na zapleczu nabrzeża Dolnośląskiego wskazują na zasadność zasypania basenu Noteckiego oraz w dalszej perspektywie budowę nowego nabrzeża Dolnośląskiego. W efekcie wymienionych prac powstanie jednolity obszar o powierzchni około 18 ha. </w:t>
      </w:r>
      <w:r w:rsidRPr="004B71FB">
        <w:rPr>
          <w:rFonts w:ascii="Arial" w:hAnsi="Arial" w:cs="Arial"/>
          <w:sz w:val="20"/>
          <w:szCs w:val="20"/>
        </w:rPr>
        <w:t xml:space="preserve">Przewidywany okres realizacji </w:t>
      </w:r>
      <w:r w:rsidR="004B71FB">
        <w:rPr>
          <w:rFonts w:ascii="Arial" w:hAnsi="Arial" w:cs="Arial"/>
          <w:sz w:val="20"/>
          <w:szCs w:val="20"/>
        </w:rPr>
        <w:t>-</w:t>
      </w:r>
      <w:r w:rsidRPr="00540C6C">
        <w:rPr>
          <w:rFonts w:ascii="Arial" w:hAnsi="Arial" w:cs="Arial"/>
          <w:sz w:val="20"/>
          <w:szCs w:val="20"/>
        </w:rPr>
        <w:t xml:space="preserve"> 2019 – 2022</w:t>
      </w:r>
      <w:r w:rsidR="004B71FB">
        <w:rPr>
          <w:rFonts w:ascii="Arial" w:hAnsi="Arial" w:cs="Arial"/>
          <w:sz w:val="20"/>
          <w:szCs w:val="20"/>
        </w:rPr>
        <w:t>.</w:t>
      </w:r>
    </w:p>
    <w:p w14:paraId="5E75FDB0" w14:textId="77777777" w:rsidR="004D2702" w:rsidRPr="004D2702" w:rsidRDefault="005F350A" w:rsidP="00BF76C0">
      <w:pPr>
        <w:pStyle w:val="Akapitzlist"/>
        <w:numPr>
          <w:ilvl w:val="0"/>
          <w:numId w:val="3"/>
        </w:numPr>
        <w:spacing w:before="120" w:after="120" w:line="276" w:lineRule="auto"/>
        <w:jc w:val="both"/>
        <w:rPr>
          <w:rFonts w:ascii="Arial" w:hAnsi="Arial" w:cs="Arial"/>
          <w:sz w:val="20"/>
          <w:szCs w:val="20"/>
        </w:rPr>
      </w:pPr>
      <w:r w:rsidRPr="004D2702">
        <w:rPr>
          <w:rFonts w:ascii="Arial" w:hAnsi="Arial" w:cs="Arial"/>
          <w:b/>
          <w:sz w:val="20"/>
          <w:szCs w:val="20"/>
        </w:rPr>
        <w:t>Poprawa dostępu kolejowego do portów w Szczecinie i Świnoujściu</w:t>
      </w:r>
      <w:r w:rsidRPr="004D2702">
        <w:rPr>
          <w:rFonts w:ascii="Arial" w:hAnsi="Arial" w:cs="Arial"/>
          <w:b/>
          <w:i/>
          <w:sz w:val="20"/>
          <w:szCs w:val="20"/>
        </w:rPr>
        <w:t xml:space="preserve"> </w:t>
      </w:r>
      <w:r w:rsidRPr="004D2702">
        <w:rPr>
          <w:rFonts w:ascii="Arial" w:hAnsi="Arial" w:cs="Arial"/>
          <w:i/>
          <w:sz w:val="20"/>
          <w:szCs w:val="20"/>
        </w:rPr>
        <w:t xml:space="preserve"> </w:t>
      </w:r>
    </w:p>
    <w:p w14:paraId="6F924098" w14:textId="258146F8" w:rsidR="005F350A" w:rsidRPr="00540C6C" w:rsidRDefault="004D2702" w:rsidP="004D2702">
      <w:pPr>
        <w:spacing w:before="120" w:after="120" w:line="276" w:lineRule="auto"/>
        <w:jc w:val="both"/>
        <w:rPr>
          <w:rFonts w:ascii="Arial" w:hAnsi="Arial" w:cs="Arial"/>
          <w:sz w:val="20"/>
          <w:szCs w:val="20"/>
        </w:rPr>
      </w:pPr>
      <w:r>
        <w:rPr>
          <w:rFonts w:ascii="Arial" w:hAnsi="Arial" w:cs="Arial"/>
          <w:sz w:val="20"/>
          <w:szCs w:val="20"/>
        </w:rPr>
        <w:t>P</w:t>
      </w:r>
      <w:r w:rsidR="005F350A" w:rsidRPr="004D2702">
        <w:rPr>
          <w:rFonts w:ascii="Arial" w:hAnsi="Arial" w:cs="Arial"/>
          <w:sz w:val="20"/>
          <w:szCs w:val="20"/>
        </w:rPr>
        <w:t>rojekt nr 2015-PL-TM-0125 realizowan</w:t>
      </w:r>
      <w:r w:rsidR="00CE5455" w:rsidRPr="004D2702">
        <w:rPr>
          <w:rFonts w:ascii="Arial" w:hAnsi="Arial" w:cs="Arial"/>
          <w:sz w:val="20"/>
          <w:szCs w:val="20"/>
        </w:rPr>
        <w:t>y w ramach CEF „Łącząc Europę”</w:t>
      </w:r>
      <w:r>
        <w:rPr>
          <w:rFonts w:ascii="Arial" w:hAnsi="Arial" w:cs="Arial"/>
          <w:sz w:val="20"/>
          <w:szCs w:val="20"/>
        </w:rPr>
        <w:t xml:space="preserve">. </w:t>
      </w:r>
      <w:r w:rsidR="005F350A" w:rsidRPr="00540C6C">
        <w:rPr>
          <w:rFonts w:ascii="Arial" w:hAnsi="Arial" w:cs="Arial"/>
          <w:sz w:val="20"/>
          <w:szCs w:val="20"/>
        </w:rPr>
        <w:t>Głównym beneficjentem Projektu pn</w:t>
      </w:r>
      <w:r w:rsidR="00CE5455">
        <w:rPr>
          <w:rFonts w:ascii="Arial" w:hAnsi="Arial" w:cs="Arial"/>
          <w:sz w:val="20"/>
          <w:szCs w:val="20"/>
        </w:rPr>
        <w:t>.</w:t>
      </w:r>
      <w:r w:rsidR="005F350A" w:rsidRPr="00540C6C">
        <w:rPr>
          <w:rFonts w:ascii="Arial" w:hAnsi="Arial" w:cs="Arial"/>
          <w:sz w:val="20"/>
          <w:szCs w:val="20"/>
        </w:rPr>
        <w:t xml:space="preserve"> „Poprawa dostępu kolejowego do portów w Szczecinie i Świnoujściu” jest PKP PLK S.A.</w:t>
      </w:r>
      <w:r w:rsidR="006C0813">
        <w:rPr>
          <w:rFonts w:ascii="Arial" w:hAnsi="Arial" w:cs="Arial"/>
          <w:sz w:val="20"/>
          <w:szCs w:val="20"/>
        </w:rPr>
        <w:t>, a współbeneficjentem Zarząd Morskich Portów Szczecin i Świnoujście S.A.</w:t>
      </w:r>
      <w:r w:rsidR="00F9729B">
        <w:rPr>
          <w:rFonts w:ascii="Arial" w:hAnsi="Arial" w:cs="Arial"/>
          <w:sz w:val="20"/>
          <w:szCs w:val="20"/>
        </w:rPr>
        <w:t xml:space="preserve"> </w:t>
      </w:r>
      <w:r w:rsidR="00CE5455">
        <w:rPr>
          <w:rFonts w:ascii="Arial" w:hAnsi="Arial" w:cs="Arial"/>
          <w:sz w:val="20"/>
          <w:szCs w:val="20"/>
        </w:rPr>
        <w:t>Celem Inwestycji jest przede wszystkim</w:t>
      </w:r>
      <w:r w:rsidR="005F350A" w:rsidRPr="00540C6C">
        <w:rPr>
          <w:rFonts w:ascii="Arial" w:hAnsi="Arial" w:cs="Arial"/>
          <w:sz w:val="20"/>
          <w:szCs w:val="20"/>
        </w:rPr>
        <w:t xml:space="preserve"> likwidacja wąskich gardeł, zwiększenie przepustowości </w:t>
      </w:r>
      <w:r w:rsidR="006C0813">
        <w:rPr>
          <w:rFonts w:ascii="Arial" w:hAnsi="Arial" w:cs="Arial"/>
          <w:sz w:val="20"/>
          <w:szCs w:val="20"/>
        </w:rPr>
        <w:t>dostępu</w:t>
      </w:r>
      <w:r w:rsidR="005F350A" w:rsidRPr="00540C6C">
        <w:rPr>
          <w:rFonts w:ascii="Arial" w:hAnsi="Arial" w:cs="Arial"/>
          <w:sz w:val="20"/>
          <w:szCs w:val="20"/>
        </w:rPr>
        <w:t xml:space="preserve">, skrócenie czasu dowozu </w:t>
      </w:r>
      <w:r w:rsidR="00FD78C3">
        <w:rPr>
          <w:rFonts w:ascii="Arial" w:hAnsi="Arial" w:cs="Arial"/>
          <w:sz w:val="20"/>
          <w:szCs w:val="20"/>
        </w:rPr>
        <w:br/>
      </w:r>
      <w:r w:rsidR="005F350A" w:rsidRPr="00540C6C">
        <w:rPr>
          <w:rFonts w:ascii="Arial" w:hAnsi="Arial" w:cs="Arial"/>
          <w:sz w:val="20"/>
          <w:szCs w:val="20"/>
        </w:rPr>
        <w:t>i odwozu ładunków, a także zapewnienie jak najwyższej punktualności realizowanych kolejowych połączeń towarowych, skutkiem czego nastąpi znaczący wzrost jakości oferowanych prze</w:t>
      </w:r>
      <w:r w:rsidR="0014580B">
        <w:rPr>
          <w:rFonts w:ascii="Arial" w:hAnsi="Arial" w:cs="Arial"/>
          <w:sz w:val="20"/>
          <w:szCs w:val="20"/>
        </w:rPr>
        <w:t>z</w:t>
      </w:r>
      <w:r w:rsidR="005F350A" w:rsidRPr="00540C6C">
        <w:rPr>
          <w:rFonts w:ascii="Arial" w:hAnsi="Arial" w:cs="Arial"/>
          <w:sz w:val="20"/>
          <w:szCs w:val="20"/>
        </w:rPr>
        <w:t xml:space="preserve"> porty usług oraz podniesienie konkurencyjności Zespołu </w:t>
      </w:r>
      <w:r w:rsidR="00F9729B">
        <w:rPr>
          <w:rFonts w:ascii="Arial" w:hAnsi="Arial" w:cs="Arial"/>
          <w:sz w:val="20"/>
          <w:szCs w:val="20"/>
        </w:rPr>
        <w:t xml:space="preserve">Portowego Szczecin </w:t>
      </w:r>
      <w:r w:rsidR="0014580B">
        <w:rPr>
          <w:rFonts w:ascii="Arial" w:hAnsi="Arial" w:cs="Arial"/>
          <w:sz w:val="20"/>
          <w:szCs w:val="20"/>
        </w:rPr>
        <w:t>-</w:t>
      </w:r>
      <w:r w:rsidR="00F9729B">
        <w:rPr>
          <w:rFonts w:ascii="Arial" w:hAnsi="Arial" w:cs="Arial"/>
          <w:sz w:val="20"/>
          <w:szCs w:val="20"/>
        </w:rPr>
        <w:t xml:space="preserve"> Świnoujście</w:t>
      </w:r>
      <w:r w:rsidR="005F350A" w:rsidRPr="00540C6C">
        <w:rPr>
          <w:rFonts w:ascii="Arial" w:hAnsi="Arial" w:cs="Arial"/>
          <w:sz w:val="20"/>
          <w:szCs w:val="20"/>
        </w:rPr>
        <w:t xml:space="preserve"> na rynku usług morskich. </w:t>
      </w:r>
    </w:p>
    <w:p w14:paraId="58C50A7E" w14:textId="77777777" w:rsidR="005F350A" w:rsidRPr="00540C6C" w:rsidRDefault="005F350A" w:rsidP="005F350A">
      <w:pPr>
        <w:contextualSpacing/>
        <w:jc w:val="both"/>
        <w:rPr>
          <w:rFonts w:ascii="Arial" w:hAnsi="Arial" w:cs="Arial"/>
          <w:sz w:val="20"/>
          <w:szCs w:val="20"/>
        </w:rPr>
      </w:pPr>
      <w:r w:rsidRPr="00540C6C">
        <w:rPr>
          <w:rFonts w:ascii="Arial" w:hAnsi="Arial" w:cs="Arial"/>
          <w:sz w:val="20"/>
          <w:szCs w:val="20"/>
        </w:rPr>
        <w:t xml:space="preserve">Zakres projektu w porcie w Szczecinie obejmuje: </w:t>
      </w:r>
    </w:p>
    <w:p w14:paraId="4928D588" w14:textId="77777777" w:rsidR="006C0813" w:rsidRDefault="006C0813" w:rsidP="006C0813">
      <w:pPr>
        <w:spacing w:after="0" w:line="276" w:lineRule="auto"/>
        <w:jc w:val="both"/>
        <w:rPr>
          <w:rFonts w:ascii="Arial" w:hAnsi="Arial" w:cs="Arial"/>
          <w:sz w:val="20"/>
          <w:szCs w:val="20"/>
        </w:rPr>
      </w:pPr>
      <w:r w:rsidRPr="006C0813">
        <w:rPr>
          <w:rFonts w:ascii="Arial" w:hAnsi="Arial" w:cs="Arial"/>
          <w:sz w:val="20"/>
          <w:szCs w:val="20"/>
        </w:rPr>
        <w:t xml:space="preserve">- przebudowę trzech wiaduktów kolejowych, </w:t>
      </w:r>
    </w:p>
    <w:p w14:paraId="093AB292" w14:textId="77777777" w:rsidR="006C0813" w:rsidRDefault="006C0813" w:rsidP="006C0813">
      <w:pPr>
        <w:spacing w:after="0" w:line="276" w:lineRule="auto"/>
        <w:jc w:val="both"/>
        <w:rPr>
          <w:rFonts w:ascii="Arial" w:hAnsi="Arial" w:cs="Arial"/>
          <w:sz w:val="20"/>
          <w:szCs w:val="20"/>
        </w:rPr>
      </w:pPr>
      <w:r w:rsidRPr="006C0813">
        <w:rPr>
          <w:rFonts w:ascii="Arial" w:hAnsi="Arial" w:cs="Arial"/>
          <w:sz w:val="20"/>
          <w:szCs w:val="20"/>
        </w:rPr>
        <w:t xml:space="preserve">- przebudowę mostu kolejowego, </w:t>
      </w:r>
    </w:p>
    <w:p w14:paraId="4716A5E6" w14:textId="77777777" w:rsidR="006C0813" w:rsidRDefault="006C0813" w:rsidP="006C0813">
      <w:pPr>
        <w:spacing w:after="0" w:line="276" w:lineRule="auto"/>
        <w:jc w:val="both"/>
        <w:rPr>
          <w:rFonts w:ascii="Arial" w:hAnsi="Arial" w:cs="Arial"/>
          <w:sz w:val="20"/>
          <w:szCs w:val="20"/>
        </w:rPr>
      </w:pPr>
      <w:r w:rsidRPr="006C0813">
        <w:rPr>
          <w:rFonts w:ascii="Arial" w:hAnsi="Arial" w:cs="Arial"/>
          <w:sz w:val="20"/>
          <w:szCs w:val="20"/>
        </w:rPr>
        <w:t xml:space="preserve">- elektryfikację dojazdu do Terminala Kontenerowego Ostrów Grabowski (skrócenie czasu przejazdu pociągu nawet o 2 godz.), </w:t>
      </w:r>
    </w:p>
    <w:p w14:paraId="2AE3B502" w14:textId="557B41A0" w:rsidR="006C0813" w:rsidRDefault="006C0813" w:rsidP="006C0813">
      <w:pPr>
        <w:spacing w:after="0" w:line="276" w:lineRule="auto"/>
        <w:jc w:val="both"/>
        <w:rPr>
          <w:rFonts w:ascii="Arial" w:hAnsi="Arial" w:cs="Arial"/>
          <w:sz w:val="20"/>
          <w:szCs w:val="20"/>
        </w:rPr>
      </w:pPr>
      <w:r w:rsidRPr="006C0813">
        <w:rPr>
          <w:rFonts w:ascii="Arial" w:hAnsi="Arial" w:cs="Arial"/>
          <w:sz w:val="20"/>
          <w:szCs w:val="20"/>
        </w:rPr>
        <w:t>- przebudowę infrastruktury kolejowej na Stacji Szczecin Port Centralny w rejonach SPA, SPB, SPC, SPD oraz Terminala Ostrów Grabowski (infrastruktura ZMPSiŚ S.A.)</w:t>
      </w:r>
      <w:r>
        <w:rPr>
          <w:rFonts w:ascii="Arial" w:hAnsi="Arial" w:cs="Arial"/>
          <w:sz w:val="20"/>
          <w:szCs w:val="20"/>
        </w:rPr>
        <w:t>:</w:t>
      </w:r>
      <w:r w:rsidRPr="006C0813">
        <w:rPr>
          <w:rFonts w:ascii="Arial" w:hAnsi="Arial" w:cs="Arial"/>
          <w:sz w:val="20"/>
          <w:szCs w:val="20"/>
        </w:rPr>
        <w:t xml:space="preserve"> </w:t>
      </w:r>
    </w:p>
    <w:p w14:paraId="78057360" w14:textId="3060B674" w:rsid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przebudowa torów kolejowych,</w:t>
      </w:r>
    </w:p>
    <w:p w14:paraId="42F75B6A" w14:textId="37E3EA23" w:rsid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 xml:space="preserve">przebudowa sieci trakcyjnej, </w:t>
      </w:r>
    </w:p>
    <w:p w14:paraId="515C74CC" w14:textId="6151C082" w:rsid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 xml:space="preserve">wymiana rozjazdów, </w:t>
      </w:r>
    </w:p>
    <w:p w14:paraId="74803E0B" w14:textId="5659A74B" w:rsidR="006C0813" w:rsidRP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modernizacja przejazdów drogowo-kolejowych.</w:t>
      </w:r>
    </w:p>
    <w:p w14:paraId="7CEE082A" w14:textId="77777777" w:rsidR="006C0813" w:rsidRDefault="006C0813" w:rsidP="006C0813">
      <w:pPr>
        <w:spacing w:after="0" w:line="276" w:lineRule="auto"/>
        <w:jc w:val="both"/>
        <w:rPr>
          <w:rFonts w:ascii="Arial" w:hAnsi="Arial" w:cs="Arial"/>
          <w:sz w:val="20"/>
          <w:szCs w:val="20"/>
        </w:rPr>
      </w:pPr>
      <w:r w:rsidRPr="006C0813">
        <w:rPr>
          <w:rFonts w:ascii="Arial" w:hAnsi="Arial" w:cs="Arial"/>
          <w:sz w:val="20"/>
          <w:szCs w:val="20"/>
        </w:rPr>
        <w:t xml:space="preserve">Zakres projektu w Świnoujściu obejmuje: </w:t>
      </w:r>
    </w:p>
    <w:p w14:paraId="753B7FCF" w14:textId="0BA35D86" w:rsidR="006C0813" w:rsidRPr="006C0813" w:rsidRDefault="006C0813" w:rsidP="006C0813">
      <w:pPr>
        <w:spacing w:after="0" w:line="276" w:lineRule="auto"/>
        <w:jc w:val="both"/>
        <w:rPr>
          <w:rFonts w:ascii="Arial" w:hAnsi="Arial" w:cs="Arial"/>
          <w:sz w:val="20"/>
          <w:szCs w:val="20"/>
        </w:rPr>
      </w:pPr>
      <w:r w:rsidRPr="006C0813">
        <w:rPr>
          <w:rFonts w:ascii="Arial" w:hAnsi="Arial" w:cs="Arial"/>
          <w:sz w:val="20"/>
          <w:szCs w:val="20"/>
        </w:rPr>
        <w:t>- przebudowę infrastruktury kolejowej na Stacji Świnoujście w rejonach SiA, SiB oraz na grupie torów zdawczo-odbiorczych (infrastruktura ZMPSiS S.A.)</w:t>
      </w:r>
      <w:r>
        <w:rPr>
          <w:rFonts w:ascii="Arial" w:hAnsi="Arial" w:cs="Arial"/>
          <w:sz w:val="20"/>
          <w:szCs w:val="20"/>
        </w:rPr>
        <w:t>:</w:t>
      </w:r>
    </w:p>
    <w:p w14:paraId="2231B94B" w14:textId="77777777" w:rsidR="006C0813" w:rsidRP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 xml:space="preserve">przebudowa torów kolejowych, </w:t>
      </w:r>
    </w:p>
    <w:p w14:paraId="1B041AD0" w14:textId="77777777" w:rsidR="006C0813" w:rsidRP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 xml:space="preserve">przebudowa sieci trakcyjnej, </w:t>
      </w:r>
    </w:p>
    <w:p w14:paraId="1EDFC5B9" w14:textId="77777777" w:rsidR="006C0813" w:rsidRP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 xml:space="preserve">wymiana rozjazdów, </w:t>
      </w:r>
    </w:p>
    <w:p w14:paraId="610F4C57" w14:textId="77777777" w:rsidR="006C0813" w:rsidRDefault="006C0813" w:rsidP="006C0813">
      <w:pPr>
        <w:pStyle w:val="Akapitzlist"/>
        <w:numPr>
          <w:ilvl w:val="0"/>
          <w:numId w:val="3"/>
        </w:numPr>
        <w:spacing w:after="0" w:line="276" w:lineRule="auto"/>
        <w:jc w:val="both"/>
        <w:rPr>
          <w:rFonts w:ascii="Arial" w:hAnsi="Arial" w:cs="Arial"/>
          <w:sz w:val="20"/>
          <w:szCs w:val="20"/>
        </w:rPr>
      </w:pPr>
      <w:r w:rsidRPr="006C0813">
        <w:rPr>
          <w:rFonts w:ascii="Arial" w:hAnsi="Arial" w:cs="Arial"/>
          <w:sz w:val="20"/>
          <w:szCs w:val="20"/>
        </w:rPr>
        <w:t xml:space="preserve">modernizacja przejazdów drogowo-kolejowych. </w:t>
      </w:r>
    </w:p>
    <w:p w14:paraId="06A32B41" w14:textId="160BBD55" w:rsidR="006C0813" w:rsidRDefault="006C0813" w:rsidP="00FD78C3">
      <w:pPr>
        <w:spacing w:before="120" w:after="120" w:line="276" w:lineRule="auto"/>
        <w:jc w:val="both"/>
        <w:rPr>
          <w:rFonts w:ascii="Arial" w:hAnsi="Arial" w:cs="Arial"/>
          <w:sz w:val="20"/>
          <w:szCs w:val="20"/>
        </w:rPr>
      </w:pPr>
      <w:r w:rsidRPr="006C0813">
        <w:rPr>
          <w:rFonts w:ascii="Arial" w:hAnsi="Arial" w:cs="Arial"/>
          <w:sz w:val="20"/>
          <w:szCs w:val="20"/>
        </w:rPr>
        <w:t xml:space="preserve">Czas realizacji projektu przewidziany </w:t>
      </w:r>
      <w:r w:rsidR="00FD78C3">
        <w:rPr>
          <w:rFonts w:ascii="Arial" w:hAnsi="Arial" w:cs="Arial"/>
          <w:sz w:val="20"/>
          <w:szCs w:val="20"/>
        </w:rPr>
        <w:t xml:space="preserve">jest </w:t>
      </w:r>
      <w:r w:rsidR="006D2A99">
        <w:rPr>
          <w:rFonts w:ascii="Arial" w:hAnsi="Arial" w:cs="Arial"/>
          <w:sz w:val="20"/>
          <w:szCs w:val="20"/>
        </w:rPr>
        <w:t>na lata 2016</w:t>
      </w:r>
      <w:r w:rsidRPr="006C0813">
        <w:rPr>
          <w:rFonts w:ascii="Arial" w:hAnsi="Arial" w:cs="Arial"/>
          <w:sz w:val="20"/>
          <w:szCs w:val="20"/>
        </w:rPr>
        <w:t xml:space="preserve"> - 2022.</w:t>
      </w:r>
    </w:p>
    <w:p w14:paraId="687C3C28" w14:textId="77777777" w:rsidR="00FD78C3" w:rsidRPr="006C0813" w:rsidRDefault="00FD78C3" w:rsidP="006C0813">
      <w:pPr>
        <w:pStyle w:val="Akapitzlist"/>
        <w:spacing w:after="0" w:line="276" w:lineRule="auto"/>
        <w:ind w:left="360"/>
        <w:jc w:val="both"/>
        <w:rPr>
          <w:rFonts w:ascii="Arial" w:hAnsi="Arial" w:cs="Arial"/>
          <w:sz w:val="20"/>
          <w:szCs w:val="20"/>
        </w:rPr>
      </w:pPr>
    </w:p>
    <w:p w14:paraId="0697501E" w14:textId="77777777" w:rsidR="005F350A" w:rsidRPr="00540C6C" w:rsidRDefault="005F350A" w:rsidP="005F350A">
      <w:pPr>
        <w:spacing w:after="0"/>
        <w:jc w:val="both"/>
        <w:rPr>
          <w:rFonts w:ascii="Arial" w:hAnsi="Arial" w:cs="Arial"/>
          <w:sz w:val="20"/>
          <w:szCs w:val="20"/>
        </w:rPr>
      </w:pPr>
    </w:p>
    <w:p w14:paraId="75E94C43" w14:textId="77777777" w:rsidR="005F350A" w:rsidRPr="00150C6A" w:rsidRDefault="005F350A" w:rsidP="00BF76C0">
      <w:pPr>
        <w:pStyle w:val="Akapitzlist"/>
        <w:numPr>
          <w:ilvl w:val="0"/>
          <w:numId w:val="3"/>
        </w:numPr>
        <w:spacing w:after="0" w:line="276" w:lineRule="auto"/>
        <w:jc w:val="both"/>
        <w:rPr>
          <w:rFonts w:ascii="Arial" w:hAnsi="Arial" w:cs="Arial"/>
          <w:b/>
          <w:sz w:val="20"/>
          <w:szCs w:val="20"/>
        </w:rPr>
      </w:pPr>
      <w:r w:rsidRPr="00150C6A">
        <w:rPr>
          <w:rFonts w:ascii="Arial" w:hAnsi="Arial" w:cs="Arial"/>
          <w:b/>
          <w:sz w:val="20"/>
          <w:szCs w:val="20"/>
        </w:rPr>
        <w:t>Budowa systemu Pilotowo-Dokującego (PNDS) dla zbiornikowców LNG oraz promów morskich</w:t>
      </w:r>
    </w:p>
    <w:p w14:paraId="121F9D7B" w14:textId="77777777" w:rsidR="005F350A" w:rsidRPr="00540C6C" w:rsidRDefault="005F350A" w:rsidP="005F350A">
      <w:pPr>
        <w:spacing w:after="0" w:line="240" w:lineRule="auto"/>
        <w:rPr>
          <w:rFonts w:ascii="Arial" w:hAnsi="Arial" w:cs="Arial"/>
          <w:b/>
          <w:bCs/>
          <w:sz w:val="20"/>
          <w:szCs w:val="20"/>
        </w:rPr>
      </w:pPr>
    </w:p>
    <w:p w14:paraId="61E923F7" w14:textId="77777777" w:rsidR="005F350A" w:rsidRPr="00540C6C" w:rsidRDefault="005F350A" w:rsidP="003B120E">
      <w:pPr>
        <w:spacing w:before="120" w:after="120" w:line="276" w:lineRule="auto"/>
        <w:jc w:val="both"/>
        <w:rPr>
          <w:rFonts w:ascii="Arial" w:hAnsi="Arial" w:cs="Arial"/>
          <w:sz w:val="20"/>
          <w:szCs w:val="20"/>
        </w:rPr>
      </w:pPr>
      <w:r w:rsidRPr="00540C6C">
        <w:rPr>
          <w:rFonts w:ascii="Arial" w:hAnsi="Arial" w:cs="Arial"/>
          <w:sz w:val="20"/>
          <w:szCs w:val="20"/>
        </w:rPr>
        <w:t xml:space="preserve">Projekt realizowany we współpracy z Trelleborgs Hamn AB (główny Beneficjent) oraz TT-Line AB </w:t>
      </w:r>
      <w:r w:rsidRPr="00540C6C">
        <w:rPr>
          <w:rFonts w:ascii="Arial" w:hAnsi="Arial" w:cs="Arial"/>
          <w:sz w:val="20"/>
          <w:szCs w:val="20"/>
        </w:rPr>
        <w:br/>
        <w:t xml:space="preserve">w ramach CEF </w:t>
      </w:r>
      <w:r w:rsidR="00150C6A">
        <w:rPr>
          <w:rFonts w:ascii="Arial" w:hAnsi="Arial" w:cs="Arial"/>
          <w:sz w:val="20"/>
          <w:szCs w:val="20"/>
        </w:rPr>
        <w:t>-</w:t>
      </w:r>
      <w:r w:rsidRPr="00540C6C">
        <w:rPr>
          <w:rFonts w:ascii="Arial" w:hAnsi="Arial" w:cs="Arial"/>
          <w:sz w:val="20"/>
          <w:szCs w:val="20"/>
        </w:rPr>
        <w:t xml:space="preserve"> Sektor Transportu</w:t>
      </w:r>
      <w:r w:rsidR="00F9729B">
        <w:rPr>
          <w:rFonts w:ascii="Arial" w:hAnsi="Arial" w:cs="Arial"/>
          <w:sz w:val="20"/>
          <w:szCs w:val="20"/>
        </w:rPr>
        <w:t xml:space="preserve">. </w:t>
      </w:r>
      <w:r w:rsidRPr="00540C6C">
        <w:rPr>
          <w:rFonts w:ascii="Arial" w:hAnsi="Arial" w:cs="Arial"/>
          <w:sz w:val="20"/>
          <w:szCs w:val="20"/>
        </w:rPr>
        <w:t>Celem projektu jest opracowanie, przetestowanie i wdrożenie systemu dokującego do nawigacji portowej (PNDS) w porcie w Świnoujście w połączeniu z operatorami promowymi. System ten znacznie zwiększy bezpieczeństwo i niezawodność operacji cumowania na terminalu promowym.</w:t>
      </w:r>
      <w:r w:rsidR="00F9729B">
        <w:rPr>
          <w:rFonts w:ascii="Arial" w:hAnsi="Arial" w:cs="Arial"/>
          <w:sz w:val="20"/>
          <w:szCs w:val="20"/>
        </w:rPr>
        <w:t xml:space="preserve"> </w:t>
      </w:r>
      <w:r w:rsidRPr="00540C6C">
        <w:rPr>
          <w:rFonts w:ascii="Arial" w:hAnsi="Arial" w:cs="Arial"/>
          <w:sz w:val="20"/>
          <w:szCs w:val="20"/>
        </w:rPr>
        <w:t>System PNDS służy do określania odległości burty statku od zespołu głowic laserowych lub skanerów 2D umieszczonych na lądzie i transmisji bezprzewodowej tej informacji na statek za pomocą modemu lub sieci komórkowej GSM (konieczności posiadania serwera). Wyświetlanie informacji o odległości do laserów lub obrazu skanującego jest wykonywane za pomocą strony internetowej, lub dedykowanym programie graficznym dla urządzenia mobilnego (aplika</w:t>
      </w:r>
      <w:r w:rsidR="009E04E5">
        <w:rPr>
          <w:rFonts w:ascii="Arial" w:hAnsi="Arial" w:cs="Arial"/>
          <w:sz w:val="20"/>
          <w:szCs w:val="20"/>
        </w:rPr>
        <w:t>cji) tablecie albo notebooku z </w:t>
      </w:r>
      <w:r w:rsidRPr="00540C6C">
        <w:rPr>
          <w:rFonts w:ascii="Arial" w:hAnsi="Arial" w:cs="Arial"/>
          <w:sz w:val="20"/>
          <w:szCs w:val="20"/>
        </w:rPr>
        <w:t xml:space="preserve">zainstalowaną mapą elektroniczną. </w:t>
      </w:r>
    </w:p>
    <w:p w14:paraId="30CB45D9" w14:textId="5848AE0D" w:rsidR="00171131" w:rsidRPr="00171131" w:rsidRDefault="00171131" w:rsidP="003B120E">
      <w:pPr>
        <w:spacing w:before="120" w:after="120" w:line="276" w:lineRule="auto"/>
        <w:jc w:val="both"/>
        <w:rPr>
          <w:rFonts w:ascii="Arial" w:hAnsi="Arial" w:cs="Arial"/>
          <w:sz w:val="20"/>
          <w:szCs w:val="20"/>
        </w:rPr>
      </w:pPr>
      <w:r w:rsidRPr="00171131">
        <w:rPr>
          <w:rFonts w:ascii="Arial" w:hAnsi="Arial" w:cs="Arial"/>
          <w:sz w:val="20"/>
          <w:szCs w:val="20"/>
        </w:rPr>
        <w:t xml:space="preserve">Celem systemu jest określanie za pomocą dwóch skanerów laserowych dokładnego położenia, </w:t>
      </w:r>
      <w:r w:rsidR="00D844C3">
        <w:rPr>
          <w:rFonts w:ascii="Arial" w:hAnsi="Arial" w:cs="Arial"/>
          <w:sz w:val="20"/>
          <w:szCs w:val="20"/>
        </w:rPr>
        <w:br/>
      </w:r>
      <w:r w:rsidRPr="00171131">
        <w:rPr>
          <w:rFonts w:ascii="Arial" w:hAnsi="Arial" w:cs="Arial"/>
          <w:sz w:val="20"/>
          <w:szCs w:val="20"/>
        </w:rPr>
        <w:t>w stosunku do nabrzeża, i prędkości promu morskiego na Stanowisku nr 1 w Bazie Promów Morskich w Świnoujściu, przesłanie informacji bezprzewodowo na manewrujący prom i wyświetlenie jej na tablecie statkowym. System w obecnym stanie przeznaczony jest dla promów M/F Mazovia oraz M/F Cracovia.</w:t>
      </w:r>
    </w:p>
    <w:p w14:paraId="11933D02" w14:textId="185960B6" w:rsidR="00171131" w:rsidRPr="00171131" w:rsidRDefault="00171131" w:rsidP="003B120E">
      <w:pPr>
        <w:spacing w:before="120" w:after="120" w:line="276" w:lineRule="auto"/>
        <w:jc w:val="both"/>
        <w:rPr>
          <w:rFonts w:ascii="Arial" w:hAnsi="Arial" w:cs="Arial"/>
          <w:sz w:val="20"/>
          <w:szCs w:val="20"/>
        </w:rPr>
      </w:pPr>
      <w:r w:rsidRPr="00171131">
        <w:rPr>
          <w:rFonts w:ascii="Arial" w:hAnsi="Arial" w:cs="Arial"/>
          <w:sz w:val="20"/>
          <w:szCs w:val="20"/>
        </w:rPr>
        <w:t>System ma możliwość zapisu danych z cumowania na serwerze oraz dostępu zdalnego do serwera. System składa się z części lądowej oraz statkowej.</w:t>
      </w:r>
    </w:p>
    <w:p w14:paraId="03FFD850" w14:textId="0AA4C44B" w:rsidR="00171131" w:rsidRPr="00171131" w:rsidRDefault="00171131" w:rsidP="003B120E">
      <w:pPr>
        <w:spacing w:before="120" w:after="120" w:line="276" w:lineRule="auto"/>
        <w:jc w:val="both"/>
        <w:rPr>
          <w:rFonts w:ascii="Arial" w:hAnsi="Arial" w:cs="Arial"/>
          <w:sz w:val="20"/>
          <w:szCs w:val="20"/>
        </w:rPr>
      </w:pPr>
      <w:r w:rsidRPr="00171131">
        <w:rPr>
          <w:rFonts w:ascii="Arial" w:hAnsi="Arial" w:cs="Arial"/>
          <w:sz w:val="20"/>
          <w:szCs w:val="20"/>
        </w:rPr>
        <w:t>Część lądowa obejmuje:</w:t>
      </w:r>
      <w:r>
        <w:rPr>
          <w:rFonts w:ascii="Arial" w:hAnsi="Arial" w:cs="Arial"/>
          <w:sz w:val="20"/>
          <w:szCs w:val="20"/>
        </w:rPr>
        <w:t xml:space="preserve"> dwa</w:t>
      </w:r>
      <w:r w:rsidRPr="00171131">
        <w:rPr>
          <w:rFonts w:ascii="Arial" w:hAnsi="Arial" w:cs="Arial"/>
          <w:sz w:val="20"/>
          <w:szCs w:val="20"/>
        </w:rPr>
        <w:t xml:space="preserve"> skanery laserowe,</w:t>
      </w:r>
      <w:r>
        <w:rPr>
          <w:rFonts w:ascii="Arial" w:hAnsi="Arial" w:cs="Arial"/>
          <w:sz w:val="20"/>
          <w:szCs w:val="20"/>
        </w:rPr>
        <w:t xml:space="preserve"> </w:t>
      </w:r>
      <w:r w:rsidRPr="00171131">
        <w:rPr>
          <w:rFonts w:ascii="Arial" w:hAnsi="Arial" w:cs="Arial"/>
          <w:sz w:val="20"/>
          <w:szCs w:val="20"/>
        </w:rPr>
        <w:t>serwer,</w:t>
      </w:r>
      <w:r>
        <w:rPr>
          <w:rFonts w:ascii="Arial" w:hAnsi="Arial" w:cs="Arial"/>
          <w:sz w:val="20"/>
          <w:szCs w:val="20"/>
        </w:rPr>
        <w:t xml:space="preserve"> </w:t>
      </w:r>
      <w:r w:rsidRPr="00171131">
        <w:rPr>
          <w:rFonts w:ascii="Arial" w:hAnsi="Arial" w:cs="Arial"/>
          <w:sz w:val="20"/>
          <w:szCs w:val="20"/>
        </w:rPr>
        <w:t>odbiornik AIS,</w:t>
      </w:r>
      <w:r>
        <w:rPr>
          <w:rFonts w:ascii="Arial" w:hAnsi="Arial" w:cs="Arial"/>
          <w:sz w:val="20"/>
          <w:szCs w:val="20"/>
        </w:rPr>
        <w:t xml:space="preserve"> </w:t>
      </w:r>
      <w:r w:rsidRPr="00171131">
        <w:rPr>
          <w:rFonts w:ascii="Arial" w:hAnsi="Arial" w:cs="Arial"/>
          <w:sz w:val="20"/>
          <w:szCs w:val="20"/>
        </w:rPr>
        <w:t>wiatromierz,</w:t>
      </w:r>
      <w:r>
        <w:rPr>
          <w:rFonts w:ascii="Arial" w:hAnsi="Arial" w:cs="Arial"/>
          <w:sz w:val="20"/>
          <w:szCs w:val="20"/>
        </w:rPr>
        <w:t xml:space="preserve"> </w:t>
      </w:r>
      <w:r w:rsidRPr="00171131">
        <w:rPr>
          <w:rFonts w:ascii="Arial" w:hAnsi="Arial" w:cs="Arial"/>
          <w:sz w:val="20"/>
          <w:szCs w:val="20"/>
        </w:rPr>
        <w:t>sieć zasilającą,</w:t>
      </w:r>
      <w:r>
        <w:rPr>
          <w:rFonts w:ascii="Arial" w:hAnsi="Arial" w:cs="Arial"/>
          <w:sz w:val="20"/>
          <w:szCs w:val="20"/>
        </w:rPr>
        <w:t xml:space="preserve"> </w:t>
      </w:r>
      <w:r w:rsidRPr="00171131">
        <w:rPr>
          <w:rFonts w:ascii="Arial" w:hAnsi="Arial" w:cs="Arial"/>
          <w:sz w:val="20"/>
          <w:szCs w:val="20"/>
        </w:rPr>
        <w:t>sieć transmisji danych.</w:t>
      </w:r>
      <w:r>
        <w:rPr>
          <w:rFonts w:ascii="Arial" w:hAnsi="Arial" w:cs="Arial"/>
          <w:sz w:val="20"/>
          <w:szCs w:val="20"/>
        </w:rPr>
        <w:t xml:space="preserve"> </w:t>
      </w:r>
      <w:r w:rsidRPr="00171131">
        <w:rPr>
          <w:rFonts w:ascii="Arial" w:hAnsi="Arial" w:cs="Arial"/>
          <w:sz w:val="20"/>
          <w:szCs w:val="20"/>
        </w:rPr>
        <w:t xml:space="preserve">Dodatkowymi elementami, wspierającymi tworzenie i działanie systemu są </w:t>
      </w:r>
      <w:r>
        <w:rPr>
          <w:rFonts w:ascii="Arial" w:hAnsi="Arial" w:cs="Arial"/>
          <w:sz w:val="20"/>
          <w:szCs w:val="20"/>
        </w:rPr>
        <w:t>dwie</w:t>
      </w:r>
      <w:r w:rsidRPr="00171131">
        <w:rPr>
          <w:rFonts w:ascii="Arial" w:hAnsi="Arial" w:cs="Arial"/>
          <w:sz w:val="20"/>
          <w:szCs w:val="20"/>
        </w:rPr>
        <w:t xml:space="preserve"> kamery monitoringu, pozwalające na zdalny podgląd sytuacji na Stanowisku nr 1.</w:t>
      </w:r>
    </w:p>
    <w:p w14:paraId="750E7987" w14:textId="57EC92CA" w:rsidR="00171131" w:rsidRPr="00171131" w:rsidRDefault="00171131" w:rsidP="003B120E">
      <w:pPr>
        <w:spacing w:before="120" w:after="120" w:line="276" w:lineRule="auto"/>
        <w:jc w:val="both"/>
        <w:rPr>
          <w:rFonts w:ascii="Arial" w:hAnsi="Arial" w:cs="Arial"/>
          <w:sz w:val="20"/>
          <w:szCs w:val="20"/>
        </w:rPr>
      </w:pPr>
      <w:r w:rsidRPr="00171131">
        <w:rPr>
          <w:rFonts w:ascii="Arial" w:hAnsi="Arial" w:cs="Arial"/>
          <w:sz w:val="20"/>
          <w:szCs w:val="20"/>
        </w:rPr>
        <w:t>Część statkowa obejmuje:</w:t>
      </w:r>
      <w:r>
        <w:rPr>
          <w:rFonts w:ascii="Arial" w:hAnsi="Arial" w:cs="Arial"/>
          <w:sz w:val="20"/>
          <w:szCs w:val="20"/>
        </w:rPr>
        <w:t xml:space="preserve"> dwa </w:t>
      </w:r>
      <w:r w:rsidRPr="00171131">
        <w:rPr>
          <w:rFonts w:ascii="Arial" w:hAnsi="Arial" w:cs="Arial"/>
          <w:sz w:val="20"/>
          <w:szCs w:val="20"/>
        </w:rPr>
        <w:t>tablety z bezprzewodowym dostępem do Internetu poprzez sieć komórkową,</w:t>
      </w:r>
      <w:r>
        <w:rPr>
          <w:rFonts w:ascii="Arial" w:hAnsi="Arial" w:cs="Arial"/>
          <w:sz w:val="20"/>
          <w:szCs w:val="20"/>
        </w:rPr>
        <w:t xml:space="preserve"> dwie </w:t>
      </w:r>
      <w:r w:rsidRPr="00171131">
        <w:rPr>
          <w:rFonts w:ascii="Arial" w:hAnsi="Arial" w:cs="Arial"/>
          <w:sz w:val="20"/>
          <w:szCs w:val="20"/>
        </w:rPr>
        <w:t xml:space="preserve">stacje dokujące umożliwiające ładowanie tabletów oraz podłączanie dodatkowych urządzeń peryferyjnych. </w:t>
      </w:r>
    </w:p>
    <w:p w14:paraId="25A31A1B" w14:textId="65A138D7" w:rsidR="005F350A" w:rsidRPr="00540C6C" w:rsidRDefault="005F350A" w:rsidP="003B120E">
      <w:pPr>
        <w:spacing w:before="120" w:after="120" w:line="276" w:lineRule="auto"/>
        <w:jc w:val="both"/>
        <w:rPr>
          <w:rFonts w:ascii="Arial" w:hAnsi="Arial" w:cs="Arial"/>
          <w:sz w:val="20"/>
          <w:szCs w:val="20"/>
        </w:rPr>
      </w:pPr>
      <w:r w:rsidRPr="00540C6C">
        <w:rPr>
          <w:rFonts w:ascii="Arial" w:hAnsi="Arial" w:cs="Arial"/>
          <w:sz w:val="20"/>
          <w:szCs w:val="20"/>
        </w:rPr>
        <w:t>W projekcie „Budowa systemu Pilotowo-Dokującego (PNDS) dla zbiornikowców LNG oraz promów m</w:t>
      </w:r>
      <w:r w:rsidR="00150C6A">
        <w:rPr>
          <w:rFonts w:ascii="Arial" w:hAnsi="Arial" w:cs="Arial"/>
          <w:sz w:val="20"/>
          <w:szCs w:val="20"/>
        </w:rPr>
        <w:t xml:space="preserve">orskich” stwierdzono, że system </w:t>
      </w:r>
      <w:r w:rsidRPr="00540C6C">
        <w:rPr>
          <w:rFonts w:ascii="Arial" w:hAnsi="Arial" w:cs="Arial"/>
          <w:sz w:val="20"/>
          <w:szCs w:val="20"/>
        </w:rPr>
        <w:t>zmniejsza energ</w:t>
      </w:r>
      <w:r w:rsidR="00150C6A">
        <w:rPr>
          <w:rFonts w:ascii="Arial" w:hAnsi="Arial" w:cs="Arial"/>
          <w:sz w:val="20"/>
          <w:szCs w:val="20"/>
        </w:rPr>
        <w:t xml:space="preserve">ie cumowania o ponad dwukrotnie, </w:t>
      </w:r>
      <w:r w:rsidRPr="00540C6C">
        <w:rPr>
          <w:rFonts w:ascii="Arial" w:hAnsi="Arial" w:cs="Arial"/>
          <w:sz w:val="20"/>
          <w:szCs w:val="20"/>
        </w:rPr>
        <w:t>umożliwia utrzymanie równoległego kąta do nabrzeża z dokładnością ok. 1 stopień (większa liczba odbojnic zaangażowana w pierwszy kont</w:t>
      </w:r>
      <w:r w:rsidR="00150C6A">
        <w:rPr>
          <w:rFonts w:ascii="Arial" w:hAnsi="Arial" w:cs="Arial"/>
          <w:sz w:val="20"/>
          <w:szCs w:val="20"/>
        </w:rPr>
        <w:t xml:space="preserve">akt – mniejsze koszty odbojnic), </w:t>
      </w:r>
      <w:r w:rsidRPr="00540C6C">
        <w:rPr>
          <w:rFonts w:ascii="Arial" w:hAnsi="Arial" w:cs="Arial"/>
          <w:sz w:val="20"/>
          <w:szCs w:val="20"/>
        </w:rPr>
        <w:t>zmn</w:t>
      </w:r>
      <w:r w:rsidR="00150C6A">
        <w:rPr>
          <w:rFonts w:ascii="Arial" w:hAnsi="Arial" w:cs="Arial"/>
          <w:sz w:val="20"/>
          <w:szCs w:val="20"/>
        </w:rPr>
        <w:t xml:space="preserve">iejsza czas manewru o około 15%, </w:t>
      </w:r>
      <w:r w:rsidRPr="00540C6C">
        <w:rPr>
          <w:rFonts w:ascii="Arial" w:hAnsi="Arial" w:cs="Arial"/>
          <w:sz w:val="20"/>
          <w:szCs w:val="20"/>
        </w:rPr>
        <w:t>zmniejsza odległość statku do rampy po zakończeniu manewru podej</w:t>
      </w:r>
      <w:r w:rsidR="00150C6A">
        <w:rPr>
          <w:rFonts w:ascii="Arial" w:hAnsi="Arial" w:cs="Arial"/>
          <w:sz w:val="20"/>
          <w:szCs w:val="20"/>
        </w:rPr>
        <w:t>ścia do nabrzeża o około 20% eliminując</w:t>
      </w:r>
      <w:r w:rsidRPr="00540C6C">
        <w:rPr>
          <w:rFonts w:ascii="Arial" w:hAnsi="Arial" w:cs="Arial"/>
          <w:sz w:val="20"/>
          <w:szCs w:val="20"/>
        </w:rPr>
        <w:t xml:space="preserve"> konieczność dodatkowych manewrów pozycjonowania.</w:t>
      </w:r>
      <w:r w:rsidR="00150C6A">
        <w:rPr>
          <w:rFonts w:ascii="Arial" w:hAnsi="Arial" w:cs="Arial"/>
          <w:sz w:val="20"/>
          <w:szCs w:val="20"/>
        </w:rPr>
        <w:t xml:space="preserve"> </w:t>
      </w:r>
      <w:r w:rsidRPr="00150C6A">
        <w:rPr>
          <w:rFonts w:ascii="Arial" w:hAnsi="Arial" w:cs="Arial"/>
          <w:bCs/>
          <w:sz w:val="20"/>
          <w:szCs w:val="20"/>
        </w:rPr>
        <w:t xml:space="preserve">Termin </w:t>
      </w:r>
      <w:r w:rsidR="00150C6A" w:rsidRPr="00150C6A">
        <w:rPr>
          <w:rFonts w:ascii="Arial" w:hAnsi="Arial" w:cs="Arial"/>
          <w:bCs/>
          <w:sz w:val="20"/>
          <w:szCs w:val="20"/>
        </w:rPr>
        <w:t>realizacji projektu</w:t>
      </w:r>
      <w:r w:rsidRPr="00150C6A">
        <w:rPr>
          <w:rFonts w:ascii="Arial" w:hAnsi="Arial" w:cs="Arial"/>
          <w:sz w:val="20"/>
          <w:szCs w:val="20"/>
        </w:rPr>
        <w:t xml:space="preserve"> – 01.01.2018 r. - I kw. 2019 r.</w:t>
      </w:r>
    </w:p>
    <w:p w14:paraId="7D2D3F98" w14:textId="77777777" w:rsidR="005F350A" w:rsidRPr="000F2F33" w:rsidRDefault="005F350A" w:rsidP="00BF76C0">
      <w:pPr>
        <w:pStyle w:val="Akapitzlist"/>
        <w:numPr>
          <w:ilvl w:val="0"/>
          <w:numId w:val="3"/>
        </w:numPr>
        <w:spacing w:before="120" w:after="120" w:line="240" w:lineRule="auto"/>
        <w:jc w:val="both"/>
        <w:rPr>
          <w:rFonts w:ascii="Arial" w:hAnsi="Arial" w:cs="Arial"/>
          <w:i/>
          <w:sz w:val="20"/>
          <w:szCs w:val="20"/>
        </w:rPr>
      </w:pPr>
      <w:r w:rsidRPr="000F2F33">
        <w:rPr>
          <w:rFonts w:ascii="Arial" w:hAnsi="Arial" w:cs="Arial"/>
          <w:b/>
          <w:sz w:val="20"/>
          <w:szCs w:val="20"/>
        </w:rPr>
        <w:t>Budowa stanowiska statkowego do eksportu LNG w</w:t>
      </w:r>
      <w:r w:rsidR="000F2F33">
        <w:rPr>
          <w:rFonts w:ascii="Arial" w:hAnsi="Arial" w:cs="Arial"/>
          <w:b/>
          <w:sz w:val="20"/>
          <w:szCs w:val="20"/>
        </w:rPr>
        <w:t xml:space="preserve"> porcie zewnętrznym Świnoujściu</w:t>
      </w:r>
    </w:p>
    <w:p w14:paraId="4BED967D" w14:textId="77777777" w:rsidR="005F350A" w:rsidRPr="00540C6C" w:rsidRDefault="005F350A" w:rsidP="00A434BA">
      <w:pPr>
        <w:spacing w:before="120" w:after="120" w:line="276" w:lineRule="auto"/>
        <w:jc w:val="both"/>
        <w:rPr>
          <w:rFonts w:ascii="Arial" w:hAnsi="Arial" w:cs="Arial"/>
          <w:sz w:val="20"/>
          <w:szCs w:val="20"/>
        </w:rPr>
      </w:pPr>
      <w:r w:rsidRPr="00540C6C">
        <w:rPr>
          <w:rFonts w:ascii="Arial" w:hAnsi="Arial" w:cs="Arial"/>
          <w:sz w:val="20"/>
          <w:szCs w:val="20"/>
        </w:rPr>
        <w:t>Inwestycja polega na budowie nabrzeża o długości całkowitej z wyspami dalbowymi ok 220 m, w tym 100 m linii odbojowej. W zakresie inwestycji jest wyposażenie w system odbojowy umożliwiający bezpieczny postój i załadunek/rozładunek LNG zbiornikowców transportowych oraz bunkierek umożliwiających obsługę STS. Nabrzeże wyposażone będzie w systemy umożliwiające bezpieczny postój oraz załadunek jednostek. Inwestycja umożliwi redystrybucję LNG w rejonie basenu Morza Bałtyckiego oraz bunkrowanie jednostek handlowych ekologicznym paliwem.</w:t>
      </w:r>
    </w:p>
    <w:p w14:paraId="74B32561" w14:textId="4D4A1B3E" w:rsidR="00652BD0" w:rsidRDefault="005F350A" w:rsidP="00A434BA">
      <w:pPr>
        <w:spacing w:line="276" w:lineRule="auto"/>
        <w:jc w:val="both"/>
        <w:rPr>
          <w:rFonts w:ascii="Arial" w:hAnsi="Arial" w:cs="Arial"/>
          <w:sz w:val="20"/>
          <w:szCs w:val="20"/>
        </w:rPr>
      </w:pPr>
      <w:r w:rsidRPr="00540C6C">
        <w:rPr>
          <w:rFonts w:ascii="Arial" w:hAnsi="Arial" w:cs="Arial"/>
          <w:sz w:val="20"/>
          <w:szCs w:val="20"/>
        </w:rPr>
        <w:t xml:space="preserve">W 2018 r. Zarząd Morskich Portów Szczecin i Świnoujście S.A. zrezygnował z realizacji ww. inwestycji przy współudziale środków unijnych, podjęto decyzję o jej realizacji ze środków własnych oraz kredytu komercyjnego. Uwolnione środki finansowe UE zostały do wykorzystania przez ZMPSiŚ S.A. </w:t>
      </w:r>
      <w:r w:rsidRPr="00540C6C">
        <w:rPr>
          <w:rFonts w:ascii="Arial" w:hAnsi="Arial" w:cs="Arial"/>
          <w:sz w:val="20"/>
          <w:szCs w:val="20"/>
        </w:rPr>
        <w:br/>
        <w:t xml:space="preserve">i będą rozdysponowane na realizację nowego zadania - budowę statku pożarniczego oraz zwiększenie dofinansowania realizowanych już w ramach dofinansowania inwestycji. </w:t>
      </w:r>
      <w:r w:rsidRPr="000F2F33">
        <w:rPr>
          <w:rFonts w:ascii="Arial" w:hAnsi="Arial" w:cs="Arial"/>
          <w:sz w:val="20"/>
          <w:szCs w:val="20"/>
        </w:rPr>
        <w:t xml:space="preserve">Przewidywany okres realizacji </w:t>
      </w:r>
      <w:r w:rsidRPr="00540C6C">
        <w:rPr>
          <w:rFonts w:ascii="Arial" w:hAnsi="Arial" w:cs="Arial"/>
          <w:sz w:val="20"/>
          <w:szCs w:val="20"/>
        </w:rPr>
        <w:t>– 2021 – 2022</w:t>
      </w:r>
      <w:r w:rsidR="000F2F33">
        <w:rPr>
          <w:rFonts w:ascii="Arial" w:hAnsi="Arial" w:cs="Arial"/>
          <w:sz w:val="20"/>
          <w:szCs w:val="20"/>
        </w:rPr>
        <w:t>.</w:t>
      </w:r>
    </w:p>
    <w:p w14:paraId="2F03E654" w14:textId="77777777" w:rsidR="00074B48" w:rsidRPr="00540C6C" w:rsidRDefault="00074B48" w:rsidP="00A434BA">
      <w:pPr>
        <w:spacing w:line="276" w:lineRule="auto"/>
        <w:jc w:val="both"/>
        <w:rPr>
          <w:rFonts w:ascii="Arial" w:hAnsi="Arial" w:cs="Arial"/>
          <w:sz w:val="20"/>
          <w:szCs w:val="20"/>
        </w:rPr>
      </w:pPr>
    </w:p>
    <w:p w14:paraId="17ADF0A1" w14:textId="77777777" w:rsidR="005F350A" w:rsidRPr="00A73036" w:rsidRDefault="005F350A" w:rsidP="00BF76C0">
      <w:pPr>
        <w:pStyle w:val="Akapitzlist"/>
        <w:numPr>
          <w:ilvl w:val="0"/>
          <w:numId w:val="3"/>
        </w:numPr>
        <w:spacing w:after="0" w:line="240" w:lineRule="auto"/>
        <w:jc w:val="both"/>
        <w:rPr>
          <w:rFonts w:ascii="Arial" w:hAnsi="Arial" w:cs="Arial"/>
          <w:b/>
          <w:sz w:val="20"/>
          <w:szCs w:val="20"/>
        </w:rPr>
      </w:pPr>
      <w:r w:rsidRPr="00A73036">
        <w:rPr>
          <w:rFonts w:ascii="Arial" w:hAnsi="Arial" w:cs="Arial"/>
          <w:b/>
          <w:sz w:val="20"/>
          <w:szCs w:val="20"/>
        </w:rPr>
        <w:t>Budowa nabrzeży głębok</w:t>
      </w:r>
      <w:r w:rsidR="00A73036">
        <w:rPr>
          <w:rFonts w:ascii="Arial" w:hAnsi="Arial" w:cs="Arial"/>
          <w:b/>
          <w:sz w:val="20"/>
          <w:szCs w:val="20"/>
        </w:rPr>
        <w:t>owodnych w porcie w Świnoujściu</w:t>
      </w:r>
      <w:r w:rsidRPr="00A73036">
        <w:rPr>
          <w:rFonts w:ascii="Arial" w:hAnsi="Arial" w:cs="Arial"/>
          <w:sz w:val="20"/>
          <w:szCs w:val="20"/>
        </w:rPr>
        <w:t xml:space="preserve"> </w:t>
      </w:r>
    </w:p>
    <w:p w14:paraId="06F503AB" w14:textId="77777777" w:rsidR="005F350A" w:rsidRPr="00540C6C" w:rsidRDefault="00A73036" w:rsidP="001A25C2">
      <w:pPr>
        <w:spacing w:before="120" w:after="120" w:line="276" w:lineRule="auto"/>
        <w:jc w:val="both"/>
        <w:rPr>
          <w:rFonts w:ascii="Arial" w:hAnsi="Arial" w:cs="Arial"/>
          <w:sz w:val="20"/>
          <w:szCs w:val="20"/>
        </w:rPr>
      </w:pPr>
      <w:r>
        <w:rPr>
          <w:rFonts w:ascii="Arial" w:hAnsi="Arial" w:cs="Arial"/>
          <w:sz w:val="20"/>
          <w:szCs w:val="20"/>
        </w:rPr>
        <w:t>Inwestycja planowana przez ZMPSi</w:t>
      </w:r>
      <w:r w:rsidR="005F350A" w:rsidRPr="00540C6C">
        <w:rPr>
          <w:rFonts w:ascii="Arial" w:hAnsi="Arial" w:cs="Arial"/>
          <w:sz w:val="20"/>
          <w:szCs w:val="20"/>
        </w:rPr>
        <w:t xml:space="preserve">Ś </w:t>
      </w:r>
      <w:r>
        <w:rPr>
          <w:rFonts w:ascii="Arial" w:hAnsi="Arial" w:cs="Arial"/>
          <w:sz w:val="20"/>
          <w:szCs w:val="20"/>
        </w:rPr>
        <w:t xml:space="preserve">S.A. </w:t>
      </w:r>
      <w:r w:rsidR="005F350A" w:rsidRPr="00540C6C">
        <w:rPr>
          <w:rFonts w:ascii="Arial" w:hAnsi="Arial" w:cs="Arial"/>
          <w:sz w:val="20"/>
          <w:szCs w:val="20"/>
        </w:rPr>
        <w:t>będzie obejmować dwie lokalizac</w:t>
      </w:r>
      <w:r>
        <w:rPr>
          <w:rFonts w:ascii="Arial" w:hAnsi="Arial" w:cs="Arial"/>
          <w:sz w:val="20"/>
          <w:szCs w:val="20"/>
        </w:rPr>
        <w:t xml:space="preserve">je - Szczecin oraz Świnoujście. </w:t>
      </w:r>
      <w:r w:rsidR="005F350A" w:rsidRPr="00540C6C">
        <w:rPr>
          <w:rFonts w:ascii="Arial" w:hAnsi="Arial" w:cs="Arial"/>
          <w:sz w:val="20"/>
          <w:szCs w:val="20"/>
        </w:rPr>
        <w:t>Planowane przedsięwzięcie w porcie Świnoujście obejmować będzie: przebudowę istniejących konstrukcji hydrotechnicznych nabrzeży Chemików, Hutników, Górników i Pirsu Nabrzeża Portowców, polegającą na pogłębieniu i umocnieniu dna wzdłuż nabrzeży w celu osiągnięcia głębokości technicznej -14,5 m. Zakr</w:t>
      </w:r>
      <w:r>
        <w:rPr>
          <w:rFonts w:ascii="Arial" w:hAnsi="Arial" w:cs="Arial"/>
          <w:sz w:val="20"/>
          <w:szCs w:val="20"/>
        </w:rPr>
        <w:t xml:space="preserve">es inwestycji obejmuje również </w:t>
      </w:r>
      <w:r w:rsidR="005F350A" w:rsidRPr="00540C6C">
        <w:rPr>
          <w:rFonts w:ascii="Arial" w:hAnsi="Arial" w:cs="Arial"/>
          <w:sz w:val="20"/>
          <w:szCs w:val="20"/>
        </w:rPr>
        <w:t xml:space="preserve">budowę nabrzeży: Górników, Barkowe </w:t>
      </w:r>
      <w:r>
        <w:rPr>
          <w:rFonts w:ascii="Arial" w:hAnsi="Arial" w:cs="Arial"/>
          <w:sz w:val="20"/>
          <w:szCs w:val="20"/>
        </w:rPr>
        <w:br/>
      </w:r>
      <w:r w:rsidR="005F350A" w:rsidRPr="00540C6C">
        <w:rPr>
          <w:rFonts w:ascii="Arial" w:hAnsi="Arial" w:cs="Arial"/>
          <w:sz w:val="20"/>
          <w:szCs w:val="20"/>
        </w:rPr>
        <w:t>i Armatorskie. Inwestycja przewiduje również zalądowienie basenu Trymerskiego.</w:t>
      </w:r>
    </w:p>
    <w:p w14:paraId="2F73069E" w14:textId="259FC7FE" w:rsidR="006A3AE1" w:rsidRPr="00540C6C" w:rsidRDefault="005F350A" w:rsidP="005103B2">
      <w:pPr>
        <w:spacing w:before="120" w:after="120" w:line="276" w:lineRule="auto"/>
        <w:jc w:val="both"/>
        <w:rPr>
          <w:rFonts w:ascii="Arial" w:hAnsi="Arial" w:cs="Arial"/>
          <w:sz w:val="20"/>
          <w:szCs w:val="20"/>
        </w:rPr>
      </w:pPr>
      <w:r w:rsidRPr="00540C6C">
        <w:rPr>
          <w:rFonts w:ascii="Arial" w:hAnsi="Arial" w:cs="Arial"/>
          <w:sz w:val="20"/>
          <w:szCs w:val="20"/>
        </w:rPr>
        <w:t>W wyniku realizacji inwestycji przy nabrzeżach w porcie w Świnoujściu będą mogły być obsługiwane statki o długości do 300 m, szerokości 50 m i zanurzeniu 13,5 m.</w:t>
      </w:r>
      <w:r w:rsidR="00A73036">
        <w:rPr>
          <w:rFonts w:ascii="Arial" w:hAnsi="Arial" w:cs="Arial"/>
          <w:sz w:val="20"/>
          <w:szCs w:val="20"/>
        </w:rPr>
        <w:t xml:space="preserve"> </w:t>
      </w:r>
      <w:r w:rsidRPr="00A73036">
        <w:rPr>
          <w:rFonts w:ascii="Arial" w:hAnsi="Arial" w:cs="Arial"/>
          <w:sz w:val="20"/>
          <w:szCs w:val="20"/>
        </w:rPr>
        <w:t>Przewidywany okres realizacji</w:t>
      </w:r>
      <w:r w:rsidRPr="00540C6C">
        <w:rPr>
          <w:rFonts w:ascii="Arial" w:hAnsi="Arial" w:cs="Arial"/>
          <w:sz w:val="20"/>
          <w:szCs w:val="20"/>
        </w:rPr>
        <w:t xml:space="preserve"> – 2019</w:t>
      </w:r>
      <w:r w:rsidR="00A73036">
        <w:rPr>
          <w:rFonts w:ascii="Arial" w:hAnsi="Arial" w:cs="Arial"/>
          <w:sz w:val="20"/>
          <w:szCs w:val="20"/>
        </w:rPr>
        <w:t xml:space="preserve"> </w:t>
      </w:r>
      <w:r w:rsidRPr="00540C6C">
        <w:rPr>
          <w:rFonts w:ascii="Arial" w:hAnsi="Arial" w:cs="Arial"/>
          <w:sz w:val="20"/>
          <w:szCs w:val="20"/>
        </w:rPr>
        <w:t>– 2022.</w:t>
      </w:r>
    </w:p>
    <w:p w14:paraId="6AD19A56" w14:textId="77777777" w:rsidR="005F350A" w:rsidRPr="00B3154C" w:rsidRDefault="005F350A" w:rsidP="00BF76C0">
      <w:pPr>
        <w:pStyle w:val="Akapitzlist"/>
        <w:numPr>
          <w:ilvl w:val="0"/>
          <w:numId w:val="3"/>
        </w:numPr>
        <w:spacing w:after="0" w:line="276" w:lineRule="auto"/>
        <w:jc w:val="both"/>
        <w:rPr>
          <w:rFonts w:ascii="Arial" w:hAnsi="Arial" w:cs="Arial"/>
          <w:b/>
          <w:sz w:val="20"/>
          <w:szCs w:val="20"/>
        </w:rPr>
      </w:pPr>
      <w:r w:rsidRPr="00B3154C">
        <w:rPr>
          <w:rFonts w:ascii="Arial" w:hAnsi="Arial" w:cs="Arial"/>
          <w:b/>
          <w:sz w:val="20"/>
          <w:szCs w:val="20"/>
        </w:rPr>
        <w:t>Budowa Terminala Kontenerowego w p</w:t>
      </w:r>
      <w:r w:rsidR="00B3154C">
        <w:rPr>
          <w:rFonts w:ascii="Arial" w:hAnsi="Arial" w:cs="Arial"/>
          <w:b/>
          <w:sz w:val="20"/>
          <w:szCs w:val="20"/>
        </w:rPr>
        <w:t>orcie zewnętrznym w Świnoujściu</w:t>
      </w:r>
    </w:p>
    <w:p w14:paraId="061AC544" w14:textId="77777777" w:rsidR="00D16FF7" w:rsidRDefault="00D16FF7" w:rsidP="005F350A">
      <w:pPr>
        <w:spacing w:after="0"/>
        <w:jc w:val="both"/>
        <w:rPr>
          <w:rFonts w:ascii="Arial" w:hAnsi="Arial" w:cs="Arial"/>
          <w:b/>
          <w:bCs/>
          <w:sz w:val="20"/>
          <w:szCs w:val="20"/>
        </w:rPr>
      </w:pPr>
    </w:p>
    <w:p w14:paraId="4C0E6418" w14:textId="77777777"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Projekt jest przedsięwzięciem inwestycyjnym mającym na celu kompleksową budowę terminalu kontenerowego w Świnoujściu, a jego realizacja obejmować będzie m.in. przeprowadzenie prac przygotowawczych, budowę infra oraz suprastruktury.</w:t>
      </w:r>
      <w:r w:rsidR="00B0292A">
        <w:rPr>
          <w:rFonts w:ascii="Arial" w:hAnsi="Arial" w:cs="Arial"/>
          <w:sz w:val="20"/>
          <w:szCs w:val="20"/>
        </w:rPr>
        <w:t xml:space="preserve"> </w:t>
      </w:r>
      <w:r w:rsidRPr="00540C6C">
        <w:rPr>
          <w:rFonts w:ascii="Arial" w:hAnsi="Arial" w:cs="Arial"/>
          <w:sz w:val="20"/>
          <w:szCs w:val="20"/>
        </w:rPr>
        <w:t xml:space="preserve">Powstały w wyniku realizacji Projektu Terminal Kontenerowy stanowić ma docelowo znaczącą konkurencję dla już funkcjonujących terminali </w:t>
      </w:r>
      <w:r w:rsidR="00B0292A">
        <w:rPr>
          <w:rFonts w:ascii="Arial" w:hAnsi="Arial" w:cs="Arial"/>
          <w:sz w:val="20"/>
          <w:szCs w:val="20"/>
        </w:rPr>
        <w:br/>
      </w:r>
      <w:r w:rsidRPr="00540C6C">
        <w:rPr>
          <w:rFonts w:ascii="Arial" w:hAnsi="Arial" w:cs="Arial"/>
          <w:sz w:val="20"/>
          <w:szCs w:val="20"/>
        </w:rPr>
        <w:t>w obszarze basenu Morza Bałtyckiego oraz Morza Północnego, a także zapewnić podstawę do dalszego wzr</w:t>
      </w:r>
      <w:r w:rsidR="00B0292A">
        <w:rPr>
          <w:rFonts w:ascii="Arial" w:hAnsi="Arial" w:cs="Arial"/>
          <w:sz w:val="20"/>
          <w:szCs w:val="20"/>
        </w:rPr>
        <w:t xml:space="preserve">ostu znaczenia portów morskich </w:t>
      </w:r>
      <w:r w:rsidRPr="00540C6C">
        <w:rPr>
          <w:rFonts w:ascii="Arial" w:hAnsi="Arial" w:cs="Arial"/>
          <w:sz w:val="20"/>
          <w:szCs w:val="20"/>
        </w:rPr>
        <w:t xml:space="preserve">w Szczecinie i Świnoujściu. </w:t>
      </w:r>
    </w:p>
    <w:p w14:paraId="5F22D4DE" w14:textId="77777777"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Dla inwestycji wykonano już Koncepcję programowo – lokalizacyjną oraz „Analizę społeczno – ekonomiczną uwarunkowań funkcjonowania Głęboko</w:t>
      </w:r>
      <w:r w:rsidR="00B0292A">
        <w:rPr>
          <w:rFonts w:ascii="Arial" w:hAnsi="Arial" w:cs="Arial"/>
          <w:sz w:val="20"/>
          <w:szCs w:val="20"/>
        </w:rPr>
        <w:t xml:space="preserve">wodnego Terminalu Kontenerowego </w:t>
      </w:r>
      <w:r w:rsidR="00B0292A">
        <w:rPr>
          <w:rFonts w:ascii="Arial" w:hAnsi="Arial" w:cs="Arial"/>
          <w:sz w:val="20"/>
          <w:szCs w:val="20"/>
        </w:rPr>
        <w:br/>
      </w:r>
      <w:r w:rsidRPr="00540C6C">
        <w:rPr>
          <w:rFonts w:ascii="Arial" w:hAnsi="Arial" w:cs="Arial"/>
          <w:sz w:val="20"/>
          <w:szCs w:val="20"/>
        </w:rPr>
        <w:t>w Świnoujściu”.</w:t>
      </w:r>
      <w:r w:rsidR="00B0292A">
        <w:rPr>
          <w:rFonts w:ascii="Arial" w:hAnsi="Arial" w:cs="Arial"/>
          <w:sz w:val="20"/>
          <w:szCs w:val="20"/>
        </w:rPr>
        <w:t xml:space="preserve"> </w:t>
      </w:r>
      <w:r w:rsidRPr="00E75F8B">
        <w:rPr>
          <w:rFonts w:ascii="Arial" w:hAnsi="Arial" w:cs="Arial"/>
          <w:sz w:val="20"/>
          <w:szCs w:val="20"/>
        </w:rPr>
        <w:t>Planowany termin realizacji</w:t>
      </w:r>
      <w:r w:rsidRPr="00540C6C">
        <w:rPr>
          <w:rFonts w:ascii="Arial" w:hAnsi="Arial" w:cs="Arial"/>
          <w:sz w:val="20"/>
          <w:szCs w:val="20"/>
        </w:rPr>
        <w:t xml:space="preserve"> – po 2022 r.</w:t>
      </w:r>
    </w:p>
    <w:p w14:paraId="564D34EB" w14:textId="77777777" w:rsidR="00F9729B" w:rsidRPr="00B0292A" w:rsidRDefault="005F350A" w:rsidP="00BF76C0">
      <w:pPr>
        <w:pStyle w:val="Akapitzlist"/>
        <w:numPr>
          <w:ilvl w:val="0"/>
          <w:numId w:val="3"/>
        </w:numPr>
        <w:spacing w:after="200" w:line="276" w:lineRule="auto"/>
        <w:rPr>
          <w:rFonts w:ascii="Arial" w:hAnsi="Arial" w:cs="Arial"/>
          <w:color w:val="1F497D"/>
          <w:sz w:val="20"/>
          <w:szCs w:val="20"/>
        </w:rPr>
      </w:pPr>
      <w:r w:rsidRPr="00B0292A">
        <w:rPr>
          <w:rFonts w:ascii="Arial" w:hAnsi="Arial" w:cs="Arial"/>
          <w:b/>
          <w:bCs/>
          <w:sz w:val="20"/>
          <w:szCs w:val="20"/>
        </w:rPr>
        <w:t>Likwidacja wąskich gardeł „ostatniej mili” – budowa parkingu rezerwowego dla terminala promowego w Świnoujściu</w:t>
      </w:r>
    </w:p>
    <w:p w14:paraId="6AF40744" w14:textId="071C68DE"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 xml:space="preserve">Projekt </w:t>
      </w:r>
      <w:r w:rsidR="00E30D38">
        <w:rPr>
          <w:rFonts w:ascii="Arial" w:hAnsi="Arial" w:cs="Arial"/>
          <w:sz w:val="20"/>
          <w:szCs w:val="20"/>
        </w:rPr>
        <w:t xml:space="preserve">uzyskał dofinansowanie ze środków Instrumentu „Łącząc Europę” (CEF) w ramach ogłoszonego w 2018 r. przez Komisję Europejską naboru w ramach tzw. </w:t>
      </w:r>
      <w:r w:rsidR="00B13F3B">
        <w:rPr>
          <w:rFonts w:ascii="Arial" w:hAnsi="Arial" w:cs="Arial"/>
          <w:sz w:val="20"/>
          <w:szCs w:val="20"/>
        </w:rPr>
        <w:t>p</w:t>
      </w:r>
      <w:r w:rsidR="00E30D38">
        <w:rPr>
          <w:rFonts w:ascii="Arial" w:hAnsi="Arial" w:cs="Arial"/>
          <w:sz w:val="20"/>
          <w:szCs w:val="20"/>
        </w:rPr>
        <w:t>uli ogólnej, czyli środków, z których mogą korzystać</w:t>
      </w:r>
      <w:r w:rsidRPr="00E75F8B">
        <w:rPr>
          <w:rFonts w:ascii="Arial" w:hAnsi="Arial" w:cs="Arial"/>
          <w:sz w:val="20"/>
          <w:szCs w:val="20"/>
        </w:rPr>
        <w:t xml:space="preserve"> </w:t>
      </w:r>
      <w:r w:rsidR="00B13F3B">
        <w:rPr>
          <w:rFonts w:ascii="Arial" w:hAnsi="Arial" w:cs="Arial"/>
          <w:sz w:val="20"/>
          <w:szCs w:val="20"/>
        </w:rPr>
        <w:t>wszystkie kraje członkowskie UE.</w:t>
      </w:r>
      <w:r w:rsidR="001541C1">
        <w:rPr>
          <w:rFonts w:ascii="Arial" w:hAnsi="Arial" w:cs="Arial"/>
          <w:sz w:val="20"/>
          <w:szCs w:val="20"/>
        </w:rPr>
        <w:t xml:space="preserve"> </w:t>
      </w:r>
      <w:r w:rsidR="00F9729B" w:rsidRPr="00E75F8B">
        <w:rPr>
          <w:rFonts w:ascii="Arial" w:hAnsi="Arial" w:cs="Arial"/>
          <w:sz w:val="20"/>
          <w:szCs w:val="20"/>
        </w:rPr>
        <w:t>I</w:t>
      </w:r>
      <w:r w:rsidRPr="00540C6C">
        <w:rPr>
          <w:rFonts w:ascii="Arial" w:hAnsi="Arial" w:cs="Arial"/>
          <w:sz w:val="20"/>
          <w:szCs w:val="20"/>
        </w:rPr>
        <w:t xml:space="preserve">nwestycja zlokalizowana będzie w Świnoujściu na przemysłowej działce o numerze ewidencyjnym 145/4 z obrębu 14 Warszów, będącej we władaniu Zarządu Morskich Portów Szczecin i Świnoujście S.A. Działka ta położona jest w bliskim sąsiedztwie terminala promowego, po jego południowej stronie. </w:t>
      </w:r>
    </w:p>
    <w:p w14:paraId="2EC7AB1F" w14:textId="77777777"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 xml:space="preserve">W ramach realizowanej inwestycji przewiduje się budowę parkingu dla samochodów ciężarowych obsługiwanych obecnie przez terminal promowy. Przewiduje się lokalizację </w:t>
      </w:r>
      <w:r w:rsidRPr="00E75F8B">
        <w:rPr>
          <w:rFonts w:ascii="Arial" w:hAnsi="Arial" w:cs="Arial"/>
          <w:sz w:val="20"/>
          <w:szCs w:val="20"/>
        </w:rPr>
        <w:t xml:space="preserve">278 </w:t>
      </w:r>
      <w:r w:rsidRPr="00540C6C">
        <w:rPr>
          <w:rFonts w:ascii="Arial" w:hAnsi="Arial" w:cs="Arial"/>
          <w:sz w:val="20"/>
          <w:szCs w:val="20"/>
        </w:rPr>
        <w:t xml:space="preserve">miejsc postojowych dla samochodów ciężarowych oraz </w:t>
      </w:r>
      <w:r w:rsidRPr="00E75F8B">
        <w:rPr>
          <w:rFonts w:ascii="Arial" w:hAnsi="Arial" w:cs="Arial"/>
          <w:sz w:val="20"/>
          <w:szCs w:val="20"/>
        </w:rPr>
        <w:t xml:space="preserve">7 </w:t>
      </w:r>
      <w:r w:rsidRPr="00540C6C">
        <w:rPr>
          <w:rFonts w:ascii="Arial" w:hAnsi="Arial" w:cs="Arial"/>
          <w:sz w:val="20"/>
          <w:szCs w:val="20"/>
        </w:rPr>
        <w:t xml:space="preserve">miejsc postojowych dla samochodów do 3,5 t. Przewiduje się również instalację sanitariatów, z przeznaczeniem do obsługi kierowców, śmietnika, stacji transformatorowej oraz oświetlenia terenu. </w:t>
      </w:r>
    </w:p>
    <w:p w14:paraId="3CFCA1FF" w14:textId="77777777"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Parking będzie parkingiem rezerwowym (buforowym) dla samochodów ciężarowych, które będą transportowane drogą morską ze stanowiska promowego nr 1, 2, lub 3, 4 i 5.</w:t>
      </w:r>
    </w:p>
    <w:p w14:paraId="42DF9664" w14:textId="77777777"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Zjazdy z placu odbywają się bezpośrednio na ulicę Fińską będącą drogą krajową nr 3. Ulica Fińska łączy się z ulicą Duńską, z której odbywa się wjazd na plac</w:t>
      </w:r>
      <w:r w:rsidR="00F9729B">
        <w:rPr>
          <w:rFonts w:ascii="Arial" w:hAnsi="Arial" w:cs="Arial"/>
          <w:sz w:val="20"/>
          <w:szCs w:val="20"/>
        </w:rPr>
        <w:t xml:space="preserve">e oczekiwania na wjazd </w:t>
      </w:r>
      <w:r w:rsidRPr="00540C6C">
        <w:rPr>
          <w:rFonts w:ascii="Arial" w:hAnsi="Arial" w:cs="Arial"/>
          <w:sz w:val="20"/>
          <w:szCs w:val="20"/>
        </w:rPr>
        <w:t xml:space="preserve">na promy na stanowiska 1 </w:t>
      </w:r>
      <w:r w:rsidR="003A63A8">
        <w:rPr>
          <w:rFonts w:ascii="Arial" w:hAnsi="Arial" w:cs="Arial"/>
          <w:sz w:val="20"/>
          <w:szCs w:val="20"/>
        </w:rPr>
        <w:t>-</w:t>
      </w:r>
      <w:r w:rsidRPr="00540C6C">
        <w:rPr>
          <w:rFonts w:ascii="Arial" w:hAnsi="Arial" w:cs="Arial"/>
          <w:sz w:val="20"/>
          <w:szCs w:val="20"/>
        </w:rPr>
        <w:t xml:space="preserve"> 5. W przyszłości, kiedy stano</w:t>
      </w:r>
      <w:r w:rsidR="00F9729B">
        <w:rPr>
          <w:rFonts w:ascii="Arial" w:hAnsi="Arial" w:cs="Arial"/>
          <w:sz w:val="20"/>
          <w:szCs w:val="20"/>
        </w:rPr>
        <w:t xml:space="preserve">wisko 5 zostanie przystosowane </w:t>
      </w:r>
      <w:r w:rsidRPr="00540C6C">
        <w:rPr>
          <w:rFonts w:ascii="Arial" w:hAnsi="Arial" w:cs="Arial"/>
          <w:sz w:val="20"/>
          <w:szCs w:val="20"/>
        </w:rPr>
        <w:t xml:space="preserve">do transportu intermodalnego, samochody z projektowanego placu będą mogły odprawiać się na statki na stanowiskach 1 i 2 jak obecnie, natomiast na stanowiska 3 </w:t>
      </w:r>
      <w:r w:rsidR="003A63A8">
        <w:rPr>
          <w:rFonts w:ascii="Arial" w:hAnsi="Arial" w:cs="Arial"/>
          <w:sz w:val="20"/>
          <w:szCs w:val="20"/>
        </w:rPr>
        <w:t>-</w:t>
      </w:r>
      <w:r w:rsidRPr="00540C6C">
        <w:rPr>
          <w:rFonts w:ascii="Arial" w:hAnsi="Arial" w:cs="Arial"/>
          <w:sz w:val="20"/>
          <w:szCs w:val="20"/>
        </w:rPr>
        <w:t xml:space="preserve"> 5 będą dostawały się poprzez estakadę zaczynającą się w pobliżu skrzyżowania ulicy Fińskiej z ulicą Duńską, przebiegającą nad ulicą Dworcową i zakończoną na wysokości stanowiska nr 5.</w:t>
      </w:r>
    </w:p>
    <w:p w14:paraId="1699639B" w14:textId="77777777" w:rsidR="005F350A" w:rsidRPr="00540C6C" w:rsidRDefault="005F350A" w:rsidP="005758BF">
      <w:pPr>
        <w:spacing w:line="276" w:lineRule="auto"/>
        <w:jc w:val="both"/>
        <w:rPr>
          <w:rFonts w:ascii="Arial" w:hAnsi="Arial" w:cs="Arial"/>
          <w:sz w:val="20"/>
          <w:szCs w:val="20"/>
        </w:rPr>
      </w:pPr>
      <w:r w:rsidRPr="00540C6C">
        <w:rPr>
          <w:rFonts w:ascii="Arial" w:hAnsi="Arial" w:cs="Arial"/>
          <w:sz w:val="20"/>
          <w:szCs w:val="20"/>
        </w:rPr>
        <w:t xml:space="preserve">Parking będzie ogólnodostępny dla samochodów ciężarowych wyjeżdżających z kraju drogą morską przez Terminal Promowy w Świnoujściu. Teren parkingu nie będzie ogrodzony, jedynie na zjazdach przewiduje się szlabany. </w:t>
      </w:r>
    </w:p>
    <w:p w14:paraId="158EECA8" w14:textId="2A2468CE" w:rsidR="005F350A" w:rsidRDefault="005F350A" w:rsidP="005758BF">
      <w:pPr>
        <w:spacing w:line="276" w:lineRule="auto"/>
        <w:jc w:val="both"/>
        <w:rPr>
          <w:rFonts w:ascii="Arial" w:hAnsi="Arial" w:cs="Arial"/>
          <w:sz w:val="20"/>
          <w:szCs w:val="20"/>
        </w:rPr>
      </w:pPr>
      <w:r w:rsidRPr="00540C6C">
        <w:rPr>
          <w:rFonts w:ascii="Arial" w:hAnsi="Arial" w:cs="Arial"/>
          <w:sz w:val="20"/>
          <w:szCs w:val="20"/>
        </w:rPr>
        <w:t>Inwestycja zlikwiduje wąskie gardło na odcinku „ostatniej mili” prowadzącej do portu w Świnoujściu, polegające na tym, że obecnie w sytuacjach losowych, tj. awarii promu lub braku możliwości wyjścia promów w morze wskutek złych warunków na morzu niemieszczące się na obecnych parkingach terminala promowego samochody ciężarowe parkują na odcinkach ulic dojazdowych do terminalu. Wpływa to na obniżenie sprawności i bezpieczeństwa</w:t>
      </w:r>
      <w:r w:rsidR="00F9729B">
        <w:rPr>
          <w:rFonts w:ascii="Arial" w:hAnsi="Arial" w:cs="Arial"/>
          <w:sz w:val="20"/>
          <w:szCs w:val="20"/>
        </w:rPr>
        <w:t xml:space="preserve"> ruchu ciężarowego i osobowego </w:t>
      </w:r>
      <w:r w:rsidRPr="00540C6C">
        <w:rPr>
          <w:rFonts w:ascii="Arial" w:hAnsi="Arial" w:cs="Arial"/>
          <w:sz w:val="20"/>
          <w:szCs w:val="20"/>
        </w:rPr>
        <w:t xml:space="preserve">w bezpośrednim otoczeniu terminalu, samochody ciężarowe na dojeździe do terminalu promowego poruszają się </w:t>
      </w:r>
      <w:r w:rsidR="001F2D17">
        <w:rPr>
          <w:rFonts w:ascii="Arial" w:hAnsi="Arial" w:cs="Arial"/>
          <w:sz w:val="20"/>
          <w:szCs w:val="20"/>
        </w:rPr>
        <w:br/>
      </w:r>
      <w:r w:rsidRPr="00540C6C">
        <w:rPr>
          <w:rFonts w:ascii="Arial" w:hAnsi="Arial" w:cs="Arial"/>
          <w:sz w:val="20"/>
          <w:szCs w:val="20"/>
        </w:rPr>
        <w:t>w długiej kolejce, w ruchu nierównomiernym (nieustannie podjeżdżają w kolejce) i z ograniczoną prędkością. Negatywnie wpływa na środowisko naturalne. Wydłuża się odległość, jaką kierowcy samochodów ciężarowych pokonują pieszo w związku z odprawą spedycyjną w biurach odpraw armatorskich, a przez to rośnie czas pracy kierowców samochodów ciężarowych.</w:t>
      </w:r>
      <w:r w:rsidR="003A63A8">
        <w:rPr>
          <w:rFonts w:ascii="Arial" w:hAnsi="Arial" w:cs="Arial"/>
          <w:sz w:val="20"/>
          <w:szCs w:val="20"/>
        </w:rPr>
        <w:t xml:space="preserve"> </w:t>
      </w:r>
    </w:p>
    <w:p w14:paraId="6C6A8346" w14:textId="1ACC6DA4" w:rsidR="005103B2" w:rsidRPr="00540C6C" w:rsidRDefault="005103B2" w:rsidP="005758BF">
      <w:pPr>
        <w:spacing w:line="276" w:lineRule="auto"/>
        <w:jc w:val="both"/>
        <w:rPr>
          <w:rFonts w:ascii="Arial" w:hAnsi="Arial" w:cs="Arial"/>
          <w:sz w:val="20"/>
          <w:szCs w:val="20"/>
        </w:rPr>
      </w:pPr>
      <w:r>
        <w:rPr>
          <w:rFonts w:ascii="Arial" w:hAnsi="Arial" w:cs="Arial"/>
          <w:sz w:val="20"/>
          <w:szCs w:val="20"/>
        </w:rPr>
        <w:t>Planowany termin realizacji – I kw. 2020 r. – IV kw. 2021 r.</w:t>
      </w:r>
      <w:r w:rsidR="008D2A07">
        <w:rPr>
          <w:rFonts w:ascii="Arial" w:hAnsi="Arial" w:cs="Arial"/>
          <w:sz w:val="20"/>
          <w:szCs w:val="20"/>
        </w:rPr>
        <w:t xml:space="preserve"> </w:t>
      </w:r>
      <w:r>
        <w:rPr>
          <w:rFonts w:ascii="Arial" w:hAnsi="Arial" w:cs="Arial"/>
          <w:sz w:val="20"/>
          <w:szCs w:val="20"/>
        </w:rPr>
        <w:t>Kos</w:t>
      </w:r>
      <w:r w:rsidR="008D2A07">
        <w:rPr>
          <w:rFonts w:ascii="Arial" w:hAnsi="Arial" w:cs="Arial"/>
          <w:sz w:val="20"/>
          <w:szCs w:val="20"/>
        </w:rPr>
        <w:t>zty kwalifikowane działania wg</w:t>
      </w:r>
      <w:r>
        <w:rPr>
          <w:rFonts w:ascii="Arial" w:hAnsi="Arial" w:cs="Arial"/>
          <w:sz w:val="20"/>
          <w:szCs w:val="20"/>
        </w:rPr>
        <w:t xml:space="preserve"> umowy o dofinansowanie INEA/CEF/TRAN/M2018/1787737</w:t>
      </w:r>
      <w:r w:rsidR="008D2A07">
        <w:rPr>
          <w:rFonts w:ascii="Arial" w:hAnsi="Arial" w:cs="Arial"/>
          <w:sz w:val="20"/>
          <w:szCs w:val="20"/>
        </w:rPr>
        <w:t>,</w:t>
      </w:r>
      <w:r>
        <w:rPr>
          <w:rFonts w:ascii="Arial" w:hAnsi="Arial" w:cs="Arial"/>
          <w:sz w:val="20"/>
          <w:szCs w:val="20"/>
        </w:rPr>
        <w:t xml:space="preserve"> nr działania 2018-PL-TM-0028-W 10 389 341 </w:t>
      </w:r>
      <w:r w:rsidR="008D2A07">
        <w:rPr>
          <w:rFonts w:ascii="Arial" w:hAnsi="Arial" w:cs="Arial"/>
          <w:sz w:val="20"/>
          <w:szCs w:val="20"/>
        </w:rPr>
        <w:t>euro</w:t>
      </w:r>
      <w:r>
        <w:rPr>
          <w:rFonts w:ascii="Arial" w:hAnsi="Arial" w:cs="Arial"/>
          <w:sz w:val="20"/>
          <w:szCs w:val="20"/>
        </w:rPr>
        <w:t>.</w:t>
      </w:r>
      <w:r w:rsidR="008D2A07">
        <w:rPr>
          <w:rFonts w:ascii="Arial" w:hAnsi="Arial" w:cs="Arial"/>
          <w:sz w:val="20"/>
          <w:szCs w:val="20"/>
        </w:rPr>
        <w:t xml:space="preserve"> </w:t>
      </w:r>
      <w:r>
        <w:rPr>
          <w:rFonts w:ascii="Arial" w:hAnsi="Arial" w:cs="Arial"/>
          <w:sz w:val="20"/>
          <w:szCs w:val="20"/>
        </w:rPr>
        <w:t>Finansowanie w r</w:t>
      </w:r>
      <w:r w:rsidR="008D2A07">
        <w:rPr>
          <w:rFonts w:ascii="Arial" w:hAnsi="Arial" w:cs="Arial"/>
          <w:sz w:val="20"/>
          <w:szCs w:val="20"/>
        </w:rPr>
        <w:t>amach instrumentu CEF wynosi 20</w:t>
      </w:r>
      <w:r>
        <w:rPr>
          <w:rFonts w:ascii="Arial" w:hAnsi="Arial" w:cs="Arial"/>
          <w:sz w:val="20"/>
          <w:szCs w:val="20"/>
        </w:rPr>
        <w:t>% kosztów kwalifikowanych działania  2 077 868 euro.</w:t>
      </w:r>
    </w:p>
    <w:p w14:paraId="2719971D" w14:textId="77777777" w:rsidR="005F350A" w:rsidRPr="005758BF" w:rsidRDefault="003218A5" w:rsidP="00CD7387">
      <w:pPr>
        <w:pStyle w:val="spis2"/>
        <w:rPr>
          <w:rFonts w:ascii="Arial" w:hAnsi="Arial" w:cs="Arial"/>
          <w:sz w:val="20"/>
          <w:szCs w:val="20"/>
        </w:rPr>
      </w:pPr>
      <w:r w:rsidRPr="005758BF">
        <w:rPr>
          <w:rFonts w:ascii="Arial" w:hAnsi="Arial" w:cs="Arial"/>
          <w:sz w:val="20"/>
          <w:szCs w:val="20"/>
        </w:rPr>
        <w:t>Inwestycje innych p</w:t>
      </w:r>
      <w:r w:rsidR="005F350A" w:rsidRPr="005758BF">
        <w:rPr>
          <w:rFonts w:ascii="Arial" w:hAnsi="Arial" w:cs="Arial"/>
          <w:sz w:val="20"/>
          <w:szCs w:val="20"/>
        </w:rPr>
        <w:t>odmiotów</w:t>
      </w:r>
      <w:r w:rsidRPr="005758BF">
        <w:rPr>
          <w:rFonts w:ascii="Arial" w:hAnsi="Arial" w:cs="Arial"/>
          <w:sz w:val="20"/>
          <w:szCs w:val="20"/>
        </w:rPr>
        <w:t>,</w:t>
      </w:r>
      <w:r w:rsidR="005F350A" w:rsidRPr="005758BF">
        <w:rPr>
          <w:rFonts w:ascii="Arial" w:hAnsi="Arial" w:cs="Arial"/>
          <w:sz w:val="20"/>
          <w:szCs w:val="20"/>
        </w:rPr>
        <w:t xml:space="preserve"> w których ZMPSiŚ S.A. ma udział</w:t>
      </w:r>
      <w:r w:rsidR="00075A2C">
        <w:rPr>
          <w:rFonts w:ascii="Arial" w:hAnsi="Arial" w:cs="Arial"/>
          <w:sz w:val="20"/>
          <w:szCs w:val="20"/>
        </w:rPr>
        <w:t>,</w:t>
      </w:r>
      <w:r w:rsidR="005F350A" w:rsidRPr="005758BF">
        <w:rPr>
          <w:rFonts w:ascii="Arial" w:hAnsi="Arial" w:cs="Arial"/>
          <w:sz w:val="20"/>
          <w:szCs w:val="20"/>
        </w:rPr>
        <w:t xml:space="preserve"> lub których re</w:t>
      </w:r>
      <w:r w:rsidRPr="005758BF">
        <w:rPr>
          <w:rFonts w:ascii="Arial" w:hAnsi="Arial" w:cs="Arial"/>
          <w:sz w:val="20"/>
          <w:szCs w:val="20"/>
        </w:rPr>
        <w:t>alizacja jest istotna dla portu.</w:t>
      </w:r>
    </w:p>
    <w:p w14:paraId="1BC70236" w14:textId="77777777" w:rsidR="005F350A" w:rsidRPr="00723111" w:rsidRDefault="005F350A" w:rsidP="00BF76C0">
      <w:pPr>
        <w:pStyle w:val="Akapitzlist"/>
        <w:numPr>
          <w:ilvl w:val="0"/>
          <w:numId w:val="3"/>
        </w:numPr>
        <w:spacing w:before="120" w:after="120" w:line="276" w:lineRule="auto"/>
        <w:jc w:val="both"/>
        <w:rPr>
          <w:rFonts w:ascii="Arial" w:hAnsi="Arial" w:cs="Arial"/>
          <w:b/>
          <w:sz w:val="20"/>
          <w:szCs w:val="20"/>
        </w:rPr>
      </w:pPr>
      <w:r w:rsidRPr="00723111">
        <w:rPr>
          <w:rFonts w:ascii="Arial" w:hAnsi="Arial" w:cs="Arial"/>
          <w:b/>
          <w:sz w:val="20"/>
          <w:szCs w:val="20"/>
        </w:rPr>
        <w:t>Modernizacja toru wodnego Świnoujście - Szczecin do głębokości 12,5 m</w:t>
      </w:r>
    </w:p>
    <w:p w14:paraId="3CACA0D1" w14:textId="77777777" w:rsidR="005F350A" w:rsidRPr="00540C6C" w:rsidRDefault="00723111" w:rsidP="00D71F2D">
      <w:pPr>
        <w:spacing w:before="120" w:after="120" w:line="276" w:lineRule="auto"/>
        <w:jc w:val="both"/>
        <w:rPr>
          <w:rFonts w:ascii="Arial" w:hAnsi="Arial" w:cs="Arial"/>
          <w:sz w:val="20"/>
          <w:szCs w:val="20"/>
        </w:rPr>
      </w:pPr>
      <w:r w:rsidRPr="00723111">
        <w:rPr>
          <w:rFonts w:ascii="Arial" w:hAnsi="Arial" w:cs="Arial"/>
          <w:sz w:val="20"/>
          <w:szCs w:val="20"/>
        </w:rPr>
        <w:t>Pogłębienie toru wodnego do głębokości 12,5 m jest inwestycją warunkującą realizację powiązanych inwestycji Zarządu Morskich Portów Szczecin i Świnoujście S.A., które wynikają ze strategii rozwoju portów morskich w Szczec</w:t>
      </w:r>
      <w:r>
        <w:rPr>
          <w:rFonts w:ascii="Arial" w:hAnsi="Arial" w:cs="Arial"/>
          <w:sz w:val="20"/>
          <w:szCs w:val="20"/>
        </w:rPr>
        <w:t>inie i Świnoujściu do 2027 r</w:t>
      </w:r>
      <w:r w:rsidRPr="00723111">
        <w:rPr>
          <w:rFonts w:ascii="Arial" w:hAnsi="Arial" w:cs="Arial"/>
          <w:sz w:val="20"/>
          <w:szCs w:val="20"/>
        </w:rPr>
        <w:t>.</w:t>
      </w:r>
      <w:r>
        <w:rPr>
          <w:rFonts w:ascii="Arial" w:hAnsi="Arial" w:cs="Arial"/>
          <w:sz w:val="20"/>
          <w:szCs w:val="20"/>
        </w:rPr>
        <w:t xml:space="preserve"> </w:t>
      </w:r>
      <w:r w:rsidR="005F350A" w:rsidRPr="00540C6C">
        <w:rPr>
          <w:rFonts w:ascii="Arial" w:hAnsi="Arial" w:cs="Arial"/>
          <w:sz w:val="20"/>
          <w:szCs w:val="20"/>
        </w:rPr>
        <w:t>Projekt współfinansowany przez UE ze środków Funduszu Spójności, w ramach POIiŚ 2014-2020</w:t>
      </w:r>
      <w:r>
        <w:rPr>
          <w:rFonts w:ascii="Arial" w:hAnsi="Arial" w:cs="Arial"/>
          <w:sz w:val="20"/>
          <w:szCs w:val="20"/>
        </w:rPr>
        <w:t>.</w:t>
      </w:r>
    </w:p>
    <w:p w14:paraId="45A24B8A" w14:textId="77777777" w:rsidR="005F350A" w:rsidRPr="00540C6C" w:rsidRDefault="005F350A" w:rsidP="00723111">
      <w:pPr>
        <w:spacing w:before="120" w:after="120"/>
        <w:jc w:val="both"/>
        <w:rPr>
          <w:rFonts w:ascii="Arial" w:hAnsi="Arial" w:cs="Arial"/>
          <w:sz w:val="20"/>
          <w:szCs w:val="20"/>
        </w:rPr>
      </w:pPr>
      <w:r w:rsidRPr="00540C6C">
        <w:rPr>
          <w:rFonts w:ascii="Arial" w:hAnsi="Arial" w:cs="Arial"/>
          <w:sz w:val="20"/>
          <w:szCs w:val="20"/>
        </w:rPr>
        <w:t xml:space="preserve">Projekt obejmuje wykonanie prac o niżej wymienionym zakresie: </w:t>
      </w:r>
    </w:p>
    <w:p w14:paraId="7E38D042"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pogłębienie toru Świnoujście – Szczecin do 12,5 m na odcinku ok. 62 km z równoczesnym jego poszerzeniem do szerokości 100 m w dnie na odcinkach prostych z odpowiednimi poszerzeniami na łukach i odcinkach przejściowych wraz z niezbędnymi korektami geometrii toru wodnego, a także wykonanie mijanek. Ponadto, zakresem projektu objęto również odcinek Kanału Grabowskiego </w:t>
      </w:r>
      <w:r w:rsidR="001F2D17">
        <w:rPr>
          <w:rFonts w:ascii="Arial" w:hAnsi="Arial" w:cs="Arial"/>
          <w:sz w:val="20"/>
          <w:szCs w:val="20"/>
        </w:rPr>
        <w:br/>
      </w:r>
      <w:r w:rsidRPr="00540C6C">
        <w:rPr>
          <w:rFonts w:ascii="Arial" w:hAnsi="Arial" w:cs="Arial"/>
          <w:sz w:val="20"/>
          <w:szCs w:val="20"/>
        </w:rPr>
        <w:t>o długości ok. 0,43 km między Obrotnicą Orli Pr</w:t>
      </w:r>
      <w:r w:rsidR="003218A5">
        <w:rPr>
          <w:rFonts w:ascii="Arial" w:hAnsi="Arial" w:cs="Arial"/>
          <w:sz w:val="20"/>
          <w:szCs w:val="20"/>
        </w:rPr>
        <w:t xml:space="preserve">zesmyk </w:t>
      </w:r>
      <w:r w:rsidRPr="00540C6C">
        <w:rPr>
          <w:rFonts w:ascii="Arial" w:hAnsi="Arial" w:cs="Arial"/>
          <w:sz w:val="20"/>
          <w:szCs w:val="20"/>
        </w:rPr>
        <w:t xml:space="preserve">i Obrotnicą na Kanale Grabowskim (na wysokości Kanału Dębickiego) oraz odcinek toru wodnego o długości ok. 0,39 km między Nabrzeżem Zbożowym i Obrotnicą Kanał Grabowski/Kanał Dębicki, </w:t>
      </w:r>
    </w:p>
    <w:p w14:paraId="649A8017"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przebudowa (regulacja) skarp brzegowych bez umocnień, </w:t>
      </w:r>
    </w:p>
    <w:p w14:paraId="1630E5F9"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niwelacja dna w strefie Świnoujścia (Kanały Piastowski i Mieliński), </w:t>
      </w:r>
    </w:p>
    <w:p w14:paraId="6CF33F58"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budowa i przebudowa umocnień brzegowych i </w:t>
      </w:r>
      <w:r w:rsidR="003218A5">
        <w:rPr>
          <w:rFonts w:ascii="Arial" w:hAnsi="Arial" w:cs="Arial"/>
          <w:sz w:val="20"/>
          <w:szCs w:val="20"/>
        </w:rPr>
        <w:t xml:space="preserve">budowli hydrotechnicznych wraz </w:t>
      </w:r>
      <w:r w:rsidRPr="00540C6C">
        <w:rPr>
          <w:rFonts w:ascii="Arial" w:hAnsi="Arial" w:cs="Arial"/>
          <w:sz w:val="20"/>
          <w:szCs w:val="20"/>
        </w:rPr>
        <w:t xml:space="preserve">z przylegającą infrastrukturą; dotyczyć to będzie umocnienia skarp podwodnych przy nabrzeżach Huk, Żeglarskim, BONn, Gnieźnieńskim (w związku z rozbudową obrotnicy Orli Przesmyk) oraz umocnienie skarp przy obrotnicy Orli Przesmyk, </w:t>
      </w:r>
    </w:p>
    <w:p w14:paraId="4AD21485"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przebudowa kolidujących sieci branżowych, </w:t>
      </w:r>
    </w:p>
    <w:p w14:paraId="786A0E66"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pogłębienie i poszerzenie obrotnic statków: </w:t>
      </w:r>
    </w:p>
    <w:p w14:paraId="17B76853" w14:textId="77777777" w:rsidR="005F350A" w:rsidRPr="00540C6C" w:rsidRDefault="005F350A" w:rsidP="00BF76C0">
      <w:pPr>
        <w:numPr>
          <w:ilvl w:val="1"/>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na wysokości Polic (zwana dalej obrotnicą Police) wraz z odcinkiem toru wodnego </w:t>
      </w:r>
      <w:r w:rsidRPr="00540C6C">
        <w:rPr>
          <w:rFonts w:ascii="Arial" w:hAnsi="Arial" w:cs="Arial"/>
          <w:sz w:val="20"/>
          <w:szCs w:val="20"/>
        </w:rPr>
        <w:br/>
        <w:t xml:space="preserve">w Kanale Polickim do nabrzeża w Porcie Police o długości ok. 0,29 km, </w:t>
      </w:r>
    </w:p>
    <w:p w14:paraId="722A08FF" w14:textId="77777777" w:rsidR="005F350A" w:rsidRPr="00540C6C" w:rsidRDefault="005F350A" w:rsidP="00BF76C0">
      <w:pPr>
        <w:numPr>
          <w:ilvl w:val="1"/>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przy Przesmyku Orlim na Przekopie Mieleńskim u wejścia do Kanału Grabowskiego, </w:t>
      </w:r>
    </w:p>
    <w:p w14:paraId="51A81E77" w14:textId="77777777" w:rsidR="005F350A" w:rsidRPr="00540C6C" w:rsidRDefault="005F350A" w:rsidP="00BF76C0">
      <w:pPr>
        <w:numPr>
          <w:ilvl w:val="1"/>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na połączeniu Kanału Grabowskiego i Basenu Dębickiego, </w:t>
      </w:r>
    </w:p>
    <w:p w14:paraId="39A59093"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budowa dodatkowych konstrukcji hydrotechnicznyc</w:t>
      </w:r>
      <w:r w:rsidR="003218A5">
        <w:rPr>
          <w:rFonts w:ascii="Arial" w:hAnsi="Arial" w:cs="Arial"/>
          <w:sz w:val="20"/>
          <w:szCs w:val="20"/>
        </w:rPr>
        <w:t xml:space="preserve">h i pozostałej infrastruktury, </w:t>
      </w:r>
      <w:r w:rsidRPr="00540C6C">
        <w:rPr>
          <w:rFonts w:ascii="Arial" w:hAnsi="Arial" w:cs="Arial"/>
          <w:sz w:val="20"/>
          <w:szCs w:val="20"/>
        </w:rPr>
        <w:t xml:space="preserve">a mianowicie: </w:t>
      </w:r>
    </w:p>
    <w:p w14:paraId="1FA82CF9" w14:textId="77777777" w:rsidR="005F350A" w:rsidRPr="00540C6C" w:rsidRDefault="005F350A" w:rsidP="00BF76C0">
      <w:pPr>
        <w:numPr>
          <w:ilvl w:val="1"/>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budowa nowych pól refulacyjnych w postaci sztucznych wysp na Zalewie Szczecińskim wraz </w:t>
      </w:r>
      <w:r w:rsidR="00AF78AF">
        <w:rPr>
          <w:rFonts w:ascii="Arial" w:hAnsi="Arial" w:cs="Arial"/>
          <w:sz w:val="20"/>
          <w:szCs w:val="20"/>
        </w:rPr>
        <w:br/>
      </w:r>
      <w:r w:rsidRPr="00540C6C">
        <w:rPr>
          <w:rFonts w:ascii="Arial" w:hAnsi="Arial" w:cs="Arial"/>
          <w:sz w:val="20"/>
          <w:szCs w:val="20"/>
        </w:rPr>
        <w:t xml:space="preserve">z przystaniami, </w:t>
      </w:r>
    </w:p>
    <w:p w14:paraId="11D21092" w14:textId="77777777" w:rsidR="005F350A" w:rsidRPr="00540C6C" w:rsidRDefault="005F350A" w:rsidP="00BF76C0">
      <w:pPr>
        <w:numPr>
          <w:ilvl w:val="1"/>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przystosowanie i modernizacja istniejącego oznakowania nawigacyjnego i elementów systemu kontroli ruchu statków do nowej geometrii toru wodnego, </w:t>
      </w:r>
    </w:p>
    <w:p w14:paraId="42D268C9" w14:textId="77777777" w:rsidR="005F350A" w:rsidRPr="00540C6C" w:rsidRDefault="005F350A" w:rsidP="00BF76C0">
      <w:pPr>
        <w:numPr>
          <w:ilvl w:val="1"/>
          <w:numId w:val="5"/>
        </w:numPr>
        <w:spacing w:after="0" w:line="276" w:lineRule="auto"/>
        <w:contextualSpacing/>
        <w:jc w:val="both"/>
        <w:rPr>
          <w:rFonts w:ascii="Arial" w:hAnsi="Arial" w:cs="Arial"/>
          <w:sz w:val="20"/>
          <w:szCs w:val="20"/>
        </w:rPr>
      </w:pPr>
      <w:r w:rsidRPr="00540C6C">
        <w:rPr>
          <w:rFonts w:ascii="Arial" w:hAnsi="Arial" w:cs="Arial"/>
          <w:sz w:val="20"/>
          <w:szCs w:val="20"/>
        </w:rPr>
        <w:t>modernizacja obiektów Bazy Oznakowania Nawigacyjnego w Szczecinie polegająca m.in. na rozbiórkach, przebudowach obiektów istniejących (g</w:t>
      </w:r>
      <w:r w:rsidR="003218A5">
        <w:rPr>
          <w:rFonts w:ascii="Arial" w:hAnsi="Arial" w:cs="Arial"/>
          <w:sz w:val="20"/>
          <w:szCs w:val="20"/>
        </w:rPr>
        <w:t xml:space="preserve">łównie budynków), </w:t>
      </w:r>
      <w:r w:rsidR="00376392">
        <w:rPr>
          <w:rFonts w:ascii="Arial" w:hAnsi="Arial" w:cs="Arial"/>
          <w:sz w:val="20"/>
          <w:szCs w:val="20"/>
        </w:rPr>
        <w:t xml:space="preserve">budowie nowych </w:t>
      </w:r>
      <w:r w:rsidRPr="00540C6C">
        <w:rPr>
          <w:rFonts w:ascii="Arial" w:hAnsi="Arial" w:cs="Arial"/>
          <w:sz w:val="20"/>
          <w:szCs w:val="20"/>
        </w:rPr>
        <w:t>obiektów, instalacji zewnętrznych oraz zagospodarowaniu terenu. Modernizacja służy polepszeniu warunków użytkowania obiektów i realizacji zadań wynikających ze statutowej działalności Urzędu – administracji morskiej, tj. za</w:t>
      </w:r>
      <w:r w:rsidR="00C56D19">
        <w:rPr>
          <w:rFonts w:ascii="Arial" w:hAnsi="Arial" w:cs="Arial"/>
          <w:sz w:val="20"/>
          <w:szCs w:val="20"/>
        </w:rPr>
        <w:t xml:space="preserve">dania </w:t>
      </w:r>
      <w:r w:rsidRPr="00540C6C">
        <w:rPr>
          <w:rFonts w:ascii="Arial" w:hAnsi="Arial" w:cs="Arial"/>
          <w:sz w:val="20"/>
          <w:szCs w:val="20"/>
        </w:rPr>
        <w:t>z zakresu bezpieczeństwa żeglugi, ochrony portów i żeglugi morskiej oraz oznakowania nawigacyjnego i radionawigacyj</w:t>
      </w:r>
      <w:r w:rsidR="004F418A">
        <w:rPr>
          <w:rFonts w:ascii="Arial" w:hAnsi="Arial" w:cs="Arial"/>
          <w:sz w:val="20"/>
          <w:szCs w:val="20"/>
        </w:rPr>
        <w:t>nego polskich obszarów morskich,</w:t>
      </w:r>
      <w:r w:rsidRPr="00540C6C">
        <w:rPr>
          <w:rFonts w:ascii="Arial" w:hAnsi="Arial" w:cs="Arial"/>
          <w:sz w:val="20"/>
          <w:szCs w:val="20"/>
        </w:rPr>
        <w:t xml:space="preserve"> </w:t>
      </w:r>
    </w:p>
    <w:p w14:paraId="1D0AC641" w14:textId="77777777" w:rsidR="005F350A" w:rsidRPr="00540C6C" w:rsidRDefault="005F350A" w:rsidP="00BF76C0">
      <w:pPr>
        <w:numPr>
          <w:ilvl w:val="0"/>
          <w:numId w:val="5"/>
        </w:numPr>
        <w:spacing w:after="0" w:line="276" w:lineRule="auto"/>
        <w:contextualSpacing/>
        <w:jc w:val="both"/>
        <w:rPr>
          <w:rFonts w:ascii="Arial" w:hAnsi="Arial" w:cs="Arial"/>
          <w:sz w:val="20"/>
          <w:szCs w:val="20"/>
        </w:rPr>
      </w:pPr>
      <w:r w:rsidRPr="00540C6C">
        <w:rPr>
          <w:rFonts w:ascii="Arial" w:hAnsi="Arial" w:cs="Arial"/>
          <w:sz w:val="20"/>
          <w:szCs w:val="20"/>
        </w:rPr>
        <w:t xml:space="preserve">pozyskanie części nieruchomości na cele budowlane oraz wykonanie wycinek i wylesień </w:t>
      </w:r>
      <w:r w:rsidRPr="00540C6C">
        <w:rPr>
          <w:rFonts w:ascii="Arial" w:hAnsi="Arial" w:cs="Arial"/>
          <w:sz w:val="20"/>
          <w:szCs w:val="20"/>
        </w:rPr>
        <w:br/>
        <w:t>w niezbędnym zakresie.</w:t>
      </w:r>
    </w:p>
    <w:p w14:paraId="41648048" w14:textId="77777777" w:rsidR="005F350A" w:rsidRPr="00540C6C" w:rsidRDefault="005F350A" w:rsidP="005F350A">
      <w:pPr>
        <w:spacing w:after="0"/>
        <w:jc w:val="both"/>
        <w:rPr>
          <w:rFonts w:ascii="Arial" w:hAnsi="Arial" w:cs="Arial"/>
          <w:sz w:val="20"/>
          <w:szCs w:val="20"/>
        </w:rPr>
      </w:pPr>
    </w:p>
    <w:p w14:paraId="479A2DBC" w14:textId="77777777" w:rsidR="005F350A" w:rsidRPr="004F418A" w:rsidRDefault="005F350A" w:rsidP="00BF76C0">
      <w:pPr>
        <w:pStyle w:val="Akapitzlist"/>
        <w:numPr>
          <w:ilvl w:val="0"/>
          <w:numId w:val="3"/>
        </w:numPr>
        <w:spacing w:after="0" w:line="276" w:lineRule="auto"/>
        <w:jc w:val="both"/>
        <w:rPr>
          <w:rFonts w:ascii="Arial" w:hAnsi="Arial" w:cs="Arial"/>
          <w:sz w:val="20"/>
          <w:szCs w:val="20"/>
        </w:rPr>
      </w:pPr>
      <w:r w:rsidRPr="004F418A">
        <w:rPr>
          <w:rFonts w:ascii="Arial" w:hAnsi="Arial" w:cs="Arial"/>
          <w:b/>
          <w:sz w:val="20"/>
          <w:szCs w:val="20"/>
        </w:rPr>
        <w:t>Modernizacja dostępu drogowego do portu w Szczecinie: przebudowa układu komunikacyjnego w rejonie Międzyodrza</w:t>
      </w:r>
    </w:p>
    <w:p w14:paraId="00D96E80" w14:textId="77777777" w:rsidR="005F350A" w:rsidRPr="00540C6C" w:rsidRDefault="005F350A" w:rsidP="005F350A">
      <w:pPr>
        <w:spacing w:after="0"/>
        <w:jc w:val="both"/>
        <w:rPr>
          <w:rFonts w:ascii="Arial" w:hAnsi="Arial" w:cs="Arial"/>
          <w:sz w:val="20"/>
          <w:szCs w:val="20"/>
        </w:rPr>
      </w:pPr>
    </w:p>
    <w:p w14:paraId="3070D8E0" w14:textId="77777777" w:rsidR="005F350A" w:rsidRPr="000D0825" w:rsidRDefault="005F350A" w:rsidP="000D0825">
      <w:pPr>
        <w:tabs>
          <w:tab w:val="left" w:pos="851"/>
          <w:tab w:val="left" w:pos="5780"/>
          <w:tab w:val="left" w:pos="7230"/>
        </w:tabs>
        <w:suppressAutoHyphens/>
        <w:spacing w:line="276" w:lineRule="auto"/>
        <w:jc w:val="both"/>
        <w:rPr>
          <w:rFonts w:ascii="Arial" w:hAnsi="Arial" w:cs="Arial"/>
          <w:bCs/>
          <w:sz w:val="20"/>
          <w:szCs w:val="20"/>
          <w:lang w:eastAsia="ar-SA"/>
        </w:rPr>
      </w:pPr>
      <w:r w:rsidRPr="000D0825">
        <w:rPr>
          <w:rFonts w:ascii="Arial" w:hAnsi="Arial" w:cs="Arial"/>
          <w:bCs/>
          <w:sz w:val="20"/>
          <w:szCs w:val="20"/>
          <w:lang w:eastAsia="ar-SA"/>
        </w:rPr>
        <w:t>Zakres projektu obejmuje końcowe oraz początkowe odcinki ulic prowadzących w kierunku portu na odcinku drogi krajowej nr 10 (DK10) od mostu Długiego i dalej w ciągu ulic Energetyków i Gdańskiej. Celem inwestycji jest również przebudowa układu komunikacyjnego Międzyodrza i Łasztowni w celu modernizacji dostępu drogowego do portu w Szczecinie. Zakres  zadania  inwestycyjnego  został  określony poprzez  wskazanie  niezbędnych dr</w:t>
      </w:r>
      <w:r w:rsidR="000D0825" w:rsidRPr="000D0825">
        <w:rPr>
          <w:rFonts w:ascii="Arial" w:hAnsi="Arial" w:cs="Arial"/>
          <w:bCs/>
          <w:sz w:val="20"/>
          <w:szCs w:val="20"/>
          <w:lang w:eastAsia="ar-SA"/>
        </w:rPr>
        <w:t>óg/ulic do przebudowy i budowy i zakład p</w:t>
      </w:r>
      <w:r w:rsidRPr="000D0825">
        <w:rPr>
          <w:rFonts w:ascii="Arial" w:hAnsi="Arial" w:cs="Arial"/>
          <w:bCs/>
          <w:sz w:val="20"/>
          <w:szCs w:val="20"/>
          <w:lang w:eastAsia="ar-SA"/>
        </w:rPr>
        <w:t xml:space="preserve">rzebudowę </w:t>
      </w:r>
      <w:r w:rsidR="00AF78AF">
        <w:rPr>
          <w:rFonts w:ascii="Arial" w:hAnsi="Arial" w:cs="Arial"/>
          <w:bCs/>
          <w:sz w:val="20"/>
          <w:szCs w:val="20"/>
          <w:lang w:eastAsia="ar-SA"/>
        </w:rPr>
        <w:br/>
      </w:r>
      <w:r w:rsidRPr="000D0825">
        <w:rPr>
          <w:rFonts w:ascii="Arial" w:hAnsi="Arial" w:cs="Arial"/>
          <w:bCs/>
          <w:sz w:val="20"/>
          <w:szCs w:val="20"/>
          <w:lang w:eastAsia="ar-SA"/>
        </w:rPr>
        <w:t>i modernizację następujących ulic:</w:t>
      </w:r>
    </w:p>
    <w:p w14:paraId="743CE1F0" w14:textId="77777777" w:rsidR="005F350A" w:rsidRPr="00540C6C" w:rsidRDefault="000D0825" w:rsidP="00456693">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5F350A" w:rsidRPr="00540C6C">
        <w:rPr>
          <w:rFonts w:ascii="Arial" w:hAnsi="Arial" w:cs="Arial"/>
          <w:sz w:val="20"/>
          <w:szCs w:val="20"/>
        </w:rPr>
        <w:t>Łącznik Południowy, ul. Panieńska, Nabrzeże Wieleckie, Łącznik Południowy, Panieńska, Nabrzeże Wieleckie, Wendy, Zbożowa, Celna, na odcinku od mostu Zielon</w:t>
      </w:r>
      <w:r w:rsidR="00AF78AF">
        <w:rPr>
          <w:rFonts w:ascii="Arial" w:hAnsi="Arial" w:cs="Arial"/>
          <w:sz w:val="20"/>
          <w:szCs w:val="20"/>
        </w:rPr>
        <w:t>ego do ul. Zbożowej, Spichrzowa</w:t>
      </w:r>
      <w:r w:rsidR="005F350A" w:rsidRPr="00540C6C">
        <w:rPr>
          <w:rFonts w:ascii="Arial" w:hAnsi="Arial" w:cs="Arial"/>
          <w:sz w:val="20"/>
          <w:szCs w:val="20"/>
        </w:rPr>
        <w:t xml:space="preserve">, Energetyków na odcinku od Mostu Długiego do Mostu Portowego (bez przebudowy obiektów), Władysława IV, św. Floriana, Bulwar Gdański, Heyki, Bulwar Śląski, Bytomska, Rybnicka, Hryniewieckiego, Logistyczna, Ks. St. Kujota, </w:t>
      </w:r>
      <w:r w:rsidR="00456693">
        <w:rPr>
          <w:rFonts w:ascii="Arial" w:hAnsi="Arial" w:cs="Arial"/>
          <w:sz w:val="20"/>
          <w:szCs w:val="20"/>
        </w:rPr>
        <w:t>Gdańska, Górnośląska, Basenowa.</w:t>
      </w:r>
    </w:p>
    <w:p w14:paraId="5EB4B45A" w14:textId="77777777" w:rsidR="005F350A" w:rsidRPr="00540C6C" w:rsidRDefault="000D0825" w:rsidP="00456693">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5F350A" w:rsidRPr="00540C6C">
        <w:rPr>
          <w:rFonts w:ascii="Arial" w:hAnsi="Arial" w:cs="Arial"/>
          <w:sz w:val="20"/>
          <w:szCs w:val="20"/>
        </w:rPr>
        <w:t xml:space="preserve">Przebudowę następujących skrzyżowań: Łącznik Południowy – ul. Nabrzeże Wieleckie, Łącznik Południowy – ul. Panieńska, Łącznik Południowy – ul. Nabrzeże Wieleckie, Łącznik Południowy – </w:t>
      </w:r>
      <w:r w:rsidR="00F849B8">
        <w:rPr>
          <w:rFonts w:ascii="Arial" w:hAnsi="Arial" w:cs="Arial"/>
          <w:sz w:val="20"/>
          <w:szCs w:val="20"/>
        </w:rPr>
        <w:br/>
      </w:r>
      <w:r w:rsidR="005F350A" w:rsidRPr="00540C6C">
        <w:rPr>
          <w:rFonts w:ascii="Arial" w:hAnsi="Arial" w:cs="Arial"/>
          <w:sz w:val="20"/>
          <w:szCs w:val="20"/>
        </w:rPr>
        <w:t xml:space="preserve">ul. Panieńska, Energetyków – ul. św. Floriana, Władysława IV – ul. Zbożowa, Hryniewieckiego – </w:t>
      </w:r>
      <w:r w:rsidR="00F849B8">
        <w:rPr>
          <w:rFonts w:ascii="Arial" w:hAnsi="Arial" w:cs="Arial"/>
          <w:sz w:val="20"/>
          <w:szCs w:val="20"/>
        </w:rPr>
        <w:br/>
      </w:r>
      <w:r w:rsidR="005F350A" w:rsidRPr="00540C6C">
        <w:rPr>
          <w:rFonts w:ascii="Arial" w:hAnsi="Arial" w:cs="Arial"/>
          <w:sz w:val="20"/>
          <w:szCs w:val="20"/>
        </w:rPr>
        <w:t xml:space="preserve">ul. Logistyczna. </w:t>
      </w:r>
    </w:p>
    <w:p w14:paraId="5577C22D" w14:textId="77777777" w:rsidR="005F350A" w:rsidRPr="00540C6C" w:rsidRDefault="000D0825" w:rsidP="00456693">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5F350A" w:rsidRPr="00540C6C">
        <w:rPr>
          <w:rFonts w:ascii="Arial" w:hAnsi="Arial" w:cs="Arial"/>
          <w:sz w:val="20"/>
          <w:szCs w:val="20"/>
        </w:rPr>
        <w:t>Budowę nowej jezdni: Łącznik Południowy, ul. Władysława IV – na odcinku od mostu Kłodnego do połączenia na wysokości ul. Zbożowej Łącznik na odcinku</w:t>
      </w:r>
      <w:r w:rsidR="00456693">
        <w:rPr>
          <w:rFonts w:ascii="Arial" w:hAnsi="Arial" w:cs="Arial"/>
          <w:sz w:val="20"/>
          <w:szCs w:val="20"/>
        </w:rPr>
        <w:t xml:space="preserve"> ul. Władysława IV do ul. Wendy.</w:t>
      </w:r>
      <w:r w:rsidR="005F350A" w:rsidRPr="00540C6C">
        <w:rPr>
          <w:rFonts w:ascii="Arial" w:hAnsi="Arial" w:cs="Arial"/>
          <w:sz w:val="20"/>
          <w:szCs w:val="20"/>
        </w:rPr>
        <w:t xml:space="preserve"> </w:t>
      </w:r>
    </w:p>
    <w:p w14:paraId="6E611E3F" w14:textId="77777777" w:rsidR="005F350A" w:rsidRPr="00540C6C" w:rsidRDefault="000D0825" w:rsidP="00F87560">
      <w:pPr>
        <w:spacing w:before="240" w:after="120" w:line="240" w:lineRule="atLeast"/>
        <w:contextualSpacing/>
        <w:jc w:val="both"/>
        <w:rPr>
          <w:rFonts w:ascii="Arial" w:hAnsi="Arial" w:cs="Arial"/>
          <w:sz w:val="20"/>
          <w:szCs w:val="20"/>
        </w:rPr>
      </w:pPr>
      <w:r>
        <w:rPr>
          <w:rFonts w:ascii="Arial" w:hAnsi="Arial" w:cs="Arial"/>
          <w:sz w:val="20"/>
          <w:szCs w:val="20"/>
        </w:rPr>
        <w:t xml:space="preserve">- </w:t>
      </w:r>
      <w:r w:rsidR="005F350A" w:rsidRPr="00540C6C">
        <w:rPr>
          <w:rFonts w:ascii="Arial" w:hAnsi="Arial" w:cs="Arial"/>
          <w:sz w:val="20"/>
          <w:szCs w:val="20"/>
        </w:rPr>
        <w:t>Budowę nowej przeprawy przez Odrę - Most Kłodny.</w:t>
      </w:r>
    </w:p>
    <w:p w14:paraId="1ED2584A" w14:textId="77777777" w:rsidR="005F350A" w:rsidRPr="00540C6C" w:rsidRDefault="005F350A" w:rsidP="00F87560">
      <w:pPr>
        <w:spacing w:before="240" w:after="120" w:line="240" w:lineRule="atLeast"/>
        <w:jc w:val="both"/>
        <w:rPr>
          <w:rFonts w:ascii="Arial" w:hAnsi="Arial" w:cs="Arial"/>
          <w:sz w:val="20"/>
          <w:szCs w:val="20"/>
        </w:rPr>
      </w:pPr>
      <w:r w:rsidRPr="00540C6C">
        <w:rPr>
          <w:rFonts w:ascii="Arial" w:hAnsi="Arial" w:cs="Arial"/>
          <w:sz w:val="20"/>
          <w:szCs w:val="20"/>
        </w:rPr>
        <w:t xml:space="preserve">Modernizacja układu drogowego w rejonie portu zdecydowanie poprawi funkcjonalność portu, jak </w:t>
      </w:r>
      <w:r w:rsidRPr="00540C6C">
        <w:rPr>
          <w:rFonts w:ascii="Arial" w:hAnsi="Arial" w:cs="Arial"/>
          <w:sz w:val="20"/>
          <w:szCs w:val="20"/>
        </w:rPr>
        <w:br/>
        <w:t xml:space="preserve">i wpłynie na rozwój już istniejących przedsiębiorstw, jednocześnie pozwalając na  lokalizację nowych przedsięwzięć. </w:t>
      </w:r>
    </w:p>
    <w:p w14:paraId="0691DD09" w14:textId="77777777" w:rsidR="005F350A" w:rsidRPr="000D0825" w:rsidRDefault="005F350A" w:rsidP="00BF76C0">
      <w:pPr>
        <w:pStyle w:val="Akapitzlist"/>
        <w:numPr>
          <w:ilvl w:val="0"/>
          <w:numId w:val="3"/>
        </w:numPr>
        <w:spacing w:after="0" w:line="276" w:lineRule="auto"/>
        <w:jc w:val="both"/>
        <w:rPr>
          <w:rFonts w:ascii="Arial" w:hAnsi="Arial" w:cs="Arial"/>
          <w:b/>
          <w:sz w:val="20"/>
          <w:szCs w:val="20"/>
        </w:rPr>
      </w:pPr>
      <w:r w:rsidRPr="000D0825">
        <w:rPr>
          <w:rFonts w:ascii="Arial" w:hAnsi="Arial" w:cs="Arial"/>
          <w:b/>
          <w:sz w:val="20"/>
          <w:szCs w:val="20"/>
        </w:rPr>
        <w:t>Sprawny i przyjazny środowisku dostęp do inf</w:t>
      </w:r>
      <w:r w:rsidR="000D0825">
        <w:rPr>
          <w:rFonts w:ascii="Arial" w:hAnsi="Arial" w:cs="Arial"/>
          <w:b/>
          <w:sz w:val="20"/>
          <w:szCs w:val="20"/>
        </w:rPr>
        <w:t>rastruktury portu w Świnoujściu</w:t>
      </w:r>
    </w:p>
    <w:p w14:paraId="24D9670E" w14:textId="77777777" w:rsidR="005F350A" w:rsidRPr="00540C6C" w:rsidRDefault="005F350A" w:rsidP="00F87560">
      <w:pPr>
        <w:spacing w:before="120" w:after="120" w:line="276" w:lineRule="auto"/>
        <w:jc w:val="both"/>
        <w:rPr>
          <w:rFonts w:ascii="Arial" w:hAnsi="Arial" w:cs="Arial"/>
          <w:sz w:val="20"/>
          <w:szCs w:val="20"/>
        </w:rPr>
      </w:pPr>
      <w:r w:rsidRPr="00540C6C">
        <w:rPr>
          <w:rFonts w:ascii="Arial" w:hAnsi="Arial" w:cs="Arial"/>
          <w:sz w:val="20"/>
          <w:szCs w:val="20"/>
        </w:rPr>
        <w:t>Celem projektu jest zapewnienie sprawnego, bezpieczn</w:t>
      </w:r>
      <w:r w:rsidR="00F87560">
        <w:rPr>
          <w:rFonts w:ascii="Arial" w:hAnsi="Arial" w:cs="Arial"/>
          <w:sz w:val="20"/>
          <w:szCs w:val="20"/>
        </w:rPr>
        <w:t xml:space="preserve">ego i jak najmniej uciążliwego </w:t>
      </w:r>
      <w:r w:rsidRPr="00540C6C">
        <w:rPr>
          <w:rFonts w:ascii="Arial" w:hAnsi="Arial" w:cs="Arial"/>
          <w:sz w:val="20"/>
          <w:szCs w:val="20"/>
        </w:rPr>
        <w:t>dla mieszkańców i innych użytkowników dróg, dojazdu od strony lądu do terenów portu w Świnoujściu, zarówno tych obecnie funkcjonujących jak i planowanych do zainwestowania.</w:t>
      </w:r>
    </w:p>
    <w:p w14:paraId="4353542F" w14:textId="77777777" w:rsidR="005F350A" w:rsidRPr="00540C6C" w:rsidRDefault="005F350A" w:rsidP="00F87560">
      <w:pPr>
        <w:spacing w:before="120" w:after="120" w:line="276" w:lineRule="auto"/>
        <w:jc w:val="both"/>
        <w:rPr>
          <w:rFonts w:ascii="Arial" w:hAnsi="Arial" w:cs="Arial"/>
          <w:sz w:val="20"/>
          <w:szCs w:val="20"/>
        </w:rPr>
      </w:pPr>
      <w:r w:rsidRPr="00540C6C">
        <w:rPr>
          <w:rFonts w:ascii="Arial" w:hAnsi="Arial" w:cs="Arial"/>
          <w:sz w:val="20"/>
          <w:szCs w:val="20"/>
        </w:rPr>
        <w:t xml:space="preserve">Stan techniczny dróg publicznych, po których obecnie poruszają się m.in. pojazdy o znacznym ciężarze przewożące ładunki do i z portu jest niezadowalający i systematycznie ulega pogorszeniu. Wpływa to również na pogorszenie się warunków bezpieczeństwa na drodze i generuje wysokie koszty eksploatacyjne tych dróg. W większości drogi prowadzące do portu są drogami kategorii powiatowej </w:t>
      </w:r>
      <w:r w:rsidR="00D12FF6">
        <w:rPr>
          <w:rFonts w:ascii="Arial" w:hAnsi="Arial" w:cs="Arial"/>
          <w:sz w:val="20"/>
          <w:szCs w:val="20"/>
        </w:rPr>
        <w:br/>
      </w:r>
      <w:r w:rsidRPr="00540C6C">
        <w:rPr>
          <w:rFonts w:ascii="Arial" w:hAnsi="Arial" w:cs="Arial"/>
          <w:sz w:val="20"/>
          <w:szCs w:val="20"/>
        </w:rPr>
        <w:t xml:space="preserve">i gminnej i nie posiadają parametrów nośności odpowiednich dla ruchu ciężkiego. Są przystosowane do poruszania się pojazdów o dopuszczalnym nacisku pojedynczej osi do 8 ton, podczas gdy konieczne jest osiągnięcie nośności dróg 11,5 tony/oś (jak dla dróg krajowych). Duże natężenie ruchu ciężarowego stwarza zagrożenia w bezpieczeństwie ruchu zwłaszcza niechronionych użytkowników (pieszych </w:t>
      </w:r>
      <w:r w:rsidR="00D12FF6">
        <w:rPr>
          <w:rFonts w:ascii="Arial" w:hAnsi="Arial" w:cs="Arial"/>
          <w:sz w:val="20"/>
          <w:szCs w:val="20"/>
        </w:rPr>
        <w:br/>
      </w:r>
      <w:r w:rsidRPr="00540C6C">
        <w:rPr>
          <w:rFonts w:ascii="Arial" w:hAnsi="Arial" w:cs="Arial"/>
          <w:sz w:val="20"/>
          <w:szCs w:val="20"/>
        </w:rPr>
        <w:t>i rowerzystów). Ponadto generowane są uciążliwości dla mieszkańców przyległych dzielnic, głównie przez ruch ciężarowy do i z portu (m.in. hałas komunikacyjny, emisja zanieczyszczeń).</w:t>
      </w:r>
    </w:p>
    <w:p w14:paraId="6ED16F94" w14:textId="77777777" w:rsidR="005F350A" w:rsidRPr="00540C6C" w:rsidRDefault="005F350A" w:rsidP="003218A5">
      <w:pPr>
        <w:spacing w:after="0" w:line="276" w:lineRule="auto"/>
        <w:jc w:val="both"/>
        <w:rPr>
          <w:rFonts w:ascii="Arial" w:hAnsi="Arial" w:cs="Arial"/>
          <w:sz w:val="20"/>
          <w:szCs w:val="20"/>
        </w:rPr>
      </w:pPr>
      <w:r w:rsidRPr="00540C6C">
        <w:rPr>
          <w:rFonts w:ascii="Arial" w:hAnsi="Arial" w:cs="Arial"/>
          <w:sz w:val="20"/>
          <w:szCs w:val="20"/>
        </w:rPr>
        <w:t>Inwestycja realizowana będzie w dwóch etapach:</w:t>
      </w:r>
    </w:p>
    <w:p w14:paraId="73B27F2B" w14:textId="77777777" w:rsidR="005F350A" w:rsidRPr="00540C6C" w:rsidRDefault="005F350A" w:rsidP="005F350A">
      <w:pPr>
        <w:spacing w:after="0"/>
        <w:jc w:val="both"/>
        <w:rPr>
          <w:rFonts w:ascii="Arial" w:hAnsi="Arial" w:cs="Arial"/>
          <w:sz w:val="20"/>
          <w:szCs w:val="20"/>
        </w:rPr>
      </w:pPr>
    </w:p>
    <w:p w14:paraId="5423408E" w14:textId="77777777" w:rsidR="00CE48DC" w:rsidRDefault="00CE48DC" w:rsidP="005F350A">
      <w:pPr>
        <w:spacing w:after="0"/>
        <w:jc w:val="both"/>
        <w:rPr>
          <w:rFonts w:ascii="Arial" w:hAnsi="Arial" w:cs="Arial"/>
          <w:sz w:val="20"/>
          <w:szCs w:val="20"/>
        </w:rPr>
      </w:pPr>
    </w:p>
    <w:p w14:paraId="0313956A" w14:textId="77777777" w:rsidR="00CE48DC" w:rsidRDefault="00CE48DC" w:rsidP="005F350A">
      <w:pPr>
        <w:spacing w:after="0"/>
        <w:jc w:val="both"/>
        <w:rPr>
          <w:rFonts w:ascii="Arial" w:hAnsi="Arial" w:cs="Arial"/>
          <w:sz w:val="20"/>
          <w:szCs w:val="20"/>
        </w:rPr>
      </w:pPr>
    </w:p>
    <w:p w14:paraId="29E2A168" w14:textId="77777777" w:rsidR="00CE48DC" w:rsidRDefault="00CE48DC" w:rsidP="005F350A">
      <w:pPr>
        <w:spacing w:after="0"/>
        <w:jc w:val="both"/>
        <w:rPr>
          <w:rFonts w:ascii="Arial" w:hAnsi="Arial" w:cs="Arial"/>
          <w:sz w:val="20"/>
          <w:szCs w:val="20"/>
        </w:rPr>
      </w:pPr>
    </w:p>
    <w:p w14:paraId="21C57EF2" w14:textId="04B4DF2E" w:rsidR="005F350A" w:rsidRPr="00540C6C" w:rsidRDefault="005F350A" w:rsidP="005F350A">
      <w:pPr>
        <w:spacing w:after="0"/>
        <w:jc w:val="both"/>
        <w:rPr>
          <w:rFonts w:ascii="Arial" w:hAnsi="Arial" w:cs="Arial"/>
          <w:sz w:val="20"/>
          <w:szCs w:val="20"/>
        </w:rPr>
      </w:pPr>
      <w:r w:rsidRPr="00540C6C">
        <w:rPr>
          <w:rFonts w:ascii="Arial" w:hAnsi="Arial" w:cs="Arial"/>
          <w:sz w:val="20"/>
          <w:szCs w:val="20"/>
        </w:rPr>
        <w:t>Etap 1:</w:t>
      </w:r>
    </w:p>
    <w:p w14:paraId="30A3DA2A" w14:textId="77777777" w:rsidR="005F350A" w:rsidRPr="00540C6C" w:rsidRDefault="005F350A" w:rsidP="00BF76C0">
      <w:pPr>
        <w:numPr>
          <w:ilvl w:val="1"/>
          <w:numId w:val="6"/>
        </w:numPr>
        <w:spacing w:after="0" w:line="276" w:lineRule="auto"/>
        <w:ind w:left="709"/>
        <w:contextualSpacing/>
        <w:jc w:val="both"/>
        <w:rPr>
          <w:rFonts w:ascii="Arial" w:hAnsi="Arial" w:cs="Arial"/>
          <w:sz w:val="20"/>
          <w:szCs w:val="20"/>
        </w:rPr>
      </w:pPr>
      <w:r w:rsidRPr="00540C6C">
        <w:rPr>
          <w:rFonts w:ascii="Arial" w:hAnsi="Arial" w:cs="Arial"/>
          <w:sz w:val="20"/>
          <w:szCs w:val="20"/>
        </w:rPr>
        <w:t xml:space="preserve">przebudowa odcinka drogi krajowej nr 3 przy granicy administracyjnej miasta Świnoujście </w:t>
      </w:r>
      <w:r w:rsidR="005B5FD0">
        <w:rPr>
          <w:rFonts w:ascii="Arial" w:hAnsi="Arial" w:cs="Arial"/>
          <w:sz w:val="20"/>
          <w:szCs w:val="20"/>
        </w:rPr>
        <w:br/>
      </w:r>
      <w:r w:rsidRPr="00540C6C">
        <w:rPr>
          <w:rFonts w:ascii="Arial" w:hAnsi="Arial" w:cs="Arial"/>
          <w:sz w:val="20"/>
          <w:szCs w:val="20"/>
        </w:rPr>
        <w:t xml:space="preserve">(ok. 600 mb ul. Wolińskiej) wraz z budową bezpiecznego przejścia pieszo </w:t>
      </w:r>
      <w:r w:rsidR="005B5FD0">
        <w:rPr>
          <w:rFonts w:ascii="Arial" w:hAnsi="Arial" w:cs="Arial"/>
          <w:sz w:val="20"/>
          <w:szCs w:val="20"/>
        </w:rPr>
        <w:t>-</w:t>
      </w:r>
      <w:r w:rsidRPr="00540C6C">
        <w:rPr>
          <w:rFonts w:ascii="Arial" w:hAnsi="Arial" w:cs="Arial"/>
          <w:sz w:val="20"/>
          <w:szCs w:val="20"/>
        </w:rPr>
        <w:t xml:space="preserve"> rowerowego </w:t>
      </w:r>
      <w:r w:rsidR="005B5FD0">
        <w:rPr>
          <w:rFonts w:ascii="Arial" w:hAnsi="Arial" w:cs="Arial"/>
          <w:sz w:val="20"/>
          <w:szCs w:val="20"/>
        </w:rPr>
        <w:br/>
      </w:r>
      <w:r w:rsidRPr="00540C6C">
        <w:rPr>
          <w:rFonts w:ascii="Arial" w:hAnsi="Arial" w:cs="Arial"/>
          <w:sz w:val="20"/>
          <w:szCs w:val="20"/>
        </w:rPr>
        <w:t>w rejonie węzła-skrzyżowania z drogą krajową nr 93 w postaci kładki nad drogą i linią kolejową,</w:t>
      </w:r>
    </w:p>
    <w:p w14:paraId="18F54557" w14:textId="77777777" w:rsidR="005F350A" w:rsidRPr="00540C6C" w:rsidRDefault="005F350A" w:rsidP="00BF76C0">
      <w:pPr>
        <w:numPr>
          <w:ilvl w:val="1"/>
          <w:numId w:val="6"/>
        </w:numPr>
        <w:spacing w:after="0" w:line="276" w:lineRule="auto"/>
        <w:ind w:left="709"/>
        <w:contextualSpacing/>
        <w:jc w:val="both"/>
        <w:rPr>
          <w:rFonts w:ascii="Arial" w:hAnsi="Arial" w:cs="Arial"/>
          <w:sz w:val="20"/>
          <w:szCs w:val="20"/>
        </w:rPr>
      </w:pPr>
      <w:r w:rsidRPr="00540C6C">
        <w:rPr>
          <w:rFonts w:ascii="Arial" w:hAnsi="Arial" w:cs="Arial"/>
          <w:sz w:val="20"/>
          <w:szCs w:val="20"/>
        </w:rPr>
        <w:t xml:space="preserve">przebudowa drogi powiatowej (ul. Barlickiego) pomiędzy skrzyżowaniami z ul. Wolińską </w:t>
      </w:r>
      <w:r w:rsidR="005114CA">
        <w:rPr>
          <w:rFonts w:ascii="Arial" w:hAnsi="Arial" w:cs="Arial"/>
          <w:sz w:val="20"/>
          <w:szCs w:val="20"/>
        </w:rPr>
        <w:br/>
      </w:r>
      <w:r w:rsidRPr="00540C6C">
        <w:rPr>
          <w:rFonts w:ascii="Arial" w:hAnsi="Arial" w:cs="Arial"/>
          <w:sz w:val="20"/>
          <w:szCs w:val="20"/>
        </w:rPr>
        <w:t>i Dworcową,</w:t>
      </w:r>
    </w:p>
    <w:p w14:paraId="1471EA68" w14:textId="77777777" w:rsidR="005F350A" w:rsidRPr="00540C6C" w:rsidRDefault="005F350A" w:rsidP="00BF76C0">
      <w:pPr>
        <w:numPr>
          <w:ilvl w:val="1"/>
          <w:numId w:val="6"/>
        </w:numPr>
        <w:spacing w:after="0" w:line="276" w:lineRule="auto"/>
        <w:ind w:left="709"/>
        <w:contextualSpacing/>
        <w:jc w:val="both"/>
        <w:rPr>
          <w:rFonts w:ascii="Arial" w:hAnsi="Arial" w:cs="Arial"/>
          <w:sz w:val="20"/>
          <w:szCs w:val="20"/>
        </w:rPr>
      </w:pPr>
      <w:r w:rsidRPr="00540C6C">
        <w:rPr>
          <w:rFonts w:ascii="Arial" w:hAnsi="Arial" w:cs="Arial"/>
          <w:sz w:val="20"/>
          <w:szCs w:val="20"/>
        </w:rPr>
        <w:t xml:space="preserve">budowa nowego odcinka drogi łączącej ulicę Barlickiego z drogą krajową nr 3 (włącznie </w:t>
      </w:r>
      <w:r w:rsidR="005114CA">
        <w:rPr>
          <w:rFonts w:ascii="Arial" w:hAnsi="Arial" w:cs="Arial"/>
          <w:sz w:val="20"/>
          <w:szCs w:val="20"/>
        </w:rPr>
        <w:br/>
      </w:r>
      <w:r w:rsidRPr="00540C6C">
        <w:rPr>
          <w:rFonts w:ascii="Arial" w:hAnsi="Arial" w:cs="Arial"/>
          <w:sz w:val="20"/>
          <w:szCs w:val="20"/>
        </w:rPr>
        <w:t>z estakadą nad linią kolejową).</w:t>
      </w:r>
    </w:p>
    <w:p w14:paraId="66F83708" w14:textId="70A7780C" w:rsidR="00063CCF" w:rsidRPr="00540C6C" w:rsidRDefault="00063CCF" w:rsidP="005F350A">
      <w:pPr>
        <w:spacing w:after="0"/>
        <w:jc w:val="both"/>
        <w:rPr>
          <w:rFonts w:ascii="Arial" w:hAnsi="Arial" w:cs="Arial"/>
          <w:sz w:val="20"/>
          <w:szCs w:val="20"/>
        </w:rPr>
      </w:pPr>
    </w:p>
    <w:p w14:paraId="5B6416BB" w14:textId="77777777" w:rsidR="005F350A" w:rsidRPr="00540C6C" w:rsidRDefault="005F350A" w:rsidP="005F350A">
      <w:pPr>
        <w:spacing w:after="0"/>
        <w:jc w:val="both"/>
        <w:rPr>
          <w:rFonts w:ascii="Arial" w:hAnsi="Arial" w:cs="Arial"/>
          <w:sz w:val="20"/>
          <w:szCs w:val="20"/>
        </w:rPr>
      </w:pPr>
      <w:r w:rsidRPr="00540C6C">
        <w:rPr>
          <w:rFonts w:ascii="Arial" w:hAnsi="Arial" w:cs="Arial"/>
          <w:sz w:val="20"/>
          <w:szCs w:val="20"/>
        </w:rPr>
        <w:t>Etap 2:</w:t>
      </w:r>
    </w:p>
    <w:p w14:paraId="29C8E232" w14:textId="77777777" w:rsidR="005F350A" w:rsidRPr="00540C6C" w:rsidRDefault="005F350A" w:rsidP="00BF76C0">
      <w:pPr>
        <w:numPr>
          <w:ilvl w:val="0"/>
          <w:numId w:val="7"/>
        </w:numPr>
        <w:spacing w:after="0" w:line="276" w:lineRule="auto"/>
        <w:ind w:left="709"/>
        <w:contextualSpacing/>
        <w:jc w:val="both"/>
        <w:rPr>
          <w:rFonts w:ascii="Arial" w:hAnsi="Arial" w:cs="Arial"/>
          <w:sz w:val="20"/>
          <w:szCs w:val="20"/>
        </w:rPr>
      </w:pPr>
      <w:r w:rsidRPr="00540C6C">
        <w:rPr>
          <w:rFonts w:ascii="Arial" w:hAnsi="Arial" w:cs="Arial"/>
          <w:sz w:val="20"/>
          <w:szCs w:val="20"/>
        </w:rPr>
        <w:t xml:space="preserve">przebudowa drogi powiatowej (ul. Ludzi Morza) pomiędzy skrzyżowaniami z ul. Barlickiego </w:t>
      </w:r>
      <w:r w:rsidRPr="00540C6C">
        <w:rPr>
          <w:rFonts w:ascii="Arial" w:hAnsi="Arial" w:cs="Arial"/>
          <w:sz w:val="20"/>
          <w:szCs w:val="20"/>
        </w:rPr>
        <w:br/>
        <w:t>i nowoprojektowaną drogą (tzw. obwodnicą Bazy Las),</w:t>
      </w:r>
    </w:p>
    <w:p w14:paraId="1A9A5EF9" w14:textId="77777777" w:rsidR="005F350A" w:rsidRPr="00540C6C" w:rsidRDefault="005F350A" w:rsidP="00BF76C0">
      <w:pPr>
        <w:numPr>
          <w:ilvl w:val="0"/>
          <w:numId w:val="7"/>
        </w:numPr>
        <w:spacing w:after="0" w:line="276" w:lineRule="auto"/>
        <w:ind w:left="709"/>
        <w:contextualSpacing/>
        <w:jc w:val="both"/>
        <w:rPr>
          <w:rFonts w:ascii="Arial" w:hAnsi="Arial" w:cs="Arial"/>
          <w:sz w:val="20"/>
          <w:szCs w:val="20"/>
        </w:rPr>
      </w:pPr>
      <w:r w:rsidRPr="00540C6C">
        <w:rPr>
          <w:rFonts w:ascii="Arial" w:hAnsi="Arial" w:cs="Arial"/>
          <w:sz w:val="20"/>
          <w:szCs w:val="20"/>
        </w:rPr>
        <w:t>przebudowa odcinka drogi gminnej (ul. Ku Morzu) pomiędzy wjazdem na falochron wschodni</w:t>
      </w:r>
      <w:r w:rsidR="005114CA">
        <w:rPr>
          <w:rFonts w:ascii="Arial" w:hAnsi="Arial" w:cs="Arial"/>
          <w:sz w:val="20"/>
          <w:szCs w:val="20"/>
        </w:rPr>
        <w:br/>
      </w:r>
      <w:r w:rsidRPr="00540C6C">
        <w:rPr>
          <w:rFonts w:ascii="Arial" w:hAnsi="Arial" w:cs="Arial"/>
          <w:sz w:val="20"/>
          <w:szCs w:val="20"/>
        </w:rPr>
        <w:t>i latarnią morską wraz z budową parkingu buforowego dla pojazdów oczekujących na wjazd do portu,</w:t>
      </w:r>
    </w:p>
    <w:p w14:paraId="2F3A42E3" w14:textId="77777777" w:rsidR="005F350A" w:rsidRPr="00540C6C" w:rsidRDefault="005F350A" w:rsidP="00BF76C0">
      <w:pPr>
        <w:numPr>
          <w:ilvl w:val="0"/>
          <w:numId w:val="7"/>
        </w:numPr>
        <w:spacing w:after="0" w:line="276" w:lineRule="auto"/>
        <w:ind w:left="709"/>
        <w:contextualSpacing/>
        <w:jc w:val="both"/>
        <w:rPr>
          <w:rFonts w:ascii="Arial" w:hAnsi="Arial" w:cs="Arial"/>
          <w:sz w:val="20"/>
          <w:szCs w:val="20"/>
        </w:rPr>
      </w:pPr>
      <w:r w:rsidRPr="00540C6C">
        <w:rPr>
          <w:rFonts w:ascii="Arial" w:hAnsi="Arial" w:cs="Arial"/>
          <w:sz w:val="20"/>
          <w:szCs w:val="20"/>
        </w:rPr>
        <w:t>budowa odcinka drogi (tzw. obwodnicy Bazy Las) pomiędzy drogą krajową nr 3 i ul. Ludzi Morza,</w:t>
      </w:r>
    </w:p>
    <w:p w14:paraId="6924BC6E" w14:textId="77777777" w:rsidR="005F350A" w:rsidRPr="00540C6C" w:rsidRDefault="005F350A" w:rsidP="00BF76C0">
      <w:pPr>
        <w:numPr>
          <w:ilvl w:val="0"/>
          <w:numId w:val="7"/>
        </w:numPr>
        <w:spacing w:after="0" w:line="276" w:lineRule="auto"/>
        <w:ind w:left="709"/>
        <w:contextualSpacing/>
        <w:jc w:val="both"/>
        <w:rPr>
          <w:rFonts w:ascii="Arial" w:hAnsi="Arial" w:cs="Arial"/>
          <w:sz w:val="20"/>
          <w:szCs w:val="20"/>
        </w:rPr>
      </w:pPr>
      <w:r w:rsidRPr="00540C6C">
        <w:rPr>
          <w:rFonts w:ascii="Arial" w:hAnsi="Arial" w:cs="Arial"/>
          <w:sz w:val="20"/>
          <w:szCs w:val="20"/>
        </w:rPr>
        <w:t>budowa odcinka drogi (przedłużenie ulicy Ludzi Morza zastępujące ulicę Mostową) pomiędzy skrzyżowaniem z tzw. obwodnicą Bazy Las i drogą krajową nr 93 (ul. Pomorską),</w:t>
      </w:r>
    </w:p>
    <w:p w14:paraId="415DAA1E" w14:textId="77777777" w:rsidR="00933374" w:rsidRPr="00063CCF" w:rsidRDefault="005F350A" w:rsidP="005F350A">
      <w:pPr>
        <w:numPr>
          <w:ilvl w:val="0"/>
          <w:numId w:val="7"/>
        </w:numPr>
        <w:spacing w:after="0" w:line="276" w:lineRule="auto"/>
        <w:ind w:left="709"/>
        <w:contextualSpacing/>
        <w:jc w:val="both"/>
        <w:rPr>
          <w:rFonts w:ascii="Arial" w:hAnsi="Arial" w:cs="Arial"/>
          <w:sz w:val="20"/>
          <w:szCs w:val="20"/>
        </w:rPr>
      </w:pPr>
      <w:r w:rsidRPr="00540C6C">
        <w:rPr>
          <w:rFonts w:ascii="Arial" w:hAnsi="Arial" w:cs="Arial"/>
          <w:sz w:val="20"/>
          <w:szCs w:val="20"/>
        </w:rPr>
        <w:t>remont odcinka drogi krajowej nr 3 (ul. Wolińskiej, ul. Skandynawskiej i ul. Duńskiej) pomiędzy skrzyżowaniem z ul. Barlickiego i wjazdem na Terminal Promow</w:t>
      </w:r>
      <w:r w:rsidR="00F70D7F">
        <w:rPr>
          <w:rFonts w:ascii="Arial" w:hAnsi="Arial" w:cs="Arial"/>
          <w:sz w:val="20"/>
          <w:szCs w:val="20"/>
        </w:rPr>
        <w:t xml:space="preserve">y wraz </w:t>
      </w:r>
      <w:r w:rsidRPr="00540C6C">
        <w:rPr>
          <w:rFonts w:ascii="Arial" w:hAnsi="Arial" w:cs="Arial"/>
          <w:sz w:val="20"/>
          <w:szCs w:val="20"/>
        </w:rPr>
        <w:t>z ewentualną rozbudową skrzyżowania ulic: Skandynawskiej, Fińskiej i Duńskiej.</w:t>
      </w:r>
    </w:p>
    <w:p w14:paraId="415418CA" w14:textId="77777777" w:rsidR="005C699D" w:rsidRPr="009B007B" w:rsidRDefault="005C699D" w:rsidP="005C699D">
      <w:pPr>
        <w:pStyle w:val="spis1"/>
        <w:rPr>
          <w:rFonts w:ascii="Arial" w:hAnsi="Arial" w:cs="Arial"/>
          <w:sz w:val="20"/>
          <w:szCs w:val="20"/>
        </w:rPr>
      </w:pPr>
      <w:r w:rsidRPr="009B007B">
        <w:rPr>
          <w:rFonts w:ascii="Arial" w:hAnsi="Arial" w:cs="Arial"/>
          <w:sz w:val="20"/>
          <w:szCs w:val="20"/>
        </w:rPr>
        <w:t>Port w Kołobrzegu</w:t>
      </w:r>
      <w:bookmarkEnd w:id="26"/>
    </w:p>
    <w:p w14:paraId="5247D9B2" w14:textId="77777777" w:rsidR="007B06AD" w:rsidRDefault="00811B02" w:rsidP="00811B02">
      <w:pPr>
        <w:tabs>
          <w:tab w:val="left" w:pos="851"/>
          <w:tab w:val="left" w:pos="5780"/>
          <w:tab w:val="left" w:pos="7230"/>
        </w:tabs>
        <w:suppressAutoHyphens/>
        <w:spacing w:line="276" w:lineRule="auto"/>
        <w:jc w:val="both"/>
        <w:rPr>
          <w:rFonts w:ascii="Arial" w:hAnsi="Arial" w:cs="Arial"/>
          <w:bCs/>
          <w:sz w:val="20"/>
          <w:szCs w:val="20"/>
          <w:lang w:eastAsia="ar-SA"/>
        </w:rPr>
      </w:pPr>
      <w:r w:rsidRPr="009B007B">
        <w:rPr>
          <w:rFonts w:ascii="Arial" w:hAnsi="Arial" w:cs="Arial"/>
          <w:bCs/>
          <w:sz w:val="20"/>
          <w:szCs w:val="20"/>
          <w:lang w:eastAsia="ar-SA"/>
        </w:rPr>
        <w:t xml:space="preserve">Rok 2018 był rekordowy pod względem masy ładunkowej przeładowanej w Porcie Kołobrzeg. </w:t>
      </w:r>
      <w:r w:rsidR="007B06AD" w:rsidRPr="009B007B">
        <w:rPr>
          <w:rFonts w:ascii="Arial" w:hAnsi="Arial" w:cs="Arial"/>
          <w:bCs/>
          <w:sz w:val="20"/>
          <w:szCs w:val="20"/>
          <w:lang w:eastAsia="ar-SA"/>
        </w:rPr>
        <w:br/>
      </w:r>
      <w:r w:rsidRPr="009B007B">
        <w:rPr>
          <w:rFonts w:ascii="Arial" w:hAnsi="Arial" w:cs="Arial"/>
          <w:bCs/>
          <w:sz w:val="20"/>
          <w:szCs w:val="20"/>
          <w:lang w:eastAsia="ar-SA"/>
        </w:rPr>
        <w:t xml:space="preserve">Już w roku 2017 zauważalna była tendencja wzrostowa w kwestii wolumenu ładunkowego obsługiwanego w porcie. Wpływ na taką sytuacje niewątpliwie miały duże inwestycje drogowe prowadzone w rejonie Kołobrzegu. Prognozy na rok 2018 były również optymistyczne, ale osiągnięty rekordowy wynik przeładunkowy na poziomie 328 000 ton przekroczył najśmielsze oczekiwania. </w:t>
      </w:r>
      <w:r w:rsidR="007B06AD" w:rsidRPr="009B007B">
        <w:rPr>
          <w:rFonts w:ascii="Arial" w:hAnsi="Arial" w:cs="Arial"/>
          <w:bCs/>
          <w:sz w:val="20"/>
          <w:szCs w:val="20"/>
          <w:lang w:eastAsia="ar-SA"/>
        </w:rPr>
        <w:br/>
      </w:r>
      <w:r w:rsidRPr="009B007B">
        <w:rPr>
          <w:rFonts w:ascii="Arial" w:hAnsi="Arial" w:cs="Arial"/>
          <w:bCs/>
          <w:sz w:val="20"/>
          <w:szCs w:val="20"/>
          <w:lang w:eastAsia="ar-SA"/>
        </w:rPr>
        <w:t xml:space="preserve">W porównaniu do 2017 roku wzrost wyniósł 36,67 %. Głównym towarem obsługiwanym w porcie </w:t>
      </w:r>
      <w:r w:rsidR="00C071C5" w:rsidRPr="009B007B">
        <w:rPr>
          <w:rFonts w:ascii="Arial" w:hAnsi="Arial" w:cs="Arial"/>
          <w:bCs/>
          <w:sz w:val="20"/>
          <w:szCs w:val="20"/>
          <w:lang w:eastAsia="ar-SA"/>
        </w:rPr>
        <w:br/>
      </w:r>
      <w:r w:rsidRPr="009B007B">
        <w:rPr>
          <w:rFonts w:ascii="Arial" w:hAnsi="Arial" w:cs="Arial"/>
          <w:bCs/>
          <w:sz w:val="20"/>
          <w:szCs w:val="20"/>
          <w:lang w:eastAsia="ar-SA"/>
        </w:rPr>
        <w:t xml:space="preserve">w 2018 roku było kruszywo (204 545,55 ton), kłody drewniane (64 361,44 ton), ryby (34 982,35 ton), pelet (21 324,96 ton). </w:t>
      </w:r>
    </w:p>
    <w:p w14:paraId="2977531D" w14:textId="77777777" w:rsidR="003E4EB7" w:rsidRPr="009B007B" w:rsidRDefault="003E4EB7" w:rsidP="00811B02">
      <w:pPr>
        <w:tabs>
          <w:tab w:val="left" w:pos="851"/>
          <w:tab w:val="left" w:pos="5780"/>
          <w:tab w:val="left" w:pos="7230"/>
        </w:tabs>
        <w:suppressAutoHyphens/>
        <w:spacing w:line="276" w:lineRule="auto"/>
        <w:jc w:val="both"/>
        <w:rPr>
          <w:rFonts w:ascii="Arial" w:hAnsi="Arial" w:cs="Arial"/>
          <w:bCs/>
          <w:sz w:val="20"/>
          <w:szCs w:val="20"/>
          <w:lang w:eastAsia="ar-SA"/>
        </w:rPr>
      </w:pPr>
    </w:p>
    <w:p w14:paraId="61BC4405" w14:textId="77777777" w:rsidR="007B06AD" w:rsidRPr="009B007B" w:rsidRDefault="007B06AD" w:rsidP="007B06AD">
      <w:pPr>
        <w:tabs>
          <w:tab w:val="left" w:pos="851"/>
          <w:tab w:val="left" w:pos="5780"/>
          <w:tab w:val="left" w:pos="7230"/>
        </w:tabs>
        <w:suppressAutoHyphens/>
        <w:spacing w:line="276" w:lineRule="auto"/>
        <w:jc w:val="center"/>
        <w:rPr>
          <w:rFonts w:ascii="Arial" w:hAnsi="Arial" w:cs="Arial"/>
          <w:bCs/>
          <w:sz w:val="20"/>
          <w:szCs w:val="20"/>
          <w:lang w:eastAsia="ar-SA"/>
        </w:rPr>
      </w:pPr>
      <w:r w:rsidRPr="009B007B">
        <w:rPr>
          <w:rFonts w:ascii="Arial" w:hAnsi="Arial" w:cs="Arial"/>
          <w:noProof/>
          <w:sz w:val="20"/>
          <w:szCs w:val="20"/>
          <w:lang w:eastAsia="pl-PL"/>
        </w:rPr>
        <w:drawing>
          <wp:inline distT="0" distB="0" distL="0" distR="0" wp14:anchorId="3B4EDC54" wp14:editId="5B674F51">
            <wp:extent cx="4638675" cy="280035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C7966A" w14:textId="284D79F2" w:rsidR="006A3AE1" w:rsidRPr="009B007B" w:rsidRDefault="007B06AD" w:rsidP="00811B02">
      <w:pPr>
        <w:tabs>
          <w:tab w:val="left" w:pos="851"/>
          <w:tab w:val="left" w:pos="5780"/>
          <w:tab w:val="left" w:pos="7230"/>
        </w:tabs>
        <w:suppressAutoHyphens/>
        <w:spacing w:line="276" w:lineRule="auto"/>
        <w:jc w:val="both"/>
        <w:rPr>
          <w:rFonts w:ascii="Arial" w:hAnsi="Arial" w:cs="Arial"/>
          <w:bCs/>
          <w:sz w:val="20"/>
          <w:szCs w:val="20"/>
          <w:lang w:eastAsia="ar-SA"/>
        </w:rPr>
      </w:pPr>
      <w:r w:rsidRPr="009B007B">
        <w:rPr>
          <w:rFonts w:ascii="Arial" w:hAnsi="Arial" w:cs="Arial"/>
          <w:bCs/>
          <w:sz w:val="20"/>
          <w:szCs w:val="20"/>
          <w:lang w:eastAsia="ar-SA"/>
        </w:rPr>
        <w:t>Liczba pasażerów korzystających z usług białej floty stacjonującej w Porcie Kołobrzeg od kilku lat utrzymuje się na zbliżonym poziomie wykazując nieznaczną</w:t>
      </w:r>
      <w:r w:rsidR="003218A5">
        <w:rPr>
          <w:rFonts w:ascii="Arial" w:hAnsi="Arial" w:cs="Arial"/>
          <w:bCs/>
          <w:sz w:val="20"/>
          <w:szCs w:val="20"/>
          <w:lang w:eastAsia="ar-SA"/>
        </w:rPr>
        <w:t xml:space="preserve"> tendencję zwyżkową. </w:t>
      </w:r>
      <w:r w:rsidR="009B01C1">
        <w:rPr>
          <w:rFonts w:ascii="Arial" w:hAnsi="Arial" w:cs="Arial"/>
          <w:bCs/>
          <w:sz w:val="20"/>
          <w:szCs w:val="20"/>
          <w:lang w:eastAsia="ar-SA"/>
        </w:rPr>
        <w:t>W 2018 r.</w:t>
      </w:r>
      <w:r w:rsidRPr="009B007B">
        <w:rPr>
          <w:rFonts w:ascii="Arial" w:hAnsi="Arial" w:cs="Arial"/>
          <w:bCs/>
          <w:sz w:val="20"/>
          <w:szCs w:val="20"/>
          <w:lang w:eastAsia="ar-SA"/>
        </w:rPr>
        <w:t xml:space="preserve"> kołobrzeskie jednostki pasażerskie przewiozły 306 764 osoby i stanow</w:t>
      </w:r>
      <w:r w:rsidR="003218A5">
        <w:rPr>
          <w:rFonts w:ascii="Arial" w:hAnsi="Arial" w:cs="Arial"/>
          <w:bCs/>
          <w:sz w:val="20"/>
          <w:szCs w:val="20"/>
          <w:lang w:eastAsia="ar-SA"/>
        </w:rPr>
        <w:t xml:space="preserve">i to wzrost </w:t>
      </w:r>
      <w:r w:rsidRPr="009B007B">
        <w:rPr>
          <w:rFonts w:ascii="Arial" w:hAnsi="Arial" w:cs="Arial"/>
          <w:bCs/>
          <w:sz w:val="20"/>
          <w:szCs w:val="20"/>
          <w:lang w:eastAsia="ar-SA"/>
        </w:rPr>
        <w:t>w porównaniu do roku 2017 o 2,29 %.</w:t>
      </w:r>
    </w:p>
    <w:p w14:paraId="16E2407E" w14:textId="77777777" w:rsidR="005C699D" w:rsidRPr="009B007B" w:rsidRDefault="00CF7835" w:rsidP="00CF7835">
      <w:pPr>
        <w:pStyle w:val="spis1"/>
        <w:rPr>
          <w:rFonts w:ascii="Arial" w:hAnsi="Arial" w:cs="Arial"/>
          <w:sz w:val="20"/>
          <w:szCs w:val="20"/>
        </w:rPr>
      </w:pPr>
      <w:bookmarkStart w:id="27" w:name="_Toc3385298"/>
      <w:r w:rsidRPr="009B007B">
        <w:rPr>
          <w:rFonts w:ascii="Arial" w:hAnsi="Arial" w:cs="Arial"/>
          <w:sz w:val="20"/>
          <w:szCs w:val="20"/>
        </w:rPr>
        <w:t>Port Darłowo</w:t>
      </w:r>
      <w:bookmarkEnd w:id="27"/>
    </w:p>
    <w:p w14:paraId="00D0EF67" w14:textId="77777777" w:rsidR="00F92660" w:rsidRPr="009B007B" w:rsidRDefault="00CF7835" w:rsidP="00F92660">
      <w:pPr>
        <w:jc w:val="both"/>
        <w:rPr>
          <w:rFonts w:ascii="Arial" w:hAnsi="Arial" w:cs="Arial"/>
          <w:sz w:val="20"/>
          <w:szCs w:val="20"/>
        </w:rPr>
      </w:pPr>
      <w:r w:rsidRPr="009B007B">
        <w:rPr>
          <w:rFonts w:ascii="Arial" w:hAnsi="Arial" w:cs="Arial"/>
          <w:sz w:val="20"/>
          <w:szCs w:val="20"/>
        </w:rPr>
        <w:t>Do Portu Morski</w:t>
      </w:r>
      <w:r w:rsidR="00F92660" w:rsidRPr="009B007B">
        <w:rPr>
          <w:rFonts w:ascii="Arial" w:hAnsi="Arial" w:cs="Arial"/>
          <w:sz w:val="20"/>
          <w:szCs w:val="20"/>
        </w:rPr>
        <w:t>ego Darłowo w 2018</w:t>
      </w:r>
      <w:r w:rsidR="00FE6401">
        <w:rPr>
          <w:rFonts w:ascii="Arial" w:hAnsi="Arial" w:cs="Arial"/>
          <w:sz w:val="20"/>
          <w:szCs w:val="20"/>
        </w:rPr>
        <w:t xml:space="preserve"> r.</w:t>
      </w:r>
      <w:r w:rsidR="00E66EE6" w:rsidRPr="009B007B">
        <w:rPr>
          <w:rFonts w:ascii="Arial" w:hAnsi="Arial" w:cs="Arial"/>
          <w:sz w:val="20"/>
          <w:szCs w:val="20"/>
        </w:rPr>
        <w:t xml:space="preserve"> wpłynęły</w:t>
      </w:r>
      <w:r w:rsidR="00F92660" w:rsidRPr="009B007B">
        <w:rPr>
          <w:rFonts w:ascii="Arial" w:hAnsi="Arial" w:cs="Arial"/>
          <w:sz w:val="20"/>
          <w:szCs w:val="20"/>
        </w:rPr>
        <w:t xml:space="preserve"> 110 statków handlowych</w:t>
      </w:r>
      <w:r w:rsidRPr="009B007B">
        <w:rPr>
          <w:rFonts w:ascii="Arial" w:hAnsi="Arial" w:cs="Arial"/>
          <w:sz w:val="20"/>
          <w:szCs w:val="20"/>
        </w:rPr>
        <w:t xml:space="preserve">, które </w:t>
      </w:r>
      <w:r w:rsidR="00F92660" w:rsidRPr="009B007B">
        <w:rPr>
          <w:rFonts w:ascii="Arial" w:hAnsi="Arial" w:cs="Arial"/>
          <w:sz w:val="20"/>
          <w:szCs w:val="20"/>
        </w:rPr>
        <w:t>łącznie przeładowały około 256 tysięcy</w:t>
      </w:r>
      <w:r w:rsidRPr="009B007B">
        <w:rPr>
          <w:rFonts w:ascii="Arial" w:hAnsi="Arial" w:cs="Arial"/>
          <w:sz w:val="20"/>
          <w:szCs w:val="20"/>
        </w:rPr>
        <w:t xml:space="preserve"> ton. Wielkość przeładunków z podziałem na grupy towarów w </w:t>
      </w:r>
      <w:r w:rsidR="00F92660" w:rsidRPr="009B007B">
        <w:rPr>
          <w:rFonts w:ascii="Arial" w:hAnsi="Arial" w:cs="Arial"/>
          <w:sz w:val="20"/>
          <w:szCs w:val="20"/>
        </w:rPr>
        <w:t>2018</w:t>
      </w:r>
      <w:r w:rsidR="00AB484C">
        <w:rPr>
          <w:rFonts w:ascii="Arial" w:hAnsi="Arial" w:cs="Arial"/>
          <w:sz w:val="20"/>
          <w:szCs w:val="20"/>
        </w:rPr>
        <w:t xml:space="preserve"> r.</w:t>
      </w:r>
      <w:r w:rsidRPr="009B007B">
        <w:rPr>
          <w:rFonts w:ascii="Arial" w:hAnsi="Arial" w:cs="Arial"/>
          <w:sz w:val="20"/>
          <w:szCs w:val="20"/>
        </w:rPr>
        <w:t xml:space="preserve"> przedstawiała się następująco:</w:t>
      </w:r>
    </w:p>
    <w:tbl>
      <w:tblPr>
        <w:tblStyle w:val="Tabela-Siatka"/>
        <w:tblW w:w="9209" w:type="dxa"/>
        <w:tblLook w:val="04A0" w:firstRow="1" w:lastRow="0" w:firstColumn="1" w:lastColumn="0" w:noHBand="0" w:noVBand="1"/>
      </w:tblPr>
      <w:tblGrid>
        <w:gridCol w:w="3256"/>
        <w:gridCol w:w="1132"/>
        <w:gridCol w:w="1561"/>
        <w:gridCol w:w="567"/>
        <w:gridCol w:w="850"/>
        <w:gridCol w:w="1843"/>
      </w:tblGrid>
      <w:tr w:rsidR="00950D81" w:rsidRPr="009B007B" w14:paraId="43A4C814" w14:textId="77777777" w:rsidTr="001267D7">
        <w:tc>
          <w:tcPr>
            <w:tcW w:w="9209" w:type="dxa"/>
            <w:gridSpan w:val="6"/>
          </w:tcPr>
          <w:p w14:paraId="6A7CFCC9" w14:textId="77777777" w:rsidR="00950D81" w:rsidRDefault="004160CF" w:rsidP="004160CF">
            <w:pPr>
              <w:jc w:val="center"/>
              <w:rPr>
                <w:rFonts w:ascii="Arial" w:hAnsi="Arial" w:cs="Arial"/>
                <w:b/>
                <w:sz w:val="20"/>
                <w:szCs w:val="20"/>
              </w:rPr>
            </w:pPr>
            <w:r>
              <w:rPr>
                <w:rFonts w:ascii="Arial" w:hAnsi="Arial" w:cs="Arial"/>
                <w:b/>
                <w:sz w:val="20"/>
                <w:szCs w:val="20"/>
              </w:rPr>
              <w:t>Zestawienie przeładunków</w:t>
            </w:r>
            <w:r w:rsidR="00950D81" w:rsidRPr="009B007B">
              <w:rPr>
                <w:rFonts w:ascii="Arial" w:hAnsi="Arial" w:cs="Arial"/>
                <w:b/>
                <w:sz w:val="20"/>
                <w:szCs w:val="20"/>
              </w:rPr>
              <w:t xml:space="preserve"> </w:t>
            </w:r>
            <w:r>
              <w:rPr>
                <w:rFonts w:ascii="Arial" w:hAnsi="Arial" w:cs="Arial"/>
                <w:b/>
                <w:sz w:val="20"/>
                <w:szCs w:val="20"/>
              </w:rPr>
              <w:t>w</w:t>
            </w:r>
            <w:r w:rsidR="00950D81" w:rsidRPr="009B007B">
              <w:rPr>
                <w:rFonts w:ascii="Arial" w:hAnsi="Arial" w:cs="Arial"/>
                <w:b/>
                <w:sz w:val="20"/>
                <w:szCs w:val="20"/>
              </w:rPr>
              <w:t xml:space="preserve"> 2018 </w:t>
            </w:r>
            <w:r>
              <w:rPr>
                <w:rFonts w:ascii="Arial" w:hAnsi="Arial" w:cs="Arial"/>
                <w:b/>
                <w:sz w:val="20"/>
                <w:szCs w:val="20"/>
              </w:rPr>
              <w:t>r.</w:t>
            </w:r>
            <w:r w:rsidR="00950D81" w:rsidRPr="009B007B">
              <w:rPr>
                <w:rFonts w:ascii="Arial" w:hAnsi="Arial" w:cs="Arial"/>
                <w:b/>
                <w:sz w:val="20"/>
                <w:szCs w:val="20"/>
              </w:rPr>
              <w:t xml:space="preserve"> </w:t>
            </w:r>
            <w:r>
              <w:rPr>
                <w:rFonts w:ascii="Arial" w:hAnsi="Arial" w:cs="Arial"/>
                <w:b/>
                <w:sz w:val="20"/>
                <w:szCs w:val="20"/>
              </w:rPr>
              <w:t>w</w:t>
            </w:r>
            <w:r w:rsidR="00950D81" w:rsidRPr="009B007B">
              <w:rPr>
                <w:rFonts w:ascii="Arial" w:hAnsi="Arial" w:cs="Arial"/>
                <w:b/>
                <w:sz w:val="20"/>
                <w:szCs w:val="20"/>
              </w:rPr>
              <w:t xml:space="preserve"> P</w:t>
            </w:r>
            <w:r>
              <w:rPr>
                <w:rFonts w:ascii="Arial" w:hAnsi="Arial" w:cs="Arial"/>
                <w:b/>
                <w:sz w:val="20"/>
                <w:szCs w:val="20"/>
              </w:rPr>
              <w:t>orcie</w:t>
            </w:r>
            <w:r w:rsidR="00950D81" w:rsidRPr="009B007B">
              <w:rPr>
                <w:rFonts w:ascii="Arial" w:hAnsi="Arial" w:cs="Arial"/>
                <w:b/>
                <w:sz w:val="20"/>
                <w:szCs w:val="20"/>
              </w:rPr>
              <w:t xml:space="preserve"> M</w:t>
            </w:r>
            <w:r>
              <w:rPr>
                <w:rFonts w:ascii="Arial" w:hAnsi="Arial" w:cs="Arial"/>
                <w:b/>
                <w:sz w:val="20"/>
                <w:szCs w:val="20"/>
              </w:rPr>
              <w:t>orskim</w:t>
            </w:r>
            <w:r w:rsidR="00950D81" w:rsidRPr="009B007B">
              <w:rPr>
                <w:rFonts w:ascii="Arial" w:hAnsi="Arial" w:cs="Arial"/>
                <w:b/>
                <w:sz w:val="20"/>
                <w:szCs w:val="20"/>
              </w:rPr>
              <w:t xml:space="preserve"> D</w:t>
            </w:r>
            <w:r>
              <w:rPr>
                <w:rFonts w:ascii="Arial" w:hAnsi="Arial" w:cs="Arial"/>
                <w:b/>
                <w:sz w:val="20"/>
                <w:szCs w:val="20"/>
              </w:rPr>
              <w:t>arłowo</w:t>
            </w:r>
          </w:p>
          <w:p w14:paraId="57FA97F7" w14:textId="77777777" w:rsidR="004160CF" w:rsidRPr="009B007B" w:rsidRDefault="004160CF" w:rsidP="004160CF">
            <w:pPr>
              <w:jc w:val="center"/>
              <w:rPr>
                <w:rFonts w:ascii="Arial" w:hAnsi="Arial" w:cs="Arial"/>
                <w:b/>
                <w:sz w:val="20"/>
                <w:szCs w:val="20"/>
              </w:rPr>
            </w:pPr>
          </w:p>
        </w:tc>
      </w:tr>
      <w:tr w:rsidR="00950D81" w:rsidRPr="009B007B" w14:paraId="075FE147" w14:textId="77777777" w:rsidTr="001267D7">
        <w:tc>
          <w:tcPr>
            <w:tcW w:w="3256" w:type="dxa"/>
          </w:tcPr>
          <w:p w14:paraId="239C8FF1" w14:textId="77777777" w:rsidR="00950D81" w:rsidRPr="009B007B" w:rsidRDefault="00950D81" w:rsidP="001267D7">
            <w:pPr>
              <w:jc w:val="center"/>
              <w:rPr>
                <w:rFonts w:ascii="Arial" w:hAnsi="Arial" w:cs="Arial"/>
                <w:sz w:val="20"/>
                <w:szCs w:val="20"/>
              </w:rPr>
            </w:pPr>
            <w:r w:rsidRPr="009B007B">
              <w:rPr>
                <w:rFonts w:ascii="Arial" w:hAnsi="Arial" w:cs="Arial"/>
                <w:sz w:val="20"/>
                <w:szCs w:val="20"/>
              </w:rPr>
              <w:t>Ilość statków: 110</w:t>
            </w:r>
          </w:p>
        </w:tc>
        <w:tc>
          <w:tcPr>
            <w:tcW w:w="3260" w:type="dxa"/>
            <w:gridSpan w:val="3"/>
          </w:tcPr>
          <w:p w14:paraId="484AE0E0" w14:textId="77777777" w:rsidR="00950D81" w:rsidRPr="009B007B" w:rsidRDefault="00950D81" w:rsidP="001267D7">
            <w:pPr>
              <w:jc w:val="center"/>
              <w:rPr>
                <w:rFonts w:ascii="Arial" w:hAnsi="Arial" w:cs="Arial"/>
                <w:sz w:val="20"/>
                <w:szCs w:val="20"/>
              </w:rPr>
            </w:pPr>
            <w:r w:rsidRPr="009B007B">
              <w:rPr>
                <w:rFonts w:ascii="Arial" w:hAnsi="Arial" w:cs="Arial"/>
                <w:sz w:val="20"/>
                <w:szCs w:val="20"/>
              </w:rPr>
              <w:t>Tonaż netto (NT): 100 940</w:t>
            </w:r>
          </w:p>
        </w:tc>
        <w:tc>
          <w:tcPr>
            <w:tcW w:w="2693" w:type="dxa"/>
            <w:gridSpan w:val="2"/>
          </w:tcPr>
          <w:p w14:paraId="7BA1C06C" w14:textId="77777777" w:rsidR="00950D81" w:rsidRPr="009B007B" w:rsidRDefault="00950D81" w:rsidP="001267D7">
            <w:pPr>
              <w:jc w:val="center"/>
              <w:rPr>
                <w:rFonts w:ascii="Arial" w:hAnsi="Arial" w:cs="Arial"/>
                <w:sz w:val="20"/>
                <w:szCs w:val="20"/>
              </w:rPr>
            </w:pPr>
            <w:r w:rsidRPr="009B007B">
              <w:rPr>
                <w:rFonts w:ascii="Arial" w:hAnsi="Arial" w:cs="Arial"/>
                <w:sz w:val="20"/>
                <w:szCs w:val="20"/>
              </w:rPr>
              <w:t>Tonaż brutto (GT): 186 943</w:t>
            </w:r>
          </w:p>
        </w:tc>
      </w:tr>
      <w:tr w:rsidR="00950D81" w:rsidRPr="009B007B" w14:paraId="5E86CE37" w14:textId="77777777" w:rsidTr="001267D7">
        <w:tc>
          <w:tcPr>
            <w:tcW w:w="9209" w:type="dxa"/>
            <w:gridSpan w:val="6"/>
          </w:tcPr>
          <w:p w14:paraId="045225F5" w14:textId="77777777" w:rsidR="00950D81" w:rsidRPr="009B007B" w:rsidRDefault="00950D81" w:rsidP="001267D7">
            <w:pPr>
              <w:jc w:val="center"/>
              <w:rPr>
                <w:rFonts w:ascii="Arial" w:hAnsi="Arial" w:cs="Arial"/>
                <w:sz w:val="20"/>
                <w:szCs w:val="20"/>
              </w:rPr>
            </w:pPr>
            <w:r w:rsidRPr="009B007B">
              <w:rPr>
                <w:rFonts w:ascii="Arial" w:hAnsi="Arial" w:cs="Arial"/>
                <w:sz w:val="20"/>
                <w:szCs w:val="20"/>
              </w:rPr>
              <w:t>GRUPY TOWAROWE</w:t>
            </w:r>
          </w:p>
        </w:tc>
      </w:tr>
      <w:tr w:rsidR="00950D81" w:rsidRPr="009B007B" w14:paraId="43493796" w14:textId="77777777" w:rsidTr="001267D7">
        <w:tc>
          <w:tcPr>
            <w:tcW w:w="4388" w:type="dxa"/>
            <w:gridSpan w:val="2"/>
          </w:tcPr>
          <w:p w14:paraId="74A2063E" w14:textId="77777777" w:rsidR="00950D81" w:rsidRPr="009B007B" w:rsidRDefault="00950D81" w:rsidP="00950D81">
            <w:pPr>
              <w:rPr>
                <w:rFonts w:ascii="Arial" w:hAnsi="Arial" w:cs="Arial"/>
                <w:b/>
                <w:sz w:val="20"/>
                <w:szCs w:val="20"/>
              </w:rPr>
            </w:pPr>
            <w:r w:rsidRPr="009B007B">
              <w:rPr>
                <w:rFonts w:ascii="Arial" w:hAnsi="Arial" w:cs="Arial"/>
                <w:b/>
                <w:sz w:val="20"/>
                <w:szCs w:val="20"/>
              </w:rPr>
              <w:t xml:space="preserve">NAZWA </w:t>
            </w:r>
          </w:p>
        </w:tc>
        <w:tc>
          <w:tcPr>
            <w:tcW w:w="1561" w:type="dxa"/>
          </w:tcPr>
          <w:p w14:paraId="06D678CE" w14:textId="77777777" w:rsidR="00950D81" w:rsidRPr="009B007B" w:rsidRDefault="00950D81" w:rsidP="00950D81">
            <w:pPr>
              <w:rPr>
                <w:rFonts w:ascii="Arial" w:hAnsi="Arial" w:cs="Arial"/>
                <w:b/>
                <w:sz w:val="20"/>
                <w:szCs w:val="20"/>
              </w:rPr>
            </w:pPr>
            <w:r w:rsidRPr="009B007B">
              <w:rPr>
                <w:rFonts w:ascii="Arial" w:hAnsi="Arial" w:cs="Arial"/>
                <w:b/>
                <w:sz w:val="20"/>
                <w:szCs w:val="20"/>
              </w:rPr>
              <w:t xml:space="preserve">PRZYWÓZ [ton] </w:t>
            </w:r>
          </w:p>
        </w:tc>
        <w:tc>
          <w:tcPr>
            <w:tcW w:w="1417" w:type="dxa"/>
            <w:gridSpan w:val="2"/>
          </w:tcPr>
          <w:p w14:paraId="6CE5291C" w14:textId="77777777" w:rsidR="00950D81" w:rsidRPr="009B007B" w:rsidRDefault="00950D81" w:rsidP="00950D81">
            <w:pPr>
              <w:rPr>
                <w:rFonts w:ascii="Arial" w:hAnsi="Arial" w:cs="Arial"/>
                <w:b/>
                <w:sz w:val="20"/>
                <w:szCs w:val="20"/>
              </w:rPr>
            </w:pPr>
            <w:r w:rsidRPr="009B007B">
              <w:rPr>
                <w:rFonts w:ascii="Arial" w:hAnsi="Arial" w:cs="Arial"/>
                <w:b/>
                <w:sz w:val="20"/>
                <w:szCs w:val="20"/>
              </w:rPr>
              <w:t xml:space="preserve">WYWÓZ [ton] </w:t>
            </w:r>
          </w:p>
        </w:tc>
        <w:tc>
          <w:tcPr>
            <w:tcW w:w="1843" w:type="dxa"/>
          </w:tcPr>
          <w:p w14:paraId="2E6712CE" w14:textId="77777777" w:rsidR="00950D81" w:rsidRPr="009B007B" w:rsidRDefault="00950D81" w:rsidP="001267D7">
            <w:pPr>
              <w:ind w:right="175"/>
              <w:jc w:val="right"/>
              <w:rPr>
                <w:rFonts w:ascii="Arial" w:hAnsi="Arial" w:cs="Arial"/>
                <w:b/>
                <w:sz w:val="20"/>
                <w:szCs w:val="20"/>
              </w:rPr>
            </w:pPr>
            <w:r w:rsidRPr="009B007B">
              <w:rPr>
                <w:rFonts w:ascii="Arial" w:hAnsi="Arial" w:cs="Arial"/>
                <w:b/>
                <w:sz w:val="20"/>
                <w:szCs w:val="20"/>
              </w:rPr>
              <w:t xml:space="preserve">ŁĄCZNIE [ton] </w:t>
            </w:r>
          </w:p>
        </w:tc>
      </w:tr>
      <w:tr w:rsidR="00950D81" w:rsidRPr="009B007B" w14:paraId="46E376E7" w14:textId="77777777" w:rsidTr="001267D7">
        <w:tc>
          <w:tcPr>
            <w:tcW w:w="4388" w:type="dxa"/>
            <w:gridSpan w:val="2"/>
          </w:tcPr>
          <w:p w14:paraId="6AE64BA8" w14:textId="77777777" w:rsidR="00950D81" w:rsidRPr="009B007B" w:rsidRDefault="00950D81" w:rsidP="00950D81">
            <w:pPr>
              <w:jc w:val="both"/>
              <w:rPr>
                <w:rFonts w:ascii="Arial" w:hAnsi="Arial" w:cs="Arial"/>
                <w:sz w:val="20"/>
                <w:szCs w:val="20"/>
              </w:rPr>
            </w:pPr>
            <w:r w:rsidRPr="009B007B">
              <w:rPr>
                <w:rFonts w:ascii="Arial" w:hAnsi="Arial" w:cs="Arial"/>
                <w:sz w:val="20"/>
                <w:szCs w:val="20"/>
              </w:rPr>
              <w:t>Zboża</w:t>
            </w:r>
          </w:p>
        </w:tc>
        <w:tc>
          <w:tcPr>
            <w:tcW w:w="1561" w:type="dxa"/>
          </w:tcPr>
          <w:p w14:paraId="1FF167E4"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417" w:type="dxa"/>
            <w:gridSpan w:val="2"/>
          </w:tcPr>
          <w:p w14:paraId="0B2B530C"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1186</w:t>
            </w:r>
          </w:p>
        </w:tc>
        <w:tc>
          <w:tcPr>
            <w:tcW w:w="1843" w:type="dxa"/>
          </w:tcPr>
          <w:p w14:paraId="181DB633"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1186</w:t>
            </w:r>
          </w:p>
        </w:tc>
      </w:tr>
      <w:tr w:rsidR="00950D81" w:rsidRPr="009B007B" w14:paraId="631212CE" w14:textId="77777777" w:rsidTr="001267D7">
        <w:tc>
          <w:tcPr>
            <w:tcW w:w="4388" w:type="dxa"/>
            <w:gridSpan w:val="2"/>
          </w:tcPr>
          <w:p w14:paraId="1F55547C" w14:textId="77777777" w:rsidR="00950D81" w:rsidRPr="009B007B" w:rsidRDefault="00950D81" w:rsidP="00950D81">
            <w:pPr>
              <w:jc w:val="both"/>
              <w:rPr>
                <w:rFonts w:ascii="Arial" w:hAnsi="Arial" w:cs="Arial"/>
                <w:sz w:val="20"/>
                <w:szCs w:val="20"/>
              </w:rPr>
            </w:pPr>
            <w:r w:rsidRPr="009B007B">
              <w:rPr>
                <w:rFonts w:ascii="Arial" w:hAnsi="Arial" w:cs="Arial"/>
                <w:sz w:val="20"/>
                <w:szCs w:val="20"/>
              </w:rPr>
              <w:t>Produkty leśnictwa i pozyskiwania drewna</w:t>
            </w:r>
          </w:p>
        </w:tc>
        <w:tc>
          <w:tcPr>
            <w:tcW w:w="1561" w:type="dxa"/>
          </w:tcPr>
          <w:p w14:paraId="2796E759"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417" w:type="dxa"/>
            <w:gridSpan w:val="2"/>
          </w:tcPr>
          <w:p w14:paraId="6336140D"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100095</w:t>
            </w:r>
          </w:p>
        </w:tc>
        <w:tc>
          <w:tcPr>
            <w:tcW w:w="1843" w:type="dxa"/>
          </w:tcPr>
          <w:p w14:paraId="2CAC24F2"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100095</w:t>
            </w:r>
          </w:p>
        </w:tc>
      </w:tr>
      <w:tr w:rsidR="00950D81" w:rsidRPr="009B007B" w14:paraId="76F1D051" w14:textId="77777777" w:rsidTr="001267D7">
        <w:tc>
          <w:tcPr>
            <w:tcW w:w="4388" w:type="dxa"/>
            <w:gridSpan w:val="2"/>
          </w:tcPr>
          <w:p w14:paraId="47686032" w14:textId="77777777" w:rsidR="00950D81" w:rsidRPr="009B007B" w:rsidRDefault="00950D81" w:rsidP="00950D81">
            <w:pPr>
              <w:jc w:val="both"/>
              <w:rPr>
                <w:rFonts w:ascii="Arial" w:hAnsi="Arial" w:cs="Arial"/>
                <w:sz w:val="20"/>
                <w:szCs w:val="20"/>
              </w:rPr>
            </w:pPr>
            <w:r w:rsidRPr="009B007B">
              <w:rPr>
                <w:rFonts w:ascii="Arial" w:hAnsi="Arial" w:cs="Arial"/>
                <w:sz w:val="20"/>
                <w:szCs w:val="20"/>
              </w:rPr>
              <w:t>Inne substancje pochodzenia roślinnego</w:t>
            </w:r>
          </w:p>
        </w:tc>
        <w:tc>
          <w:tcPr>
            <w:tcW w:w="1561" w:type="dxa"/>
          </w:tcPr>
          <w:p w14:paraId="0A3F4592"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417" w:type="dxa"/>
            <w:gridSpan w:val="2"/>
          </w:tcPr>
          <w:p w14:paraId="385C98A1"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1450</w:t>
            </w:r>
          </w:p>
        </w:tc>
        <w:tc>
          <w:tcPr>
            <w:tcW w:w="1843" w:type="dxa"/>
          </w:tcPr>
          <w:p w14:paraId="535820DE"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1450</w:t>
            </w:r>
          </w:p>
        </w:tc>
      </w:tr>
      <w:tr w:rsidR="00950D81" w:rsidRPr="009B007B" w14:paraId="08154E8A" w14:textId="77777777" w:rsidTr="001267D7">
        <w:tc>
          <w:tcPr>
            <w:tcW w:w="4388" w:type="dxa"/>
            <w:gridSpan w:val="2"/>
          </w:tcPr>
          <w:p w14:paraId="35D1B44E" w14:textId="77777777" w:rsidR="00950D81" w:rsidRPr="009B007B" w:rsidRDefault="00950D81" w:rsidP="00950D81">
            <w:pPr>
              <w:jc w:val="both"/>
              <w:rPr>
                <w:rFonts w:ascii="Arial" w:hAnsi="Arial" w:cs="Arial"/>
                <w:sz w:val="20"/>
                <w:szCs w:val="20"/>
              </w:rPr>
            </w:pPr>
            <w:r w:rsidRPr="009B007B">
              <w:rPr>
                <w:rFonts w:ascii="Arial" w:hAnsi="Arial" w:cs="Arial"/>
                <w:sz w:val="20"/>
                <w:szCs w:val="20"/>
              </w:rPr>
              <w:t>Ryby i pozostałe produkty rybołówstwa i rybactwa</w:t>
            </w:r>
          </w:p>
        </w:tc>
        <w:tc>
          <w:tcPr>
            <w:tcW w:w="1561" w:type="dxa"/>
          </w:tcPr>
          <w:p w14:paraId="48FED7FF"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417" w:type="dxa"/>
            <w:gridSpan w:val="2"/>
          </w:tcPr>
          <w:p w14:paraId="73B12C4C"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3258</w:t>
            </w:r>
          </w:p>
        </w:tc>
        <w:tc>
          <w:tcPr>
            <w:tcW w:w="1843" w:type="dxa"/>
          </w:tcPr>
          <w:p w14:paraId="6EFD5791"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3258</w:t>
            </w:r>
          </w:p>
        </w:tc>
      </w:tr>
      <w:tr w:rsidR="00950D81" w:rsidRPr="009B007B" w14:paraId="5396ECD8" w14:textId="77777777" w:rsidTr="001267D7">
        <w:tc>
          <w:tcPr>
            <w:tcW w:w="4388" w:type="dxa"/>
            <w:gridSpan w:val="2"/>
          </w:tcPr>
          <w:p w14:paraId="3472B729" w14:textId="77777777" w:rsidR="00950D81" w:rsidRPr="009B007B" w:rsidRDefault="00950D81" w:rsidP="005C699D">
            <w:pPr>
              <w:jc w:val="both"/>
              <w:rPr>
                <w:rFonts w:ascii="Arial" w:hAnsi="Arial" w:cs="Arial"/>
                <w:sz w:val="20"/>
                <w:szCs w:val="20"/>
              </w:rPr>
            </w:pPr>
            <w:r w:rsidRPr="009B007B">
              <w:rPr>
                <w:rFonts w:ascii="Arial" w:hAnsi="Arial" w:cs="Arial"/>
                <w:sz w:val="20"/>
                <w:szCs w:val="20"/>
              </w:rPr>
              <w:t>Kamień, piasek, żwir, glina, torf oraz inne produkty górnictwa i kopalnictwa</w:t>
            </w:r>
          </w:p>
        </w:tc>
        <w:tc>
          <w:tcPr>
            <w:tcW w:w="1561" w:type="dxa"/>
          </w:tcPr>
          <w:p w14:paraId="2FE96E1F"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65255</w:t>
            </w:r>
          </w:p>
        </w:tc>
        <w:tc>
          <w:tcPr>
            <w:tcW w:w="1417" w:type="dxa"/>
            <w:gridSpan w:val="2"/>
          </w:tcPr>
          <w:p w14:paraId="29326704"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843" w:type="dxa"/>
          </w:tcPr>
          <w:p w14:paraId="0DA6D06F"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65255</w:t>
            </w:r>
          </w:p>
        </w:tc>
      </w:tr>
      <w:tr w:rsidR="00950D81" w:rsidRPr="009B007B" w14:paraId="64B3D0FE" w14:textId="77777777" w:rsidTr="001267D7">
        <w:tc>
          <w:tcPr>
            <w:tcW w:w="4388" w:type="dxa"/>
            <w:gridSpan w:val="2"/>
          </w:tcPr>
          <w:p w14:paraId="6008EEFC" w14:textId="77777777" w:rsidR="00950D81" w:rsidRPr="009B007B" w:rsidRDefault="00950D81" w:rsidP="005C699D">
            <w:pPr>
              <w:jc w:val="both"/>
              <w:rPr>
                <w:rFonts w:ascii="Arial" w:hAnsi="Arial" w:cs="Arial"/>
                <w:sz w:val="20"/>
                <w:szCs w:val="20"/>
              </w:rPr>
            </w:pPr>
            <w:r w:rsidRPr="009B007B">
              <w:rPr>
                <w:rFonts w:ascii="Arial" w:hAnsi="Arial" w:cs="Arial"/>
                <w:sz w:val="20"/>
                <w:szCs w:val="20"/>
              </w:rPr>
              <w:t>Produkty przemiany zbóż, skrobie i produkty skrobiowe oraz pasza dla zwierząt</w:t>
            </w:r>
          </w:p>
        </w:tc>
        <w:tc>
          <w:tcPr>
            <w:tcW w:w="1561" w:type="dxa"/>
          </w:tcPr>
          <w:p w14:paraId="51C5358D"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417" w:type="dxa"/>
            <w:gridSpan w:val="2"/>
          </w:tcPr>
          <w:p w14:paraId="15A453AB"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33865</w:t>
            </w:r>
          </w:p>
        </w:tc>
        <w:tc>
          <w:tcPr>
            <w:tcW w:w="1843" w:type="dxa"/>
          </w:tcPr>
          <w:p w14:paraId="5C2A7ABF"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33865</w:t>
            </w:r>
          </w:p>
        </w:tc>
      </w:tr>
      <w:tr w:rsidR="00950D81" w:rsidRPr="009B007B" w14:paraId="433BD17F" w14:textId="77777777" w:rsidTr="001267D7">
        <w:tc>
          <w:tcPr>
            <w:tcW w:w="4388" w:type="dxa"/>
            <w:gridSpan w:val="2"/>
          </w:tcPr>
          <w:p w14:paraId="616597C8" w14:textId="77777777" w:rsidR="00950D81" w:rsidRPr="009B007B" w:rsidRDefault="00950D81" w:rsidP="005C699D">
            <w:pPr>
              <w:jc w:val="both"/>
              <w:rPr>
                <w:rFonts w:ascii="Arial" w:hAnsi="Arial" w:cs="Arial"/>
                <w:sz w:val="20"/>
                <w:szCs w:val="20"/>
              </w:rPr>
            </w:pPr>
            <w:r w:rsidRPr="009B007B">
              <w:rPr>
                <w:rFonts w:ascii="Arial" w:hAnsi="Arial" w:cs="Arial"/>
                <w:sz w:val="20"/>
                <w:szCs w:val="20"/>
              </w:rPr>
              <w:t>Wyroby z drewna oraz z korka (z wyłączeniem mebli)</w:t>
            </w:r>
          </w:p>
        </w:tc>
        <w:tc>
          <w:tcPr>
            <w:tcW w:w="1561" w:type="dxa"/>
          </w:tcPr>
          <w:p w14:paraId="117CC8FF"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417" w:type="dxa"/>
            <w:gridSpan w:val="2"/>
          </w:tcPr>
          <w:p w14:paraId="7B37A358"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29274</w:t>
            </w:r>
          </w:p>
        </w:tc>
        <w:tc>
          <w:tcPr>
            <w:tcW w:w="1843" w:type="dxa"/>
          </w:tcPr>
          <w:p w14:paraId="20825677"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29274</w:t>
            </w:r>
          </w:p>
        </w:tc>
      </w:tr>
      <w:tr w:rsidR="00950D81" w:rsidRPr="009B007B" w14:paraId="3F2B792C" w14:textId="77777777" w:rsidTr="001267D7">
        <w:tc>
          <w:tcPr>
            <w:tcW w:w="4388" w:type="dxa"/>
            <w:gridSpan w:val="2"/>
          </w:tcPr>
          <w:p w14:paraId="68E0CCCD" w14:textId="77777777" w:rsidR="00950D81" w:rsidRPr="009B007B" w:rsidRDefault="00950D81" w:rsidP="005C699D">
            <w:pPr>
              <w:jc w:val="both"/>
              <w:rPr>
                <w:rFonts w:ascii="Arial" w:hAnsi="Arial" w:cs="Arial"/>
                <w:sz w:val="20"/>
                <w:szCs w:val="20"/>
              </w:rPr>
            </w:pPr>
            <w:r w:rsidRPr="009B007B">
              <w:rPr>
                <w:rFonts w:ascii="Arial" w:hAnsi="Arial" w:cs="Arial"/>
                <w:sz w:val="20"/>
                <w:szCs w:val="20"/>
              </w:rPr>
              <w:t>Nawozy i związki azotowe (z wyłączeniem nawozów naturalnych)</w:t>
            </w:r>
          </w:p>
        </w:tc>
        <w:tc>
          <w:tcPr>
            <w:tcW w:w="1561" w:type="dxa"/>
          </w:tcPr>
          <w:p w14:paraId="131DC23F"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5753</w:t>
            </w:r>
          </w:p>
        </w:tc>
        <w:tc>
          <w:tcPr>
            <w:tcW w:w="1417" w:type="dxa"/>
            <w:gridSpan w:val="2"/>
          </w:tcPr>
          <w:p w14:paraId="77B1A255"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843" w:type="dxa"/>
          </w:tcPr>
          <w:p w14:paraId="74AD809A"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5753</w:t>
            </w:r>
          </w:p>
        </w:tc>
      </w:tr>
      <w:tr w:rsidR="00950D81" w:rsidRPr="009B007B" w14:paraId="6B993D87" w14:textId="77777777" w:rsidTr="001267D7">
        <w:tc>
          <w:tcPr>
            <w:tcW w:w="4388" w:type="dxa"/>
            <w:gridSpan w:val="2"/>
          </w:tcPr>
          <w:p w14:paraId="01D4761D" w14:textId="77777777" w:rsidR="00950D81" w:rsidRPr="009B007B" w:rsidRDefault="00950D81" w:rsidP="005C699D">
            <w:pPr>
              <w:jc w:val="both"/>
              <w:rPr>
                <w:rFonts w:ascii="Arial" w:hAnsi="Arial" w:cs="Arial"/>
                <w:sz w:val="20"/>
                <w:szCs w:val="20"/>
              </w:rPr>
            </w:pPr>
            <w:r w:rsidRPr="009B007B">
              <w:rPr>
                <w:rFonts w:ascii="Arial" w:hAnsi="Arial" w:cs="Arial"/>
                <w:sz w:val="20"/>
                <w:szCs w:val="20"/>
              </w:rPr>
              <w:t>Cement, wapno i gips</w:t>
            </w:r>
          </w:p>
        </w:tc>
        <w:tc>
          <w:tcPr>
            <w:tcW w:w="1561" w:type="dxa"/>
          </w:tcPr>
          <w:p w14:paraId="4EC3E3F1"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11515</w:t>
            </w:r>
          </w:p>
        </w:tc>
        <w:tc>
          <w:tcPr>
            <w:tcW w:w="1417" w:type="dxa"/>
            <w:gridSpan w:val="2"/>
          </w:tcPr>
          <w:p w14:paraId="4C0C713D"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843" w:type="dxa"/>
          </w:tcPr>
          <w:p w14:paraId="14611617"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11515</w:t>
            </w:r>
          </w:p>
        </w:tc>
      </w:tr>
      <w:tr w:rsidR="00950D81" w:rsidRPr="009B007B" w14:paraId="52CEEC33" w14:textId="77777777" w:rsidTr="001267D7">
        <w:tc>
          <w:tcPr>
            <w:tcW w:w="4388" w:type="dxa"/>
            <w:gridSpan w:val="2"/>
          </w:tcPr>
          <w:p w14:paraId="70DA67B0" w14:textId="77777777" w:rsidR="00950D81" w:rsidRPr="009B007B" w:rsidRDefault="00950D81" w:rsidP="005C699D">
            <w:pPr>
              <w:jc w:val="both"/>
              <w:rPr>
                <w:rFonts w:ascii="Arial" w:hAnsi="Arial" w:cs="Arial"/>
                <w:sz w:val="20"/>
                <w:szCs w:val="20"/>
              </w:rPr>
            </w:pPr>
            <w:r w:rsidRPr="009B007B">
              <w:rPr>
                <w:rFonts w:ascii="Arial" w:hAnsi="Arial" w:cs="Arial"/>
                <w:sz w:val="20"/>
                <w:szCs w:val="20"/>
              </w:rPr>
              <w:t>Inne odpady i surowce wtórne</w:t>
            </w:r>
          </w:p>
        </w:tc>
        <w:tc>
          <w:tcPr>
            <w:tcW w:w="1561" w:type="dxa"/>
          </w:tcPr>
          <w:p w14:paraId="05C8D0B0"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13155</w:t>
            </w:r>
          </w:p>
        </w:tc>
        <w:tc>
          <w:tcPr>
            <w:tcW w:w="1417" w:type="dxa"/>
            <w:gridSpan w:val="2"/>
          </w:tcPr>
          <w:p w14:paraId="03FAAC42" w14:textId="77777777" w:rsidR="00950D81" w:rsidRPr="009B007B" w:rsidRDefault="00950D81" w:rsidP="001267D7">
            <w:pPr>
              <w:ind w:right="317"/>
              <w:jc w:val="right"/>
              <w:rPr>
                <w:rFonts w:ascii="Arial" w:hAnsi="Arial" w:cs="Arial"/>
                <w:sz w:val="20"/>
                <w:szCs w:val="20"/>
              </w:rPr>
            </w:pPr>
            <w:r w:rsidRPr="009B007B">
              <w:rPr>
                <w:rFonts w:ascii="Arial" w:hAnsi="Arial" w:cs="Arial"/>
                <w:sz w:val="20"/>
                <w:szCs w:val="20"/>
              </w:rPr>
              <w:t>0</w:t>
            </w:r>
          </w:p>
        </w:tc>
        <w:tc>
          <w:tcPr>
            <w:tcW w:w="1843" w:type="dxa"/>
          </w:tcPr>
          <w:p w14:paraId="42AF1BEB" w14:textId="77777777" w:rsidR="00950D81" w:rsidRPr="009B007B" w:rsidRDefault="00950D81" w:rsidP="001267D7">
            <w:pPr>
              <w:ind w:right="459"/>
              <w:jc w:val="right"/>
              <w:rPr>
                <w:rFonts w:ascii="Arial" w:hAnsi="Arial" w:cs="Arial"/>
                <w:sz w:val="20"/>
                <w:szCs w:val="20"/>
              </w:rPr>
            </w:pPr>
            <w:r w:rsidRPr="009B007B">
              <w:rPr>
                <w:rFonts w:ascii="Arial" w:hAnsi="Arial" w:cs="Arial"/>
                <w:sz w:val="20"/>
                <w:szCs w:val="20"/>
              </w:rPr>
              <w:t>13155</w:t>
            </w:r>
          </w:p>
        </w:tc>
      </w:tr>
      <w:tr w:rsidR="00950D81" w:rsidRPr="009B007B" w14:paraId="4E27001A" w14:textId="77777777" w:rsidTr="001267D7">
        <w:tc>
          <w:tcPr>
            <w:tcW w:w="4388" w:type="dxa"/>
            <w:gridSpan w:val="2"/>
          </w:tcPr>
          <w:p w14:paraId="67483498" w14:textId="77777777" w:rsidR="00950D81" w:rsidRPr="009B007B" w:rsidRDefault="00950D81" w:rsidP="005C699D">
            <w:pPr>
              <w:jc w:val="both"/>
              <w:rPr>
                <w:rFonts w:ascii="Arial" w:hAnsi="Arial" w:cs="Arial"/>
                <w:b/>
                <w:sz w:val="20"/>
                <w:szCs w:val="20"/>
              </w:rPr>
            </w:pPr>
            <w:r w:rsidRPr="009B007B">
              <w:rPr>
                <w:rFonts w:ascii="Arial" w:hAnsi="Arial" w:cs="Arial"/>
                <w:b/>
                <w:sz w:val="20"/>
                <w:szCs w:val="20"/>
              </w:rPr>
              <w:t>ŁĄCZNIE:</w:t>
            </w:r>
          </w:p>
        </w:tc>
        <w:tc>
          <w:tcPr>
            <w:tcW w:w="1561" w:type="dxa"/>
          </w:tcPr>
          <w:p w14:paraId="5816A3C7" w14:textId="77777777" w:rsidR="00950D81" w:rsidRPr="009B007B" w:rsidRDefault="00950D81" w:rsidP="001267D7">
            <w:pPr>
              <w:ind w:right="317"/>
              <w:jc w:val="right"/>
              <w:rPr>
                <w:rFonts w:ascii="Arial" w:hAnsi="Arial" w:cs="Arial"/>
                <w:b/>
                <w:sz w:val="20"/>
                <w:szCs w:val="20"/>
              </w:rPr>
            </w:pPr>
            <w:r w:rsidRPr="009B007B">
              <w:rPr>
                <w:rFonts w:ascii="Arial" w:hAnsi="Arial" w:cs="Arial"/>
                <w:b/>
                <w:sz w:val="20"/>
                <w:szCs w:val="20"/>
              </w:rPr>
              <w:t>95678</w:t>
            </w:r>
          </w:p>
        </w:tc>
        <w:tc>
          <w:tcPr>
            <w:tcW w:w="1417" w:type="dxa"/>
            <w:gridSpan w:val="2"/>
          </w:tcPr>
          <w:p w14:paraId="7795ED18" w14:textId="77777777" w:rsidR="00950D81" w:rsidRPr="009B007B" w:rsidRDefault="00950D81" w:rsidP="001267D7">
            <w:pPr>
              <w:ind w:right="317"/>
              <w:jc w:val="right"/>
              <w:rPr>
                <w:rFonts w:ascii="Arial" w:hAnsi="Arial" w:cs="Arial"/>
                <w:b/>
                <w:sz w:val="20"/>
                <w:szCs w:val="20"/>
              </w:rPr>
            </w:pPr>
            <w:r w:rsidRPr="009B007B">
              <w:rPr>
                <w:rFonts w:ascii="Arial" w:hAnsi="Arial" w:cs="Arial"/>
                <w:b/>
                <w:sz w:val="20"/>
                <w:szCs w:val="20"/>
              </w:rPr>
              <w:t>160128</w:t>
            </w:r>
          </w:p>
        </w:tc>
        <w:tc>
          <w:tcPr>
            <w:tcW w:w="1843" w:type="dxa"/>
          </w:tcPr>
          <w:p w14:paraId="4DB5AFD3" w14:textId="77777777" w:rsidR="00950D81" w:rsidRPr="009B007B" w:rsidRDefault="00950D81" w:rsidP="001267D7">
            <w:pPr>
              <w:ind w:right="459"/>
              <w:jc w:val="right"/>
              <w:rPr>
                <w:rFonts w:ascii="Arial" w:hAnsi="Arial" w:cs="Arial"/>
                <w:b/>
                <w:sz w:val="20"/>
                <w:szCs w:val="20"/>
              </w:rPr>
            </w:pPr>
            <w:r w:rsidRPr="009B007B">
              <w:rPr>
                <w:rFonts w:ascii="Arial" w:hAnsi="Arial" w:cs="Arial"/>
                <w:b/>
                <w:sz w:val="20"/>
                <w:szCs w:val="20"/>
              </w:rPr>
              <w:t>255806</w:t>
            </w:r>
          </w:p>
        </w:tc>
      </w:tr>
    </w:tbl>
    <w:p w14:paraId="493BC61A" w14:textId="77777777" w:rsidR="00F92660" w:rsidRPr="000753E9" w:rsidRDefault="00165BAF" w:rsidP="005C699D">
      <w:pPr>
        <w:jc w:val="both"/>
        <w:rPr>
          <w:rFonts w:ascii="Arial" w:hAnsi="Arial" w:cs="Arial"/>
          <w:sz w:val="20"/>
          <w:szCs w:val="20"/>
        </w:rPr>
      </w:pPr>
      <w:r w:rsidRPr="000753E9">
        <w:rPr>
          <w:rFonts w:ascii="Arial" w:hAnsi="Arial" w:cs="Arial"/>
          <w:sz w:val="20"/>
          <w:szCs w:val="20"/>
        </w:rPr>
        <w:t>Tab. 1 Dane Zarządu Portu Morskiego Darłowo Sp. z o.o.)</w:t>
      </w:r>
    </w:p>
    <w:p w14:paraId="152BB96D" w14:textId="77777777" w:rsidR="00CF7835" w:rsidRPr="009B007B" w:rsidRDefault="00CF7835" w:rsidP="00CF7835">
      <w:pPr>
        <w:pStyle w:val="spis1"/>
        <w:rPr>
          <w:rFonts w:ascii="Arial" w:hAnsi="Arial" w:cs="Arial"/>
          <w:sz w:val="20"/>
          <w:szCs w:val="20"/>
        </w:rPr>
      </w:pPr>
      <w:bookmarkStart w:id="28" w:name="_Toc3385300"/>
      <w:r w:rsidRPr="009B007B">
        <w:rPr>
          <w:rFonts w:ascii="Arial" w:hAnsi="Arial" w:cs="Arial"/>
          <w:sz w:val="20"/>
          <w:szCs w:val="20"/>
        </w:rPr>
        <w:t>Port Elbląg</w:t>
      </w:r>
      <w:bookmarkEnd w:id="28"/>
    </w:p>
    <w:p w14:paraId="4975463E" w14:textId="77777777" w:rsidR="00CF7835" w:rsidRPr="009B007B" w:rsidRDefault="00CF7835" w:rsidP="001265FD">
      <w:pPr>
        <w:spacing w:line="276" w:lineRule="auto"/>
        <w:jc w:val="both"/>
        <w:rPr>
          <w:rFonts w:ascii="Arial" w:hAnsi="Arial" w:cs="Arial"/>
          <w:sz w:val="20"/>
          <w:szCs w:val="20"/>
        </w:rPr>
      </w:pPr>
      <w:r w:rsidRPr="009B007B">
        <w:rPr>
          <w:rFonts w:ascii="Arial" w:hAnsi="Arial" w:cs="Arial"/>
          <w:sz w:val="20"/>
          <w:szCs w:val="20"/>
        </w:rPr>
        <w:t xml:space="preserve">W okresie sprawozdawczym Zarząd Morskiego Portu Elbląg Sp. z o.o. </w:t>
      </w:r>
      <w:r w:rsidR="00996B67" w:rsidRPr="009B007B">
        <w:rPr>
          <w:rFonts w:ascii="Arial" w:hAnsi="Arial" w:cs="Arial"/>
          <w:sz w:val="20"/>
          <w:szCs w:val="20"/>
        </w:rPr>
        <w:t>utworzył w elbląskim porcie graniczny punkt</w:t>
      </w:r>
      <w:r w:rsidR="00C9669C" w:rsidRPr="009B007B">
        <w:rPr>
          <w:rFonts w:ascii="Arial" w:hAnsi="Arial" w:cs="Arial"/>
          <w:sz w:val="20"/>
          <w:szCs w:val="20"/>
        </w:rPr>
        <w:t xml:space="preserve"> odpraw fitosanitarnych, dzięki czemu  poszerzył się asortyment przeładunków </w:t>
      </w:r>
      <w:r w:rsidR="00C9669C" w:rsidRPr="009B007B">
        <w:rPr>
          <w:rFonts w:ascii="Arial" w:hAnsi="Arial" w:cs="Arial"/>
          <w:sz w:val="20"/>
          <w:szCs w:val="20"/>
        </w:rPr>
        <w:br/>
        <w:t>pod kątem towarów przemysłu drzewnego i agro-produktów.</w:t>
      </w:r>
    </w:p>
    <w:p w14:paraId="3314827B" w14:textId="77777777" w:rsidR="005C699D" w:rsidRPr="009B007B" w:rsidRDefault="00996B67" w:rsidP="001265FD">
      <w:pPr>
        <w:spacing w:line="276" w:lineRule="auto"/>
        <w:jc w:val="both"/>
        <w:rPr>
          <w:rFonts w:ascii="Arial" w:hAnsi="Arial" w:cs="Arial"/>
          <w:sz w:val="20"/>
          <w:szCs w:val="20"/>
        </w:rPr>
      </w:pPr>
      <w:r w:rsidRPr="009B007B">
        <w:rPr>
          <w:rFonts w:ascii="Arial" w:hAnsi="Arial" w:cs="Arial"/>
          <w:sz w:val="20"/>
          <w:szCs w:val="20"/>
        </w:rPr>
        <w:t>W 2018</w:t>
      </w:r>
      <w:r w:rsidR="00CF7835" w:rsidRPr="009B007B">
        <w:rPr>
          <w:rFonts w:ascii="Arial" w:hAnsi="Arial" w:cs="Arial"/>
          <w:sz w:val="20"/>
          <w:szCs w:val="20"/>
        </w:rPr>
        <w:t xml:space="preserve"> r. Zarząd Portu </w:t>
      </w:r>
      <w:r w:rsidRPr="009B007B">
        <w:rPr>
          <w:rFonts w:ascii="Arial" w:hAnsi="Arial" w:cs="Arial"/>
          <w:sz w:val="20"/>
          <w:szCs w:val="20"/>
        </w:rPr>
        <w:t>kontynuował realizację</w:t>
      </w:r>
      <w:r w:rsidR="00060DF5">
        <w:rPr>
          <w:rFonts w:ascii="Arial" w:hAnsi="Arial" w:cs="Arial"/>
          <w:sz w:val="20"/>
          <w:szCs w:val="20"/>
        </w:rPr>
        <w:t xml:space="preserve"> projektu pn. </w:t>
      </w:r>
      <w:r w:rsidR="005B6CC6" w:rsidRPr="009B007B">
        <w:rPr>
          <w:rFonts w:ascii="Arial" w:hAnsi="Arial" w:cs="Arial"/>
          <w:sz w:val="20"/>
          <w:szCs w:val="20"/>
        </w:rPr>
        <w:t>„</w:t>
      </w:r>
      <w:r w:rsidR="00CF7835" w:rsidRPr="009B007B">
        <w:rPr>
          <w:rFonts w:ascii="Arial" w:hAnsi="Arial" w:cs="Arial"/>
          <w:sz w:val="20"/>
          <w:szCs w:val="20"/>
        </w:rPr>
        <w:t>South Baltic Transportation Loop</w:t>
      </w:r>
      <w:r w:rsidR="005B6CC6" w:rsidRPr="009B007B">
        <w:rPr>
          <w:rFonts w:ascii="Arial" w:hAnsi="Arial" w:cs="Arial"/>
          <w:sz w:val="20"/>
          <w:szCs w:val="20"/>
        </w:rPr>
        <w:t>”</w:t>
      </w:r>
      <w:r w:rsidR="00CF7835" w:rsidRPr="009B007B">
        <w:rPr>
          <w:rFonts w:ascii="Arial" w:hAnsi="Arial" w:cs="Arial"/>
          <w:sz w:val="20"/>
          <w:szCs w:val="20"/>
        </w:rPr>
        <w:t xml:space="preserve">, </w:t>
      </w:r>
      <w:r w:rsidRPr="009B007B">
        <w:rPr>
          <w:rFonts w:ascii="Arial" w:hAnsi="Arial" w:cs="Arial"/>
          <w:sz w:val="20"/>
          <w:szCs w:val="20"/>
        </w:rPr>
        <w:br/>
      </w:r>
      <w:r w:rsidR="00CF7835" w:rsidRPr="009B007B">
        <w:rPr>
          <w:rFonts w:ascii="Arial" w:hAnsi="Arial" w:cs="Arial"/>
          <w:sz w:val="20"/>
          <w:szCs w:val="20"/>
        </w:rPr>
        <w:t>który ma na celu poprawę jakości proekolog</w:t>
      </w:r>
      <w:r w:rsidR="005B6CC6" w:rsidRPr="009B007B">
        <w:rPr>
          <w:rFonts w:ascii="Arial" w:hAnsi="Arial" w:cs="Arial"/>
          <w:sz w:val="20"/>
          <w:szCs w:val="20"/>
        </w:rPr>
        <w:t>icznych usług transportowych w r</w:t>
      </w:r>
      <w:r w:rsidR="00CF7835" w:rsidRPr="009B007B">
        <w:rPr>
          <w:rFonts w:ascii="Arial" w:hAnsi="Arial" w:cs="Arial"/>
          <w:sz w:val="20"/>
          <w:szCs w:val="20"/>
        </w:rPr>
        <w:t>egionie Morza Bałtyckiego. Przedsięwzięcie zakłada opracowanie nowych regularnych połączeń żeglugowych lub wzmocnienie istniejących połączeń do i z portów partnerskich w celu rozwoju małych i średnich portów. Liderem projektu jest Port Mulcran (Niemcy). Partnerami projektu s</w:t>
      </w:r>
      <w:r w:rsidR="005B6CC6" w:rsidRPr="009B007B">
        <w:rPr>
          <w:rFonts w:ascii="Arial" w:hAnsi="Arial" w:cs="Arial"/>
          <w:sz w:val="20"/>
          <w:szCs w:val="20"/>
        </w:rPr>
        <w:t xml:space="preserve">ą porty z Litwy, Szwecji, Dani i </w:t>
      </w:r>
      <w:r w:rsidR="004732F5" w:rsidRPr="009B007B">
        <w:rPr>
          <w:rFonts w:ascii="Arial" w:hAnsi="Arial" w:cs="Arial"/>
          <w:sz w:val="20"/>
          <w:szCs w:val="20"/>
        </w:rPr>
        <w:t>Rosji (Kaliningrad</w:t>
      </w:r>
      <w:r w:rsidR="00CF7835" w:rsidRPr="009B007B">
        <w:rPr>
          <w:rFonts w:ascii="Arial" w:hAnsi="Arial" w:cs="Arial"/>
          <w:sz w:val="20"/>
          <w:szCs w:val="20"/>
        </w:rPr>
        <w:t>).</w:t>
      </w:r>
    </w:p>
    <w:p w14:paraId="34DE66E0" w14:textId="77777777" w:rsidR="002F5968" w:rsidRPr="009B007B" w:rsidRDefault="00C9669C" w:rsidP="001265FD">
      <w:pPr>
        <w:spacing w:line="276" w:lineRule="auto"/>
        <w:jc w:val="both"/>
        <w:rPr>
          <w:rFonts w:ascii="Arial" w:hAnsi="Arial" w:cs="Arial"/>
          <w:sz w:val="20"/>
          <w:szCs w:val="20"/>
        </w:rPr>
      </w:pPr>
      <w:r w:rsidRPr="009B007B">
        <w:rPr>
          <w:rFonts w:ascii="Arial" w:hAnsi="Arial" w:cs="Arial"/>
          <w:sz w:val="20"/>
          <w:szCs w:val="20"/>
        </w:rPr>
        <w:t>Zarząd Morskiego Portu Elbląg Sp. z o.</w:t>
      </w:r>
      <w:r w:rsidR="00481807">
        <w:rPr>
          <w:rFonts w:ascii="Arial" w:hAnsi="Arial" w:cs="Arial"/>
          <w:sz w:val="20"/>
          <w:szCs w:val="20"/>
        </w:rPr>
        <w:t xml:space="preserve"> </w:t>
      </w:r>
      <w:r w:rsidRPr="009B007B">
        <w:rPr>
          <w:rFonts w:ascii="Arial" w:hAnsi="Arial" w:cs="Arial"/>
          <w:sz w:val="20"/>
          <w:szCs w:val="20"/>
        </w:rPr>
        <w:t xml:space="preserve">o w 2018 r. również </w:t>
      </w:r>
      <w:r w:rsidR="002F5968" w:rsidRPr="009B007B">
        <w:rPr>
          <w:rFonts w:ascii="Arial" w:hAnsi="Arial" w:cs="Arial"/>
          <w:sz w:val="20"/>
          <w:szCs w:val="20"/>
        </w:rPr>
        <w:t xml:space="preserve">pozyskał </w:t>
      </w:r>
      <w:r w:rsidRPr="009B007B">
        <w:rPr>
          <w:rFonts w:ascii="Arial" w:hAnsi="Arial" w:cs="Arial"/>
          <w:sz w:val="20"/>
          <w:szCs w:val="20"/>
        </w:rPr>
        <w:t>od Gminy Miasta</w:t>
      </w:r>
      <w:r w:rsidR="002F5968" w:rsidRPr="009B007B">
        <w:rPr>
          <w:rFonts w:ascii="Arial" w:hAnsi="Arial" w:cs="Arial"/>
          <w:sz w:val="20"/>
          <w:szCs w:val="20"/>
        </w:rPr>
        <w:t xml:space="preserve"> Elbląg część nabrzeża w centrum Starego Miasta o długości 100 metrów, które zostało zaadoptowane do cumowania jednostek turystycznych i jachtów,</w:t>
      </w:r>
    </w:p>
    <w:p w14:paraId="531D7012" w14:textId="77777777" w:rsidR="00C9669C" w:rsidRPr="009B007B" w:rsidRDefault="002F5968" w:rsidP="001265FD">
      <w:pPr>
        <w:spacing w:line="276" w:lineRule="auto"/>
        <w:jc w:val="both"/>
        <w:rPr>
          <w:rFonts w:ascii="Arial" w:hAnsi="Arial" w:cs="Arial"/>
          <w:sz w:val="20"/>
          <w:szCs w:val="20"/>
        </w:rPr>
      </w:pPr>
      <w:r w:rsidRPr="009B007B">
        <w:rPr>
          <w:rFonts w:ascii="Arial" w:hAnsi="Arial" w:cs="Arial"/>
          <w:sz w:val="20"/>
          <w:szCs w:val="20"/>
        </w:rPr>
        <w:t>W zakresie zapewnienia wysokich standardów szkolnictwa</w:t>
      </w:r>
      <w:r w:rsidR="00C9669C" w:rsidRPr="009B007B">
        <w:rPr>
          <w:rFonts w:ascii="Arial" w:hAnsi="Arial" w:cs="Arial"/>
          <w:sz w:val="20"/>
          <w:szCs w:val="20"/>
        </w:rPr>
        <w:t xml:space="preserve">, w Porcie Elbląg realizowane były </w:t>
      </w:r>
      <w:r w:rsidRPr="009B007B">
        <w:rPr>
          <w:rFonts w:ascii="Arial" w:hAnsi="Arial" w:cs="Arial"/>
          <w:sz w:val="20"/>
          <w:szCs w:val="20"/>
        </w:rPr>
        <w:t>praktyk</w:t>
      </w:r>
      <w:r w:rsidR="00C9669C" w:rsidRPr="009B007B">
        <w:rPr>
          <w:rFonts w:ascii="Arial" w:hAnsi="Arial" w:cs="Arial"/>
          <w:sz w:val="20"/>
          <w:szCs w:val="20"/>
        </w:rPr>
        <w:t>i</w:t>
      </w:r>
      <w:r w:rsidRPr="009B007B">
        <w:rPr>
          <w:rFonts w:ascii="Arial" w:hAnsi="Arial" w:cs="Arial"/>
          <w:sz w:val="20"/>
          <w:szCs w:val="20"/>
        </w:rPr>
        <w:t xml:space="preserve"> dla uczniów Zespołu Szkół Gospodarczych na kier</w:t>
      </w:r>
      <w:r w:rsidR="00C9669C" w:rsidRPr="009B007B">
        <w:rPr>
          <w:rFonts w:ascii="Arial" w:hAnsi="Arial" w:cs="Arial"/>
          <w:sz w:val="20"/>
          <w:szCs w:val="20"/>
        </w:rPr>
        <w:t>u</w:t>
      </w:r>
      <w:r w:rsidR="00F70D7F">
        <w:rPr>
          <w:rFonts w:ascii="Arial" w:hAnsi="Arial" w:cs="Arial"/>
          <w:sz w:val="20"/>
          <w:szCs w:val="20"/>
        </w:rPr>
        <w:t xml:space="preserve">nku obsługa portów i terminali. </w:t>
      </w:r>
      <w:r w:rsidR="00C9669C" w:rsidRPr="009B007B">
        <w:rPr>
          <w:rFonts w:ascii="Arial" w:hAnsi="Arial" w:cs="Arial"/>
          <w:sz w:val="20"/>
          <w:szCs w:val="20"/>
        </w:rPr>
        <w:t>Organizowano również</w:t>
      </w:r>
      <w:r w:rsidRPr="009B007B">
        <w:rPr>
          <w:rFonts w:ascii="Arial" w:hAnsi="Arial" w:cs="Arial"/>
          <w:sz w:val="20"/>
          <w:szCs w:val="20"/>
        </w:rPr>
        <w:t xml:space="preserve"> praktyk</w:t>
      </w:r>
      <w:r w:rsidR="00C9669C" w:rsidRPr="009B007B">
        <w:rPr>
          <w:rFonts w:ascii="Arial" w:hAnsi="Arial" w:cs="Arial"/>
          <w:sz w:val="20"/>
          <w:szCs w:val="20"/>
        </w:rPr>
        <w:t>i</w:t>
      </w:r>
      <w:r w:rsidRPr="009B007B">
        <w:rPr>
          <w:rFonts w:ascii="Arial" w:hAnsi="Arial" w:cs="Arial"/>
          <w:sz w:val="20"/>
          <w:szCs w:val="20"/>
        </w:rPr>
        <w:t xml:space="preserve"> dla studentów z Białorusi – Uniwersytet</w:t>
      </w:r>
      <w:r w:rsidR="00C9669C" w:rsidRPr="009B007B">
        <w:rPr>
          <w:rFonts w:ascii="Arial" w:hAnsi="Arial" w:cs="Arial"/>
          <w:sz w:val="20"/>
          <w:szCs w:val="20"/>
        </w:rPr>
        <w:t>u z Mińska, z kierunków</w:t>
      </w:r>
      <w:r w:rsidRPr="009B007B">
        <w:rPr>
          <w:rFonts w:ascii="Arial" w:hAnsi="Arial" w:cs="Arial"/>
          <w:sz w:val="20"/>
          <w:szCs w:val="20"/>
        </w:rPr>
        <w:t xml:space="preserve"> </w:t>
      </w:r>
      <w:r w:rsidR="00C9669C" w:rsidRPr="009B007B">
        <w:rPr>
          <w:rFonts w:ascii="Arial" w:hAnsi="Arial" w:cs="Arial"/>
          <w:sz w:val="20"/>
          <w:szCs w:val="20"/>
        </w:rPr>
        <w:t xml:space="preserve">logistycznych. </w:t>
      </w:r>
    </w:p>
    <w:p w14:paraId="2B61546F" w14:textId="77777777" w:rsidR="002F5968" w:rsidRPr="009B007B" w:rsidRDefault="002F5968" w:rsidP="00996B67">
      <w:pPr>
        <w:spacing w:after="0" w:line="276" w:lineRule="auto"/>
        <w:jc w:val="both"/>
        <w:rPr>
          <w:rFonts w:ascii="Arial" w:hAnsi="Arial" w:cs="Arial"/>
          <w:sz w:val="20"/>
          <w:szCs w:val="20"/>
        </w:rPr>
      </w:pPr>
      <w:r w:rsidRPr="009B007B">
        <w:rPr>
          <w:rFonts w:ascii="Arial" w:hAnsi="Arial" w:cs="Arial"/>
          <w:sz w:val="20"/>
          <w:szCs w:val="20"/>
        </w:rPr>
        <w:t>W</w:t>
      </w:r>
      <w:r w:rsidR="00C9669C" w:rsidRPr="009B007B">
        <w:rPr>
          <w:rFonts w:ascii="Arial" w:hAnsi="Arial" w:cs="Arial"/>
          <w:sz w:val="20"/>
          <w:szCs w:val="20"/>
        </w:rPr>
        <w:t xml:space="preserve"> okresie sprawozdawczym w</w:t>
      </w:r>
      <w:r w:rsidRPr="009B007B">
        <w:rPr>
          <w:rFonts w:ascii="Arial" w:hAnsi="Arial" w:cs="Arial"/>
          <w:sz w:val="20"/>
          <w:szCs w:val="20"/>
        </w:rPr>
        <w:t xml:space="preserve"> zakresie turystyki morskiej i przybrzeżnej</w:t>
      </w:r>
      <w:r w:rsidR="00B54CDE" w:rsidRPr="009B007B">
        <w:rPr>
          <w:rFonts w:ascii="Arial" w:hAnsi="Arial" w:cs="Arial"/>
          <w:sz w:val="20"/>
          <w:szCs w:val="20"/>
        </w:rPr>
        <w:t xml:space="preserve"> Zarząd Morskiego Portu Elbląg Sp. z o.o. realizował następujące zadania</w:t>
      </w:r>
      <w:r w:rsidRPr="009B007B">
        <w:rPr>
          <w:rFonts w:ascii="Arial" w:hAnsi="Arial" w:cs="Arial"/>
          <w:sz w:val="20"/>
          <w:szCs w:val="20"/>
        </w:rPr>
        <w:t>:</w:t>
      </w:r>
    </w:p>
    <w:p w14:paraId="4FF0DD65" w14:textId="77777777" w:rsidR="002F5968" w:rsidRPr="009B007B" w:rsidRDefault="002F5968" w:rsidP="00996B67">
      <w:pPr>
        <w:spacing w:after="0" w:line="276" w:lineRule="auto"/>
        <w:jc w:val="both"/>
        <w:rPr>
          <w:rFonts w:ascii="Arial" w:hAnsi="Arial" w:cs="Arial"/>
          <w:sz w:val="20"/>
          <w:szCs w:val="20"/>
        </w:rPr>
      </w:pPr>
      <w:r w:rsidRPr="009B007B">
        <w:rPr>
          <w:rFonts w:ascii="Arial" w:hAnsi="Arial" w:cs="Arial"/>
          <w:sz w:val="20"/>
          <w:szCs w:val="20"/>
        </w:rPr>
        <w:t>- zapewnienie obsługi slipowania, miejsc zimowania jednostek pasażerskich i jachtów na terminalu przeładunkowym,</w:t>
      </w:r>
    </w:p>
    <w:p w14:paraId="666A58EF" w14:textId="77777777" w:rsidR="002F5968" w:rsidRPr="009B007B" w:rsidRDefault="002F5968" w:rsidP="00996B67">
      <w:pPr>
        <w:spacing w:after="0" w:line="276" w:lineRule="auto"/>
        <w:jc w:val="both"/>
        <w:rPr>
          <w:rFonts w:ascii="Arial" w:hAnsi="Arial" w:cs="Arial"/>
          <w:sz w:val="20"/>
          <w:szCs w:val="20"/>
        </w:rPr>
      </w:pPr>
      <w:r w:rsidRPr="009B007B">
        <w:rPr>
          <w:rFonts w:ascii="Arial" w:hAnsi="Arial" w:cs="Arial"/>
          <w:sz w:val="20"/>
          <w:szCs w:val="20"/>
        </w:rPr>
        <w:t>- udostępnienie nabrzeży pasażerskich do cumowania, miejsca postoju i obsługi jednostek pasażerskich, barek, lodołamaczy,</w:t>
      </w:r>
    </w:p>
    <w:p w14:paraId="18E2C296" w14:textId="77777777" w:rsidR="00B54CDE" w:rsidRPr="009B007B" w:rsidRDefault="002F5968" w:rsidP="00B54CDE">
      <w:pPr>
        <w:spacing w:line="276" w:lineRule="auto"/>
        <w:jc w:val="both"/>
        <w:rPr>
          <w:rFonts w:ascii="Arial" w:hAnsi="Arial" w:cs="Arial"/>
          <w:sz w:val="20"/>
          <w:szCs w:val="20"/>
        </w:rPr>
      </w:pPr>
      <w:r w:rsidRPr="009B007B">
        <w:rPr>
          <w:rFonts w:ascii="Arial" w:hAnsi="Arial" w:cs="Arial"/>
          <w:sz w:val="20"/>
          <w:szCs w:val="20"/>
        </w:rPr>
        <w:t xml:space="preserve">- bezpłatne udostępnianie nabrzeży Bulwaru Zygmunta Augusta w centrum miasta dla żeglarzy </w:t>
      </w:r>
      <w:r w:rsidR="00B54CDE" w:rsidRPr="009B007B">
        <w:rPr>
          <w:rFonts w:ascii="Arial" w:hAnsi="Arial" w:cs="Arial"/>
          <w:sz w:val="20"/>
          <w:szCs w:val="20"/>
        </w:rPr>
        <w:br/>
      </w:r>
      <w:r w:rsidRPr="009B007B">
        <w:rPr>
          <w:rFonts w:ascii="Arial" w:hAnsi="Arial" w:cs="Arial"/>
          <w:sz w:val="20"/>
          <w:szCs w:val="20"/>
        </w:rPr>
        <w:t>i jednostek pasażerskich w ce</w:t>
      </w:r>
      <w:r w:rsidR="00B54CDE" w:rsidRPr="009B007B">
        <w:rPr>
          <w:rFonts w:ascii="Arial" w:hAnsi="Arial" w:cs="Arial"/>
          <w:sz w:val="20"/>
          <w:szCs w:val="20"/>
        </w:rPr>
        <w:t>lu aktywizacji turystyki wodnej.</w:t>
      </w:r>
    </w:p>
    <w:p w14:paraId="4E4FAE56" w14:textId="77777777" w:rsidR="002F5968" w:rsidRPr="009B007B" w:rsidRDefault="00B54CDE" w:rsidP="00F92660">
      <w:pPr>
        <w:spacing w:line="276" w:lineRule="auto"/>
        <w:jc w:val="both"/>
        <w:rPr>
          <w:rFonts w:ascii="Arial" w:hAnsi="Arial" w:cs="Arial"/>
          <w:sz w:val="20"/>
          <w:szCs w:val="20"/>
        </w:rPr>
      </w:pPr>
      <w:r w:rsidRPr="009B007B">
        <w:rPr>
          <w:rFonts w:ascii="Arial" w:hAnsi="Arial" w:cs="Arial"/>
          <w:sz w:val="20"/>
          <w:szCs w:val="20"/>
        </w:rPr>
        <w:t>W</w:t>
      </w:r>
      <w:r w:rsidR="002F5968" w:rsidRPr="009B007B">
        <w:rPr>
          <w:rFonts w:ascii="Arial" w:hAnsi="Arial" w:cs="Arial"/>
          <w:sz w:val="20"/>
          <w:szCs w:val="20"/>
        </w:rPr>
        <w:t xml:space="preserve"> zakresie sprawneg</w:t>
      </w:r>
      <w:r w:rsidRPr="009B007B">
        <w:rPr>
          <w:rFonts w:ascii="Arial" w:hAnsi="Arial" w:cs="Arial"/>
          <w:sz w:val="20"/>
          <w:szCs w:val="20"/>
        </w:rPr>
        <w:t xml:space="preserve">o systemu zarządzania morskiego Zarząd Morskiego Portu Elbląg </w:t>
      </w:r>
      <w:r w:rsidR="000E31B3">
        <w:rPr>
          <w:rFonts w:ascii="Arial" w:hAnsi="Arial" w:cs="Arial"/>
          <w:sz w:val="20"/>
          <w:szCs w:val="20"/>
        </w:rPr>
        <w:t xml:space="preserve">Sp. z o.o. </w:t>
      </w:r>
      <w:r w:rsidRPr="009B007B">
        <w:rPr>
          <w:rFonts w:ascii="Arial" w:hAnsi="Arial" w:cs="Arial"/>
          <w:sz w:val="20"/>
          <w:szCs w:val="20"/>
        </w:rPr>
        <w:t xml:space="preserve"> przystąpił</w:t>
      </w:r>
      <w:r w:rsidR="002F5968" w:rsidRPr="009B007B">
        <w:rPr>
          <w:rFonts w:ascii="Arial" w:hAnsi="Arial" w:cs="Arial"/>
          <w:sz w:val="20"/>
          <w:szCs w:val="20"/>
        </w:rPr>
        <w:t xml:space="preserve"> do Platformy Operatorów Terminali Przeładunkowych i Centrów </w:t>
      </w:r>
      <w:r w:rsidRPr="009B007B">
        <w:rPr>
          <w:rFonts w:ascii="Arial" w:hAnsi="Arial" w:cs="Arial"/>
          <w:sz w:val="20"/>
          <w:szCs w:val="20"/>
        </w:rPr>
        <w:t>Logistycznych Europy Środkowo- Wschodniej</w:t>
      </w:r>
      <w:r w:rsidR="00F92660" w:rsidRPr="009B007B">
        <w:rPr>
          <w:rFonts w:ascii="Arial" w:hAnsi="Arial" w:cs="Arial"/>
          <w:sz w:val="20"/>
          <w:szCs w:val="20"/>
        </w:rPr>
        <w:t>.</w:t>
      </w:r>
    </w:p>
    <w:p w14:paraId="61DFFBC5" w14:textId="77777777" w:rsidR="00CF7835" w:rsidRPr="009B007B" w:rsidRDefault="00CF7835" w:rsidP="00CF7835">
      <w:pPr>
        <w:pStyle w:val="spis1"/>
        <w:rPr>
          <w:rFonts w:ascii="Arial" w:hAnsi="Arial" w:cs="Arial"/>
          <w:sz w:val="20"/>
          <w:szCs w:val="20"/>
        </w:rPr>
      </w:pPr>
      <w:bookmarkStart w:id="29" w:name="_Toc3385301"/>
      <w:r w:rsidRPr="009B007B">
        <w:rPr>
          <w:rFonts w:ascii="Arial" w:hAnsi="Arial" w:cs="Arial"/>
          <w:sz w:val="20"/>
          <w:szCs w:val="20"/>
        </w:rPr>
        <w:t>Port Police</w:t>
      </w:r>
      <w:bookmarkEnd w:id="29"/>
    </w:p>
    <w:p w14:paraId="68CAAF4C" w14:textId="77777777" w:rsidR="00CF7835" w:rsidRPr="007E764E" w:rsidRDefault="00F1053B" w:rsidP="00BD27DE">
      <w:pPr>
        <w:spacing w:line="276" w:lineRule="auto"/>
        <w:jc w:val="both"/>
        <w:rPr>
          <w:rFonts w:ascii="Arial" w:hAnsi="Arial" w:cs="Arial"/>
          <w:sz w:val="20"/>
          <w:szCs w:val="20"/>
        </w:rPr>
      </w:pPr>
      <w:r w:rsidRPr="009B007B">
        <w:rPr>
          <w:rFonts w:ascii="Arial" w:hAnsi="Arial" w:cs="Arial"/>
          <w:sz w:val="20"/>
          <w:szCs w:val="20"/>
        </w:rPr>
        <w:t>W 2018</w:t>
      </w:r>
      <w:r w:rsidR="00CF7835" w:rsidRPr="009B007B">
        <w:rPr>
          <w:rFonts w:ascii="Arial" w:hAnsi="Arial" w:cs="Arial"/>
          <w:sz w:val="20"/>
          <w:szCs w:val="20"/>
        </w:rPr>
        <w:t xml:space="preserve"> r. Zarząd Morskiego Portu Police Sp. z o.o. realizował  na bieżąco zadania dotyczące utrzymania i modernizacji infrastruktury dostępowej do terminali w Porcie w Policach. W </w:t>
      </w:r>
      <w:r w:rsidR="00043912">
        <w:rPr>
          <w:rFonts w:ascii="Arial" w:hAnsi="Arial" w:cs="Arial"/>
          <w:sz w:val="20"/>
          <w:szCs w:val="20"/>
        </w:rPr>
        <w:t xml:space="preserve">ramach tych zadań kontynuowano </w:t>
      </w:r>
      <w:r w:rsidR="00CF7835" w:rsidRPr="007E764E">
        <w:rPr>
          <w:rFonts w:ascii="Arial" w:hAnsi="Arial" w:cs="Arial"/>
          <w:sz w:val="20"/>
          <w:szCs w:val="20"/>
        </w:rPr>
        <w:t xml:space="preserve">podczyszczeniowe roboty dna kanału podejściowego </w:t>
      </w:r>
      <w:r w:rsidRPr="007E764E">
        <w:rPr>
          <w:rFonts w:ascii="Arial" w:hAnsi="Arial" w:cs="Arial"/>
          <w:sz w:val="20"/>
          <w:szCs w:val="20"/>
        </w:rPr>
        <w:t xml:space="preserve">do </w:t>
      </w:r>
      <w:r w:rsidR="00CF7835" w:rsidRPr="007E764E">
        <w:rPr>
          <w:rFonts w:ascii="Arial" w:hAnsi="Arial" w:cs="Arial"/>
          <w:sz w:val="20"/>
          <w:szCs w:val="20"/>
        </w:rPr>
        <w:t>Terminalu Barkowym. Roboty te miały na celu utrzymanie optymalnych parametrów żeglugowych (głębokość zanurzeniowa 4,0</w:t>
      </w:r>
      <w:r w:rsidR="004E6549" w:rsidRPr="007E764E">
        <w:rPr>
          <w:rFonts w:ascii="Arial" w:hAnsi="Arial" w:cs="Arial"/>
          <w:sz w:val="20"/>
          <w:szCs w:val="20"/>
        </w:rPr>
        <w:t xml:space="preserve"> </w:t>
      </w:r>
      <w:r w:rsidR="00CF7835" w:rsidRPr="007E764E">
        <w:rPr>
          <w:rFonts w:ascii="Arial" w:hAnsi="Arial" w:cs="Arial"/>
          <w:sz w:val="20"/>
          <w:szCs w:val="20"/>
        </w:rPr>
        <w:t>m) oraz usprawnienie ruchu sta</w:t>
      </w:r>
      <w:r w:rsidR="00617125" w:rsidRPr="007E764E">
        <w:rPr>
          <w:rFonts w:ascii="Arial" w:hAnsi="Arial" w:cs="Arial"/>
          <w:sz w:val="20"/>
          <w:szCs w:val="20"/>
        </w:rPr>
        <w:t>tków zawijających do terminalu;</w:t>
      </w:r>
    </w:p>
    <w:p w14:paraId="42B3E4AE" w14:textId="77777777" w:rsidR="00CF7835" w:rsidRPr="009B007B" w:rsidRDefault="00CF7835" w:rsidP="00BD27DE">
      <w:pPr>
        <w:spacing w:line="276" w:lineRule="auto"/>
        <w:jc w:val="both"/>
        <w:rPr>
          <w:rFonts w:ascii="Arial" w:hAnsi="Arial" w:cs="Arial"/>
          <w:sz w:val="20"/>
          <w:szCs w:val="20"/>
        </w:rPr>
      </w:pPr>
      <w:r w:rsidRPr="009B007B">
        <w:rPr>
          <w:rFonts w:ascii="Arial" w:hAnsi="Arial" w:cs="Arial"/>
          <w:sz w:val="20"/>
          <w:szCs w:val="20"/>
        </w:rPr>
        <w:t>Łą</w:t>
      </w:r>
      <w:r w:rsidR="00F1053B" w:rsidRPr="009B007B">
        <w:rPr>
          <w:rFonts w:ascii="Arial" w:hAnsi="Arial" w:cs="Arial"/>
          <w:sz w:val="20"/>
          <w:szCs w:val="20"/>
        </w:rPr>
        <w:t>cznie w Porcie w Policach w 2018 r. przeładowano 1 586 150</w:t>
      </w:r>
      <w:r w:rsidRPr="009B007B">
        <w:rPr>
          <w:rFonts w:ascii="Arial" w:hAnsi="Arial" w:cs="Arial"/>
          <w:sz w:val="20"/>
          <w:szCs w:val="20"/>
        </w:rPr>
        <w:t xml:space="preserve"> ton. Wielkość przeładunków poszczególnych grup towarowych wygląda następująco:</w:t>
      </w:r>
    </w:p>
    <w:p w14:paraId="0A58BA89" w14:textId="77777777" w:rsidR="00CF7835" w:rsidRPr="009B007B" w:rsidRDefault="00F1053B" w:rsidP="00F1053B">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KCL (sól potasowa) – 305 236</w:t>
      </w:r>
      <w:r w:rsidR="00CF7835" w:rsidRPr="009B007B">
        <w:rPr>
          <w:rFonts w:ascii="Arial" w:hAnsi="Arial" w:cs="Arial"/>
          <w:sz w:val="20"/>
          <w:szCs w:val="20"/>
        </w:rPr>
        <w:t xml:space="preserve"> ton</w:t>
      </w:r>
    </w:p>
    <w:p w14:paraId="08F8CCA6" w14:textId="77777777" w:rsidR="00CF7835" w:rsidRPr="009B007B" w:rsidRDefault="00CF7835"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Amoniak –</w:t>
      </w:r>
      <w:r w:rsidR="00F1053B" w:rsidRPr="009B007B">
        <w:rPr>
          <w:rFonts w:ascii="Arial" w:hAnsi="Arial" w:cs="Arial"/>
          <w:sz w:val="20"/>
          <w:szCs w:val="20"/>
        </w:rPr>
        <w:t xml:space="preserve"> 36 871 </w:t>
      </w:r>
      <w:r w:rsidRPr="009B007B">
        <w:rPr>
          <w:rFonts w:ascii="Arial" w:hAnsi="Arial" w:cs="Arial"/>
          <w:sz w:val="20"/>
          <w:szCs w:val="20"/>
        </w:rPr>
        <w:t>ton</w:t>
      </w:r>
    </w:p>
    <w:p w14:paraId="4BCFBC98" w14:textId="77777777" w:rsidR="00CF7835" w:rsidRPr="009B007B" w:rsidRDefault="00F1053B"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Siarczan – 39 937</w:t>
      </w:r>
      <w:r w:rsidR="00CF7835" w:rsidRPr="009B007B">
        <w:rPr>
          <w:rFonts w:ascii="Arial" w:hAnsi="Arial" w:cs="Arial"/>
          <w:sz w:val="20"/>
          <w:szCs w:val="20"/>
        </w:rPr>
        <w:t xml:space="preserve"> ton</w:t>
      </w:r>
    </w:p>
    <w:p w14:paraId="7B82E736" w14:textId="77777777" w:rsidR="00CF7835" w:rsidRPr="009B007B" w:rsidRDefault="00F1053B"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Wodorotlenek – 14 760</w:t>
      </w:r>
      <w:r w:rsidR="00CF7835" w:rsidRPr="009B007B">
        <w:rPr>
          <w:rFonts w:ascii="Arial" w:hAnsi="Arial" w:cs="Arial"/>
          <w:sz w:val="20"/>
          <w:szCs w:val="20"/>
        </w:rPr>
        <w:t xml:space="preserve"> ton</w:t>
      </w:r>
    </w:p>
    <w:p w14:paraId="67ECF435" w14:textId="77777777" w:rsidR="00CF7835" w:rsidRPr="009B007B" w:rsidRDefault="00F1053B"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Fosforyty – 884 728</w:t>
      </w:r>
      <w:r w:rsidR="00CF7835" w:rsidRPr="009B007B">
        <w:rPr>
          <w:rFonts w:ascii="Arial" w:hAnsi="Arial" w:cs="Arial"/>
          <w:sz w:val="20"/>
          <w:szCs w:val="20"/>
        </w:rPr>
        <w:t xml:space="preserve"> ton</w:t>
      </w:r>
    </w:p>
    <w:p w14:paraId="08617D2F" w14:textId="77777777" w:rsidR="00CF7835" w:rsidRPr="009B007B" w:rsidRDefault="00F1053B"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 xml:space="preserve">Nawozy/mocznik – 163 416 </w:t>
      </w:r>
      <w:r w:rsidR="00CF7835" w:rsidRPr="009B007B">
        <w:rPr>
          <w:rFonts w:ascii="Arial" w:hAnsi="Arial" w:cs="Arial"/>
          <w:sz w:val="20"/>
          <w:szCs w:val="20"/>
        </w:rPr>
        <w:t>ton</w:t>
      </w:r>
    </w:p>
    <w:p w14:paraId="1F0C2514" w14:textId="77777777" w:rsidR="00CF7835" w:rsidRPr="009B007B" w:rsidRDefault="00F1053B"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Ilmenit – 73 378</w:t>
      </w:r>
      <w:r w:rsidR="00CF7835" w:rsidRPr="009B007B">
        <w:rPr>
          <w:rFonts w:ascii="Arial" w:hAnsi="Arial" w:cs="Arial"/>
          <w:sz w:val="20"/>
          <w:szCs w:val="20"/>
        </w:rPr>
        <w:t xml:space="preserve"> ton</w:t>
      </w:r>
    </w:p>
    <w:p w14:paraId="2FF7422A" w14:textId="77777777" w:rsidR="00F1053B" w:rsidRPr="009B007B" w:rsidRDefault="00F1053B" w:rsidP="00F1053B">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Piasek/żwir/kruszywo – 13 176 ton</w:t>
      </w:r>
    </w:p>
    <w:p w14:paraId="3BB20D31" w14:textId="77777777" w:rsidR="00CF7835" w:rsidRPr="009B007B" w:rsidRDefault="00CF7835"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B</w:t>
      </w:r>
      <w:r w:rsidR="00F1053B" w:rsidRPr="009B007B">
        <w:rPr>
          <w:rFonts w:ascii="Arial" w:hAnsi="Arial" w:cs="Arial"/>
          <w:sz w:val="20"/>
          <w:szCs w:val="20"/>
        </w:rPr>
        <w:t>lacha/konstrukcje – 4 342</w:t>
      </w:r>
      <w:r w:rsidRPr="009B007B">
        <w:rPr>
          <w:rFonts w:ascii="Arial" w:hAnsi="Arial" w:cs="Arial"/>
          <w:sz w:val="20"/>
          <w:szCs w:val="20"/>
        </w:rPr>
        <w:t xml:space="preserve"> ton</w:t>
      </w:r>
    </w:p>
    <w:p w14:paraId="38B0D2AA" w14:textId="77777777" w:rsidR="00CF7835" w:rsidRPr="009B007B" w:rsidRDefault="00F1053B" w:rsidP="00CF7835">
      <w:pPr>
        <w:pStyle w:val="Akapitzlist"/>
        <w:numPr>
          <w:ilvl w:val="0"/>
          <w:numId w:val="2"/>
        </w:numPr>
        <w:ind w:left="714" w:hanging="357"/>
        <w:jc w:val="both"/>
        <w:rPr>
          <w:rFonts w:ascii="Arial" w:hAnsi="Arial" w:cs="Arial"/>
          <w:sz w:val="20"/>
          <w:szCs w:val="20"/>
        </w:rPr>
      </w:pPr>
      <w:r w:rsidRPr="009B007B">
        <w:rPr>
          <w:rFonts w:ascii="Arial" w:hAnsi="Arial" w:cs="Arial"/>
          <w:sz w:val="20"/>
          <w:szCs w:val="20"/>
        </w:rPr>
        <w:t>Koksik/węgiel – 50 306</w:t>
      </w:r>
      <w:r w:rsidR="00CF7835" w:rsidRPr="009B007B">
        <w:rPr>
          <w:rFonts w:ascii="Arial" w:hAnsi="Arial" w:cs="Arial"/>
          <w:sz w:val="20"/>
          <w:szCs w:val="20"/>
        </w:rPr>
        <w:t xml:space="preserve"> ton</w:t>
      </w:r>
    </w:p>
    <w:p w14:paraId="728E90A2" w14:textId="77777777" w:rsidR="00CF7835" w:rsidRPr="009B007B" w:rsidRDefault="00CF7835" w:rsidP="005B2FF0">
      <w:pPr>
        <w:spacing w:line="276" w:lineRule="auto"/>
        <w:jc w:val="both"/>
        <w:rPr>
          <w:rFonts w:ascii="Arial" w:hAnsi="Arial" w:cs="Arial"/>
          <w:sz w:val="20"/>
          <w:szCs w:val="20"/>
        </w:rPr>
      </w:pPr>
      <w:r w:rsidRPr="009B007B">
        <w:rPr>
          <w:rFonts w:ascii="Arial" w:hAnsi="Arial" w:cs="Arial"/>
          <w:sz w:val="20"/>
          <w:szCs w:val="20"/>
        </w:rPr>
        <w:t xml:space="preserve">Plany rozwojowe Zarządu Morskiego Portu Police Sp. z o.o. ujęte w Dokumencie Implementacyjnym do „Strategii rozwoju transportu do 2020 roku (z perspektywą do 2030 roku)” mają na względzie realizację </w:t>
      </w:r>
      <w:r w:rsidR="005B2FF0">
        <w:rPr>
          <w:rFonts w:ascii="Arial" w:hAnsi="Arial" w:cs="Arial"/>
          <w:sz w:val="20"/>
          <w:szCs w:val="20"/>
        </w:rPr>
        <w:t>podanych poniżej</w:t>
      </w:r>
      <w:r w:rsidRPr="009B007B">
        <w:rPr>
          <w:rFonts w:ascii="Arial" w:hAnsi="Arial" w:cs="Arial"/>
          <w:sz w:val="20"/>
          <w:szCs w:val="20"/>
        </w:rPr>
        <w:t xml:space="preserve"> podstawowych celów:</w:t>
      </w:r>
    </w:p>
    <w:p w14:paraId="624F7EA0" w14:textId="77777777" w:rsidR="00CF7835" w:rsidRPr="005B2FF0" w:rsidRDefault="005B2FF0" w:rsidP="005B2FF0">
      <w:pPr>
        <w:jc w:val="both"/>
        <w:rPr>
          <w:rFonts w:ascii="Arial" w:hAnsi="Arial" w:cs="Arial"/>
          <w:sz w:val="20"/>
          <w:szCs w:val="20"/>
        </w:rPr>
      </w:pPr>
      <w:r>
        <w:rPr>
          <w:rFonts w:ascii="Arial" w:hAnsi="Arial" w:cs="Arial"/>
          <w:sz w:val="20"/>
          <w:szCs w:val="20"/>
        </w:rPr>
        <w:t xml:space="preserve">- </w:t>
      </w:r>
      <w:r w:rsidR="00CF7835" w:rsidRPr="005B2FF0">
        <w:rPr>
          <w:rFonts w:ascii="Arial" w:hAnsi="Arial" w:cs="Arial"/>
          <w:sz w:val="20"/>
          <w:szCs w:val="20"/>
        </w:rPr>
        <w:t xml:space="preserve">podniesienie konkurencyjności Portu Morskiego w Policach poprzez zwiększenie jego udziału </w:t>
      </w:r>
      <w:r w:rsidR="0061398F">
        <w:rPr>
          <w:rFonts w:ascii="Arial" w:hAnsi="Arial" w:cs="Arial"/>
          <w:sz w:val="20"/>
          <w:szCs w:val="20"/>
        </w:rPr>
        <w:br/>
      </w:r>
      <w:r w:rsidR="00CF7835" w:rsidRPr="005B2FF0">
        <w:rPr>
          <w:rFonts w:ascii="Arial" w:hAnsi="Arial" w:cs="Arial"/>
          <w:sz w:val="20"/>
          <w:szCs w:val="20"/>
        </w:rPr>
        <w:t>w obsłudze międzynarodowej wymiany handlowej, szczególnie w basenie Morza Bałtyckiego,</w:t>
      </w:r>
    </w:p>
    <w:p w14:paraId="1EB9AFFF" w14:textId="77777777" w:rsidR="00CF7835" w:rsidRPr="005B2FF0" w:rsidRDefault="005B2FF0" w:rsidP="005B2FF0">
      <w:pPr>
        <w:jc w:val="both"/>
        <w:rPr>
          <w:rFonts w:ascii="Arial" w:hAnsi="Arial" w:cs="Arial"/>
          <w:sz w:val="20"/>
          <w:szCs w:val="20"/>
        </w:rPr>
      </w:pPr>
      <w:r>
        <w:rPr>
          <w:rFonts w:ascii="Arial" w:hAnsi="Arial" w:cs="Arial"/>
          <w:sz w:val="20"/>
          <w:szCs w:val="20"/>
        </w:rPr>
        <w:t xml:space="preserve">- </w:t>
      </w:r>
      <w:r w:rsidR="00CF7835" w:rsidRPr="005B2FF0">
        <w:rPr>
          <w:rFonts w:ascii="Arial" w:hAnsi="Arial" w:cs="Arial"/>
          <w:sz w:val="20"/>
          <w:szCs w:val="20"/>
        </w:rPr>
        <w:t xml:space="preserve">poprawę konkurencyjności portu w Policach poprzez rozszerzenie oferty przeładunkowej, </w:t>
      </w:r>
    </w:p>
    <w:p w14:paraId="54A18461" w14:textId="77777777" w:rsidR="00CF7835" w:rsidRPr="005B2FF0" w:rsidRDefault="005B2FF0" w:rsidP="005B2FF0">
      <w:pPr>
        <w:jc w:val="both"/>
        <w:rPr>
          <w:rFonts w:ascii="Arial" w:hAnsi="Arial" w:cs="Arial"/>
          <w:sz w:val="20"/>
          <w:szCs w:val="20"/>
        </w:rPr>
      </w:pPr>
      <w:r>
        <w:rPr>
          <w:rFonts w:ascii="Arial" w:hAnsi="Arial" w:cs="Arial"/>
          <w:sz w:val="20"/>
          <w:szCs w:val="20"/>
        </w:rPr>
        <w:t xml:space="preserve">- </w:t>
      </w:r>
      <w:r w:rsidR="00CF7835" w:rsidRPr="005B2FF0">
        <w:rPr>
          <w:rFonts w:ascii="Arial" w:hAnsi="Arial" w:cs="Arial"/>
          <w:sz w:val="20"/>
          <w:szCs w:val="20"/>
        </w:rPr>
        <w:t>zwiększenie znaczenia portu w Policach poprzez rozbudowę infrastruktury drogowej, kolejowej oraz technicznej,</w:t>
      </w:r>
    </w:p>
    <w:p w14:paraId="536066A9" w14:textId="77777777" w:rsidR="00CF7835" w:rsidRPr="005B2FF0" w:rsidRDefault="005B2FF0" w:rsidP="005B2FF0">
      <w:pPr>
        <w:jc w:val="both"/>
        <w:rPr>
          <w:rFonts w:ascii="Arial" w:hAnsi="Arial" w:cs="Arial"/>
          <w:sz w:val="20"/>
          <w:szCs w:val="20"/>
        </w:rPr>
      </w:pPr>
      <w:r>
        <w:rPr>
          <w:rFonts w:ascii="Arial" w:hAnsi="Arial" w:cs="Arial"/>
          <w:sz w:val="20"/>
          <w:szCs w:val="20"/>
        </w:rPr>
        <w:t xml:space="preserve">- </w:t>
      </w:r>
      <w:r w:rsidR="00CF7835" w:rsidRPr="005B2FF0">
        <w:rPr>
          <w:rFonts w:ascii="Arial" w:hAnsi="Arial" w:cs="Arial"/>
          <w:sz w:val="20"/>
          <w:szCs w:val="20"/>
        </w:rPr>
        <w:t>wykorzystanie lokalizacji portu w Policach oraz gruntów wokół portu m.in. jako ogromnego potencjału inwestycyjnego.</w:t>
      </w:r>
    </w:p>
    <w:p w14:paraId="344F510A" w14:textId="77777777" w:rsidR="00115508" w:rsidRPr="009B007B" w:rsidRDefault="00CF7835" w:rsidP="005B2FF0">
      <w:pPr>
        <w:spacing w:line="276" w:lineRule="auto"/>
        <w:jc w:val="both"/>
        <w:rPr>
          <w:rFonts w:ascii="Arial" w:hAnsi="Arial" w:cs="Arial"/>
          <w:sz w:val="20"/>
          <w:szCs w:val="20"/>
        </w:rPr>
      </w:pPr>
      <w:r w:rsidRPr="009B007B">
        <w:rPr>
          <w:rFonts w:ascii="Arial" w:hAnsi="Arial" w:cs="Arial"/>
          <w:sz w:val="20"/>
          <w:szCs w:val="20"/>
        </w:rPr>
        <w:t>Zarząd Morskiego Portu Police Sp. z o.o. realizuje proces wzmacniania pozycji portu w gronie portów uniwersalnych oraz specjalistycznych w basenie Morza Bałtyckiego z jednoczesnym usprawnianiem systemu transportu morskiego m.in. poprzez poprawę technologiczną i ekonomiczną dostępności portu morskiego.</w:t>
      </w:r>
    </w:p>
    <w:p w14:paraId="61E4B8D5" w14:textId="77777777" w:rsidR="009B0051" w:rsidRPr="009B007B" w:rsidRDefault="009B0051" w:rsidP="005B2FF0">
      <w:pPr>
        <w:spacing w:line="276" w:lineRule="auto"/>
        <w:jc w:val="both"/>
        <w:rPr>
          <w:rFonts w:ascii="Arial" w:eastAsia="Calibri" w:hAnsi="Arial" w:cs="Arial"/>
          <w:color w:val="0D0D0D"/>
          <w:sz w:val="20"/>
          <w:szCs w:val="20"/>
        </w:rPr>
      </w:pPr>
      <w:r w:rsidRPr="009B007B">
        <w:rPr>
          <w:rFonts w:ascii="Arial" w:eastAsia="Calibri" w:hAnsi="Arial" w:cs="Arial"/>
          <w:color w:val="0D0D0D"/>
          <w:sz w:val="20"/>
          <w:szCs w:val="20"/>
        </w:rPr>
        <w:t xml:space="preserve">W </w:t>
      </w:r>
      <w:r w:rsidR="00FE6401">
        <w:rPr>
          <w:rFonts w:ascii="Arial" w:eastAsia="Calibri" w:hAnsi="Arial" w:cs="Arial"/>
          <w:color w:val="0D0D0D"/>
          <w:sz w:val="20"/>
          <w:szCs w:val="20"/>
        </w:rPr>
        <w:t>2018 r.</w:t>
      </w:r>
      <w:r w:rsidRPr="009B007B">
        <w:rPr>
          <w:rFonts w:ascii="Arial" w:eastAsia="Calibri" w:hAnsi="Arial" w:cs="Arial"/>
          <w:color w:val="0D0D0D"/>
          <w:sz w:val="20"/>
          <w:szCs w:val="20"/>
        </w:rPr>
        <w:t xml:space="preserve"> </w:t>
      </w:r>
      <w:r w:rsidR="002D4AFF">
        <w:rPr>
          <w:rFonts w:ascii="Arial" w:eastAsia="Calibri" w:hAnsi="Arial" w:cs="Arial"/>
          <w:color w:val="0D0D0D"/>
          <w:sz w:val="20"/>
          <w:szCs w:val="20"/>
        </w:rPr>
        <w:t xml:space="preserve">prowadzono prace </w:t>
      </w:r>
      <w:r w:rsidR="001314F7">
        <w:rPr>
          <w:rFonts w:ascii="Arial" w:eastAsia="Calibri" w:hAnsi="Arial" w:cs="Arial"/>
          <w:color w:val="0D0D0D"/>
          <w:sz w:val="20"/>
          <w:szCs w:val="20"/>
        </w:rPr>
        <w:t>dotyczące</w:t>
      </w:r>
      <w:r w:rsidRPr="009B007B">
        <w:rPr>
          <w:rFonts w:ascii="Arial" w:eastAsia="Calibri" w:hAnsi="Arial" w:cs="Arial"/>
          <w:color w:val="0D0D0D"/>
          <w:sz w:val="20"/>
          <w:szCs w:val="20"/>
        </w:rPr>
        <w:t xml:space="preserve"> możliwości współpracy pomiędzy </w:t>
      </w:r>
      <w:r w:rsidRPr="009B007B">
        <w:rPr>
          <w:rFonts w:ascii="Arial" w:eastAsia="Calibri" w:hAnsi="Arial" w:cs="Arial"/>
          <w:bCs/>
          <w:color w:val="0D0D0D"/>
          <w:sz w:val="20"/>
          <w:szCs w:val="20"/>
          <w:lang w:val="x-none"/>
        </w:rPr>
        <w:t>P</w:t>
      </w:r>
      <w:r w:rsidRPr="009B007B">
        <w:rPr>
          <w:rFonts w:ascii="Arial" w:eastAsia="Calibri" w:hAnsi="Arial" w:cs="Arial"/>
          <w:color w:val="0D0D0D"/>
          <w:sz w:val="20"/>
          <w:szCs w:val="20"/>
          <w:lang w:val="x-none"/>
        </w:rPr>
        <w:t>KP Polskie Linie Kolejowe S.A.</w:t>
      </w:r>
      <w:r w:rsidR="002D4AFF">
        <w:rPr>
          <w:rFonts w:ascii="Arial" w:eastAsia="Calibri" w:hAnsi="Arial" w:cs="Arial"/>
          <w:color w:val="0D0D0D"/>
          <w:sz w:val="20"/>
          <w:szCs w:val="20"/>
        </w:rPr>
        <w:t xml:space="preserve"> </w:t>
      </w:r>
      <w:r w:rsidRPr="009B007B">
        <w:rPr>
          <w:rFonts w:ascii="Arial" w:eastAsia="Calibri" w:hAnsi="Arial" w:cs="Arial"/>
          <w:color w:val="0D0D0D"/>
          <w:sz w:val="20"/>
          <w:szCs w:val="20"/>
          <w:lang w:val="x-none"/>
        </w:rPr>
        <w:t xml:space="preserve">i </w:t>
      </w:r>
      <w:r w:rsidRPr="009B007B">
        <w:rPr>
          <w:rFonts w:ascii="Arial" w:eastAsia="Calibri" w:hAnsi="Arial" w:cs="Arial"/>
          <w:color w:val="0D0D0D"/>
          <w:sz w:val="20"/>
          <w:szCs w:val="20"/>
        </w:rPr>
        <w:t xml:space="preserve">spółką </w:t>
      </w:r>
      <w:r w:rsidRPr="009B007B">
        <w:rPr>
          <w:rFonts w:ascii="Arial" w:eastAsia="Calibri" w:hAnsi="Arial" w:cs="Arial"/>
          <w:color w:val="0D0D0D"/>
          <w:sz w:val="20"/>
          <w:szCs w:val="20"/>
          <w:lang w:val="x-none"/>
        </w:rPr>
        <w:t>Z</w:t>
      </w:r>
      <w:r w:rsidRPr="009B007B">
        <w:rPr>
          <w:rFonts w:ascii="Arial" w:eastAsia="Calibri" w:hAnsi="Arial" w:cs="Arial"/>
          <w:color w:val="0D0D0D"/>
          <w:sz w:val="20"/>
          <w:szCs w:val="20"/>
        </w:rPr>
        <w:t xml:space="preserve">MPP </w:t>
      </w:r>
      <w:r w:rsidRPr="009B007B">
        <w:rPr>
          <w:rFonts w:ascii="Arial" w:eastAsia="Calibri" w:hAnsi="Arial" w:cs="Arial"/>
          <w:color w:val="0D0D0D"/>
          <w:sz w:val="20"/>
          <w:szCs w:val="20"/>
          <w:lang w:val="x-none"/>
        </w:rPr>
        <w:t xml:space="preserve">Sp. z o.o. w zakresie rozbudowy infrastruktury kolejowej linii kolejowej nr 406 </w:t>
      </w:r>
      <w:r w:rsidRPr="009B007B">
        <w:rPr>
          <w:rFonts w:ascii="Arial" w:eastAsia="Calibri" w:hAnsi="Arial" w:cs="Arial"/>
          <w:color w:val="0D0D0D"/>
          <w:sz w:val="20"/>
          <w:szCs w:val="20"/>
          <w:lang w:val="x-none"/>
        </w:rPr>
        <w:br/>
        <w:t xml:space="preserve">poprzez połączenie jej z </w:t>
      </w:r>
      <w:r w:rsidRPr="009B007B">
        <w:rPr>
          <w:rFonts w:ascii="Arial" w:eastAsia="Calibri" w:hAnsi="Arial" w:cs="Arial"/>
          <w:color w:val="0D0D0D"/>
          <w:sz w:val="20"/>
          <w:szCs w:val="20"/>
        </w:rPr>
        <w:t>P</w:t>
      </w:r>
      <w:r w:rsidRPr="009B007B">
        <w:rPr>
          <w:rFonts w:ascii="Arial" w:eastAsia="Calibri" w:hAnsi="Arial" w:cs="Arial"/>
          <w:color w:val="0D0D0D"/>
          <w:sz w:val="20"/>
          <w:szCs w:val="20"/>
          <w:lang w:val="x-none"/>
        </w:rPr>
        <w:t xml:space="preserve">ortem </w:t>
      </w:r>
      <w:r w:rsidRPr="009B007B">
        <w:rPr>
          <w:rFonts w:ascii="Arial" w:eastAsia="Calibri" w:hAnsi="Arial" w:cs="Arial"/>
          <w:color w:val="0D0D0D"/>
          <w:sz w:val="20"/>
          <w:szCs w:val="20"/>
        </w:rPr>
        <w:t>M</w:t>
      </w:r>
      <w:r w:rsidRPr="009B007B">
        <w:rPr>
          <w:rFonts w:ascii="Arial" w:eastAsia="Calibri" w:hAnsi="Arial" w:cs="Arial"/>
          <w:color w:val="0D0D0D"/>
          <w:sz w:val="20"/>
          <w:szCs w:val="20"/>
          <w:lang w:val="x-none"/>
        </w:rPr>
        <w:t>orskim Police</w:t>
      </w:r>
      <w:r w:rsidRPr="009B007B">
        <w:rPr>
          <w:rFonts w:ascii="Arial" w:eastAsia="Calibri" w:hAnsi="Arial" w:cs="Arial"/>
          <w:color w:val="0D0D0D"/>
          <w:sz w:val="20"/>
          <w:szCs w:val="20"/>
        </w:rPr>
        <w:t>. Zwieńczeniem dotychczasowej determinacji spółki ZMPP Sp. z o.o. w doprowadzeniu do realizacji tego zadania inwestycyjnego było w dniu 18 stycznia 2019 r. p</w:t>
      </w:r>
      <w:r w:rsidRPr="009B007B">
        <w:rPr>
          <w:rFonts w:ascii="Arial" w:hAnsi="Arial" w:cs="Arial"/>
          <w:color w:val="0D0D0D"/>
          <w:sz w:val="20"/>
          <w:szCs w:val="20"/>
        </w:rPr>
        <w:t xml:space="preserve">odpisanie z </w:t>
      </w:r>
      <w:r w:rsidRPr="009B007B">
        <w:rPr>
          <w:rFonts w:ascii="Arial" w:eastAsia="Calibri" w:hAnsi="Arial" w:cs="Arial"/>
          <w:bCs/>
          <w:color w:val="0D0D0D"/>
          <w:sz w:val="20"/>
          <w:szCs w:val="20"/>
          <w:lang w:val="x-none"/>
        </w:rPr>
        <w:t>P</w:t>
      </w:r>
      <w:r w:rsidRPr="009B007B">
        <w:rPr>
          <w:rFonts w:ascii="Arial" w:eastAsia="Calibri" w:hAnsi="Arial" w:cs="Arial"/>
          <w:color w:val="0D0D0D"/>
          <w:sz w:val="20"/>
          <w:szCs w:val="20"/>
          <w:lang w:val="x-none"/>
        </w:rPr>
        <w:t>KP P</w:t>
      </w:r>
      <w:r w:rsidRPr="009B007B">
        <w:rPr>
          <w:rFonts w:ascii="Arial" w:eastAsia="Calibri" w:hAnsi="Arial" w:cs="Arial"/>
          <w:color w:val="0D0D0D"/>
          <w:sz w:val="20"/>
          <w:szCs w:val="20"/>
        </w:rPr>
        <w:t xml:space="preserve">LK </w:t>
      </w:r>
      <w:r w:rsidRPr="009B007B">
        <w:rPr>
          <w:rFonts w:ascii="Arial" w:eastAsia="Calibri" w:hAnsi="Arial" w:cs="Arial"/>
          <w:color w:val="0D0D0D"/>
          <w:sz w:val="20"/>
          <w:szCs w:val="20"/>
          <w:lang w:val="x-none"/>
        </w:rPr>
        <w:t>S.A.</w:t>
      </w:r>
      <w:r w:rsidRPr="009B007B">
        <w:rPr>
          <w:rFonts w:ascii="Arial" w:eastAsia="Calibri" w:hAnsi="Arial" w:cs="Arial"/>
          <w:color w:val="0D0D0D"/>
          <w:sz w:val="20"/>
          <w:szCs w:val="20"/>
        </w:rPr>
        <w:t xml:space="preserve"> </w:t>
      </w:r>
      <w:r w:rsidRPr="009B007B">
        <w:rPr>
          <w:rFonts w:ascii="Arial" w:hAnsi="Arial" w:cs="Arial"/>
          <w:color w:val="0D0D0D"/>
          <w:sz w:val="20"/>
          <w:szCs w:val="20"/>
        </w:rPr>
        <w:t xml:space="preserve">porozumienia </w:t>
      </w:r>
      <w:r w:rsidRPr="009B007B">
        <w:rPr>
          <w:rFonts w:ascii="Arial" w:eastAsia="Calibri" w:hAnsi="Arial" w:cs="Arial"/>
          <w:color w:val="0D0D0D"/>
          <w:sz w:val="20"/>
          <w:szCs w:val="20"/>
        </w:rPr>
        <w:t>dotyczącego</w:t>
      </w:r>
      <w:r w:rsidRPr="009B007B">
        <w:rPr>
          <w:rFonts w:ascii="Arial" w:eastAsia="Calibri" w:hAnsi="Arial" w:cs="Arial"/>
          <w:color w:val="0D0D0D"/>
          <w:sz w:val="20"/>
          <w:szCs w:val="20"/>
          <w:lang w:val="x-none"/>
        </w:rPr>
        <w:t xml:space="preserve"> rozbudowy infrastruktury kolejowej</w:t>
      </w:r>
      <w:r w:rsidRPr="009B007B">
        <w:rPr>
          <w:rFonts w:ascii="Arial" w:eastAsia="Calibri" w:hAnsi="Arial" w:cs="Arial"/>
          <w:color w:val="0D0D0D"/>
          <w:sz w:val="20"/>
          <w:szCs w:val="20"/>
        </w:rPr>
        <w:t xml:space="preserve"> </w:t>
      </w:r>
      <w:r w:rsidRPr="009B007B">
        <w:rPr>
          <w:rFonts w:ascii="Arial" w:eastAsia="Calibri" w:hAnsi="Arial" w:cs="Arial"/>
          <w:color w:val="0D0D0D"/>
          <w:sz w:val="20"/>
          <w:szCs w:val="20"/>
        </w:rPr>
        <w:br/>
        <w:t>i połączenie</w:t>
      </w:r>
      <w:r w:rsidRPr="009B007B">
        <w:rPr>
          <w:rFonts w:ascii="Arial" w:eastAsia="Calibri" w:hAnsi="Arial" w:cs="Arial"/>
          <w:color w:val="0D0D0D"/>
          <w:sz w:val="20"/>
          <w:szCs w:val="20"/>
          <w:lang w:val="x-none"/>
        </w:rPr>
        <w:t xml:space="preserve"> jej z </w:t>
      </w:r>
      <w:r w:rsidRPr="009B007B">
        <w:rPr>
          <w:rFonts w:ascii="Arial" w:eastAsia="Calibri" w:hAnsi="Arial" w:cs="Arial"/>
          <w:color w:val="0D0D0D"/>
          <w:sz w:val="20"/>
          <w:szCs w:val="20"/>
        </w:rPr>
        <w:t>P</w:t>
      </w:r>
      <w:r w:rsidRPr="009B007B">
        <w:rPr>
          <w:rFonts w:ascii="Arial" w:eastAsia="Calibri" w:hAnsi="Arial" w:cs="Arial"/>
          <w:color w:val="0D0D0D"/>
          <w:sz w:val="20"/>
          <w:szCs w:val="20"/>
          <w:lang w:val="x-none"/>
        </w:rPr>
        <w:t xml:space="preserve">ortem </w:t>
      </w:r>
      <w:r w:rsidRPr="009B007B">
        <w:rPr>
          <w:rFonts w:ascii="Arial" w:eastAsia="Calibri" w:hAnsi="Arial" w:cs="Arial"/>
          <w:color w:val="0D0D0D"/>
          <w:sz w:val="20"/>
          <w:szCs w:val="20"/>
        </w:rPr>
        <w:t>M</w:t>
      </w:r>
      <w:r w:rsidRPr="009B007B">
        <w:rPr>
          <w:rFonts w:ascii="Arial" w:eastAsia="Calibri" w:hAnsi="Arial" w:cs="Arial"/>
          <w:color w:val="0D0D0D"/>
          <w:sz w:val="20"/>
          <w:szCs w:val="20"/>
          <w:lang w:val="x-none"/>
        </w:rPr>
        <w:t>orskim Police</w:t>
      </w:r>
      <w:r w:rsidR="00AD617F">
        <w:rPr>
          <w:rFonts w:ascii="Arial" w:eastAsia="Calibri" w:hAnsi="Arial" w:cs="Arial"/>
          <w:color w:val="0D0D0D"/>
          <w:sz w:val="20"/>
          <w:szCs w:val="20"/>
        </w:rPr>
        <w:t xml:space="preserve">. </w:t>
      </w:r>
      <w:r w:rsidR="00CE698D">
        <w:rPr>
          <w:rFonts w:ascii="Arial" w:eastAsia="Calibri" w:hAnsi="Arial" w:cs="Arial"/>
          <w:color w:val="0D0D0D"/>
          <w:sz w:val="20"/>
          <w:szCs w:val="20"/>
        </w:rPr>
        <w:t>Również w 2018 r.</w:t>
      </w:r>
      <w:r w:rsidRPr="009B007B">
        <w:rPr>
          <w:rFonts w:ascii="Arial" w:eastAsia="Calibri" w:hAnsi="Arial" w:cs="Arial"/>
          <w:color w:val="0D0D0D"/>
          <w:sz w:val="20"/>
          <w:szCs w:val="20"/>
        </w:rPr>
        <w:t xml:space="preserve"> koordynowano prace przygotowawcze do realizacji i</w:t>
      </w:r>
      <w:r w:rsidR="00ED3D8A">
        <w:rPr>
          <w:rFonts w:ascii="Arial" w:hAnsi="Arial" w:cs="Arial"/>
          <w:color w:val="0D0D0D"/>
          <w:sz w:val="20"/>
          <w:szCs w:val="20"/>
        </w:rPr>
        <w:t>nwestycji pod nazwą „</w:t>
      </w:r>
      <w:r w:rsidR="00AD617F">
        <w:rPr>
          <w:rFonts w:ascii="Arial" w:hAnsi="Arial" w:cs="Arial"/>
          <w:color w:val="0D0D0D"/>
          <w:sz w:val="20"/>
          <w:szCs w:val="20"/>
        </w:rPr>
        <w:t>Polimery Police” stanowiącej</w:t>
      </w:r>
      <w:r w:rsidRPr="009B007B">
        <w:rPr>
          <w:rFonts w:ascii="Arial" w:hAnsi="Arial" w:cs="Arial"/>
          <w:color w:val="0D0D0D"/>
          <w:sz w:val="20"/>
          <w:szCs w:val="20"/>
        </w:rPr>
        <w:t xml:space="preserve"> kompleks produkcyjny, który ma składać się z instalacji do produkcji propylenu i polipropylenu o wartości szacowanej na kwotę 5 mld zł,</w:t>
      </w:r>
      <w:r w:rsidR="00B63E85">
        <w:rPr>
          <w:rFonts w:ascii="Arial" w:hAnsi="Arial" w:cs="Arial"/>
          <w:color w:val="0D0D0D"/>
          <w:sz w:val="20"/>
          <w:szCs w:val="20"/>
        </w:rPr>
        <w:br/>
      </w:r>
      <w:r w:rsidRPr="009B007B">
        <w:rPr>
          <w:rFonts w:ascii="Arial" w:hAnsi="Arial" w:cs="Arial"/>
          <w:color w:val="0D0D0D"/>
          <w:sz w:val="20"/>
          <w:szCs w:val="20"/>
        </w:rPr>
        <w:t>a z punktu widzenia Portu Morskiego Police kluczowym elementem przedmiotowej inwestycji będzie budowa nowego Terminalu morskiego do rozładunku surowca do pro</w:t>
      </w:r>
      <w:r w:rsidR="001267D7" w:rsidRPr="009B007B">
        <w:rPr>
          <w:rFonts w:ascii="Arial" w:hAnsi="Arial" w:cs="Arial"/>
          <w:color w:val="0D0D0D"/>
          <w:sz w:val="20"/>
          <w:szCs w:val="20"/>
        </w:rPr>
        <w:t>dukcji – płynnego propanu (LPG).</w:t>
      </w:r>
    </w:p>
    <w:sectPr w:rsidR="009B0051" w:rsidRPr="009B007B" w:rsidSect="00EB2FA7">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8D73A" w14:textId="77777777" w:rsidR="00CD3E4A" w:rsidRDefault="00CD3E4A" w:rsidP="00ED52FD">
      <w:pPr>
        <w:spacing w:after="0" w:line="240" w:lineRule="auto"/>
      </w:pPr>
      <w:r>
        <w:separator/>
      </w:r>
    </w:p>
  </w:endnote>
  <w:endnote w:type="continuationSeparator" w:id="0">
    <w:p w14:paraId="31915543" w14:textId="77777777" w:rsidR="00CD3E4A" w:rsidRDefault="00CD3E4A" w:rsidP="00ED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04910995"/>
      <w:docPartObj>
        <w:docPartGallery w:val="Page Numbers (Bottom of Page)"/>
        <w:docPartUnique/>
      </w:docPartObj>
    </w:sdtPr>
    <w:sdtEndPr/>
    <w:sdtContent>
      <w:p w14:paraId="4E363A34" w14:textId="0262B2CD" w:rsidR="00B1064E" w:rsidRPr="00EA0998" w:rsidRDefault="00B1064E" w:rsidP="00ED52FD">
        <w:pPr>
          <w:pStyle w:val="Stopka"/>
          <w:jc w:val="right"/>
          <w:rPr>
            <w:rFonts w:ascii="Arial" w:hAnsi="Arial" w:cs="Arial"/>
            <w:sz w:val="20"/>
            <w:szCs w:val="20"/>
          </w:rPr>
        </w:pPr>
        <w:r w:rsidRPr="00EA0998">
          <w:rPr>
            <w:rFonts w:ascii="Arial" w:hAnsi="Arial" w:cs="Arial"/>
            <w:sz w:val="20"/>
            <w:szCs w:val="20"/>
          </w:rPr>
          <w:fldChar w:fldCharType="begin"/>
        </w:r>
        <w:r w:rsidRPr="00EA0998">
          <w:rPr>
            <w:rFonts w:ascii="Arial" w:hAnsi="Arial" w:cs="Arial"/>
            <w:sz w:val="20"/>
            <w:szCs w:val="20"/>
          </w:rPr>
          <w:instrText>PAGE   \* MERGEFORMAT</w:instrText>
        </w:r>
        <w:r w:rsidRPr="00EA0998">
          <w:rPr>
            <w:rFonts w:ascii="Arial" w:hAnsi="Arial" w:cs="Arial"/>
            <w:sz w:val="20"/>
            <w:szCs w:val="20"/>
          </w:rPr>
          <w:fldChar w:fldCharType="separate"/>
        </w:r>
        <w:r w:rsidR="00E4032A">
          <w:rPr>
            <w:rFonts w:ascii="Arial" w:hAnsi="Arial" w:cs="Arial"/>
            <w:noProof/>
            <w:sz w:val="20"/>
            <w:szCs w:val="20"/>
          </w:rPr>
          <w:t>2</w:t>
        </w:r>
        <w:r w:rsidRPr="00EA099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1C02C" w14:textId="77777777" w:rsidR="00CD3E4A" w:rsidRDefault="00CD3E4A" w:rsidP="00ED52FD">
      <w:pPr>
        <w:spacing w:after="0" w:line="240" w:lineRule="auto"/>
      </w:pPr>
      <w:r>
        <w:separator/>
      </w:r>
    </w:p>
  </w:footnote>
  <w:footnote w:type="continuationSeparator" w:id="0">
    <w:p w14:paraId="5A518B08" w14:textId="77777777" w:rsidR="00CD3E4A" w:rsidRDefault="00CD3E4A" w:rsidP="00ED5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C31"/>
    <w:multiLevelType w:val="hybridMultilevel"/>
    <w:tmpl w:val="04C2EEDE"/>
    <w:lvl w:ilvl="0" w:tplc="FAA66296">
      <w:start w:val="1"/>
      <w:numFmt w:val="bullet"/>
      <w:lvlText w:val="-"/>
      <w:lvlJc w:val="left"/>
      <w:pPr>
        <w:ind w:left="360" w:hanging="360"/>
      </w:pPr>
      <w:rPr>
        <w:rFonts w:ascii="Courier New" w:hAnsi="Courier New" w:hint="default"/>
      </w:rPr>
    </w:lvl>
    <w:lvl w:ilvl="1" w:tplc="04150003">
      <w:start w:val="1"/>
      <w:numFmt w:val="bullet"/>
      <w:lvlText w:val="o"/>
      <w:lvlJc w:val="left"/>
      <w:pPr>
        <w:ind w:left="643"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9670D6"/>
    <w:multiLevelType w:val="hybridMultilevel"/>
    <w:tmpl w:val="6478ED46"/>
    <w:lvl w:ilvl="0" w:tplc="04150001">
      <w:start w:val="1"/>
      <w:numFmt w:val="bullet"/>
      <w:lvlText w:val=""/>
      <w:lvlJc w:val="left"/>
      <w:pPr>
        <w:ind w:left="360" w:hanging="360"/>
      </w:pPr>
      <w:rPr>
        <w:rFonts w:ascii="Symbol" w:hAnsi="Symbol" w:hint="default"/>
      </w:rPr>
    </w:lvl>
    <w:lvl w:ilvl="1" w:tplc="5CFE08B6">
      <w:start w:val="2017"/>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823F59"/>
    <w:multiLevelType w:val="hybridMultilevel"/>
    <w:tmpl w:val="D91C82FA"/>
    <w:lvl w:ilvl="0" w:tplc="EDC069FE">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C15D35"/>
    <w:multiLevelType w:val="hybridMultilevel"/>
    <w:tmpl w:val="F8FEAA4E"/>
    <w:lvl w:ilvl="0" w:tplc="94A8A04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5400ED"/>
    <w:multiLevelType w:val="hybridMultilevel"/>
    <w:tmpl w:val="FE98CDEA"/>
    <w:lvl w:ilvl="0" w:tplc="FAA66296">
      <w:start w:val="1"/>
      <w:numFmt w:val="bullet"/>
      <w:lvlText w:val="-"/>
      <w:lvlJc w:val="left"/>
      <w:pPr>
        <w:ind w:left="720" w:hanging="360"/>
      </w:pPr>
      <w:rPr>
        <w:rFonts w:ascii="Courier New" w:hAnsi="Courier New" w:hint="default"/>
      </w:rPr>
    </w:lvl>
    <w:lvl w:ilvl="1" w:tplc="FAA66296">
      <w:start w:val="1"/>
      <w:numFmt w:val="bullet"/>
      <w:lvlText w:val="-"/>
      <w:lvlJc w:val="left"/>
      <w:pPr>
        <w:ind w:left="36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2D0E7D"/>
    <w:multiLevelType w:val="multilevel"/>
    <w:tmpl w:val="72D259FA"/>
    <w:lvl w:ilvl="0">
      <w:start w:val="1"/>
      <w:numFmt w:val="upperRoman"/>
      <w:pStyle w:val="spis1"/>
      <w:lvlText w:val="%1."/>
      <w:lvlJc w:val="left"/>
      <w:pPr>
        <w:ind w:left="340" w:hanging="340"/>
      </w:pPr>
      <w:rPr>
        <w:rFonts w:ascii="Arial" w:eastAsiaTheme="minorHAnsi" w:hAnsi="Arial" w:cs="Arial"/>
      </w:rPr>
    </w:lvl>
    <w:lvl w:ilvl="1">
      <w:start w:val="1"/>
      <w:numFmt w:val="decimal"/>
      <w:pStyle w:val="spis2"/>
      <w:lvlText w:val="%2."/>
      <w:lvlJc w:val="left"/>
      <w:pPr>
        <w:ind w:left="3885" w:hanging="340"/>
      </w:pPr>
      <w:rPr>
        <w:rFonts w:hint="default"/>
      </w:rPr>
    </w:lvl>
    <w:lvl w:ilvl="2">
      <w:start w:val="1"/>
      <w:numFmt w:val="decimal"/>
      <w:pStyle w:val="spis3"/>
      <w:lvlText w:val="%2.%3."/>
      <w:lvlJc w:val="right"/>
      <w:pPr>
        <w:ind w:left="454"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B40642B"/>
    <w:multiLevelType w:val="hybridMultilevel"/>
    <w:tmpl w:val="4392BED8"/>
    <w:lvl w:ilvl="0" w:tplc="FAA6629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603A4ECB"/>
    <w:multiLevelType w:val="hybridMultilevel"/>
    <w:tmpl w:val="F0CC4208"/>
    <w:lvl w:ilvl="0" w:tplc="FAA66296">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70733B05"/>
    <w:multiLevelType w:val="hybridMultilevel"/>
    <w:tmpl w:val="B7886B6E"/>
    <w:lvl w:ilvl="0" w:tplc="EDC069FE">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6"/>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14"/>
    <w:rsid w:val="000008F5"/>
    <w:rsid w:val="00002236"/>
    <w:rsid w:val="00002763"/>
    <w:rsid w:val="00004CA6"/>
    <w:rsid w:val="000054D8"/>
    <w:rsid w:val="00005765"/>
    <w:rsid w:val="000057AC"/>
    <w:rsid w:val="00005A93"/>
    <w:rsid w:val="0000656B"/>
    <w:rsid w:val="00006587"/>
    <w:rsid w:val="00013699"/>
    <w:rsid w:val="00014A5C"/>
    <w:rsid w:val="00021CEF"/>
    <w:rsid w:val="00024763"/>
    <w:rsid w:val="0002520E"/>
    <w:rsid w:val="00026E2D"/>
    <w:rsid w:val="00042F1F"/>
    <w:rsid w:val="00043912"/>
    <w:rsid w:val="00044D69"/>
    <w:rsid w:val="00045733"/>
    <w:rsid w:val="00046561"/>
    <w:rsid w:val="00046C80"/>
    <w:rsid w:val="00047818"/>
    <w:rsid w:val="000532F3"/>
    <w:rsid w:val="000547D8"/>
    <w:rsid w:val="00055D0D"/>
    <w:rsid w:val="00057623"/>
    <w:rsid w:val="0006014B"/>
    <w:rsid w:val="00060DF5"/>
    <w:rsid w:val="00063CCF"/>
    <w:rsid w:val="00070BD5"/>
    <w:rsid w:val="00071DFA"/>
    <w:rsid w:val="00073994"/>
    <w:rsid w:val="00074B48"/>
    <w:rsid w:val="000753E9"/>
    <w:rsid w:val="000758EE"/>
    <w:rsid w:val="00075A2C"/>
    <w:rsid w:val="00084452"/>
    <w:rsid w:val="00084F5E"/>
    <w:rsid w:val="00086401"/>
    <w:rsid w:val="00093906"/>
    <w:rsid w:val="000950C3"/>
    <w:rsid w:val="00096B65"/>
    <w:rsid w:val="000A0841"/>
    <w:rsid w:val="000A27F5"/>
    <w:rsid w:val="000A3E83"/>
    <w:rsid w:val="000A740F"/>
    <w:rsid w:val="000A7CE8"/>
    <w:rsid w:val="000B0DEA"/>
    <w:rsid w:val="000B4658"/>
    <w:rsid w:val="000C1997"/>
    <w:rsid w:val="000C1D09"/>
    <w:rsid w:val="000C6A44"/>
    <w:rsid w:val="000C7A8A"/>
    <w:rsid w:val="000C7E5F"/>
    <w:rsid w:val="000D0825"/>
    <w:rsid w:val="000D09E5"/>
    <w:rsid w:val="000D2C6F"/>
    <w:rsid w:val="000D3661"/>
    <w:rsid w:val="000D5AC2"/>
    <w:rsid w:val="000E1406"/>
    <w:rsid w:val="000E31B3"/>
    <w:rsid w:val="000E50F1"/>
    <w:rsid w:val="000F19F7"/>
    <w:rsid w:val="000F2F33"/>
    <w:rsid w:val="000F55C8"/>
    <w:rsid w:val="00101016"/>
    <w:rsid w:val="00104B6C"/>
    <w:rsid w:val="00106848"/>
    <w:rsid w:val="00111A43"/>
    <w:rsid w:val="00115508"/>
    <w:rsid w:val="001175D9"/>
    <w:rsid w:val="00117D95"/>
    <w:rsid w:val="00117E7E"/>
    <w:rsid w:val="00122365"/>
    <w:rsid w:val="0012296C"/>
    <w:rsid w:val="0012456E"/>
    <w:rsid w:val="001245EF"/>
    <w:rsid w:val="00125A94"/>
    <w:rsid w:val="001265FD"/>
    <w:rsid w:val="001267D7"/>
    <w:rsid w:val="001314F7"/>
    <w:rsid w:val="00133665"/>
    <w:rsid w:val="00134510"/>
    <w:rsid w:val="001404CF"/>
    <w:rsid w:val="0014580B"/>
    <w:rsid w:val="001461B7"/>
    <w:rsid w:val="00147745"/>
    <w:rsid w:val="00147962"/>
    <w:rsid w:val="00150C6A"/>
    <w:rsid w:val="001541C1"/>
    <w:rsid w:val="001601A8"/>
    <w:rsid w:val="00160493"/>
    <w:rsid w:val="001619F3"/>
    <w:rsid w:val="00163F81"/>
    <w:rsid w:val="00165BAF"/>
    <w:rsid w:val="00165EC8"/>
    <w:rsid w:val="00166D7E"/>
    <w:rsid w:val="0017019A"/>
    <w:rsid w:val="00171131"/>
    <w:rsid w:val="001756B0"/>
    <w:rsid w:val="00181198"/>
    <w:rsid w:val="001849A3"/>
    <w:rsid w:val="00190D2C"/>
    <w:rsid w:val="00193CE8"/>
    <w:rsid w:val="0019610C"/>
    <w:rsid w:val="00196F27"/>
    <w:rsid w:val="001A1483"/>
    <w:rsid w:val="001A25C2"/>
    <w:rsid w:val="001A3DEE"/>
    <w:rsid w:val="001A5C34"/>
    <w:rsid w:val="001B1BDD"/>
    <w:rsid w:val="001B529C"/>
    <w:rsid w:val="001C2BCA"/>
    <w:rsid w:val="001C7873"/>
    <w:rsid w:val="001E23C7"/>
    <w:rsid w:val="001E2E61"/>
    <w:rsid w:val="001E55BE"/>
    <w:rsid w:val="001F2D17"/>
    <w:rsid w:val="00201E2E"/>
    <w:rsid w:val="0021586A"/>
    <w:rsid w:val="0022183C"/>
    <w:rsid w:val="002219C5"/>
    <w:rsid w:val="00226428"/>
    <w:rsid w:val="00232DB6"/>
    <w:rsid w:val="00235D16"/>
    <w:rsid w:val="00236646"/>
    <w:rsid w:val="002378ED"/>
    <w:rsid w:val="002415C2"/>
    <w:rsid w:val="002611AF"/>
    <w:rsid w:val="0026397C"/>
    <w:rsid w:val="00263D72"/>
    <w:rsid w:val="00264524"/>
    <w:rsid w:val="00265967"/>
    <w:rsid w:val="002670C5"/>
    <w:rsid w:val="0027467E"/>
    <w:rsid w:val="00282EB3"/>
    <w:rsid w:val="0028486A"/>
    <w:rsid w:val="00286187"/>
    <w:rsid w:val="00292A83"/>
    <w:rsid w:val="002949E6"/>
    <w:rsid w:val="002A11C9"/>
    <w:rsid w:val="002A6681"/>
    <w:rsid w:val="002A78F1"/>
    <w:rsid w:val="002A7EB9"/>
    <w:rsid w:val="002B4D80"/>
    <w:rsid w:val="002B701C"/>
    <w:rsid w:val="002B72C2"/>
    <w:rsid w:val="002C29B7"/>
    <w:rsid w:val="002C5450"/>
    <w:rsid w:val="002D0E99"/>
    <w:rsid w:val="002D4AFF"/>
    <w:rsid w:val="002D5DC8"/>
    <w:rsid w:val="002E0BF2"/>
    <w:rsid w:val="002E3557"/>
    <w:rsid w:val="002F05E7"/>
    <w:rsid w:val="002F5968"/>
    <w:rsid w:val="002F6882"/>
    <w:rsid w:val="002F7850"/>
    <w:rsid w:val="00312342"/>
    <w:rsid w:val="00313A51"/>
    <w:rsid w:val="003165C6"/>
    <w:rsid w:val="003218A5"/>
    <w:rsid w:val="00321C79"/>
    <w:rsid w:val="00322100"/>
    <w:rsid w:val="0032470F"/>
    <w:rsid w:val="0032579D"/>
    <w:rsid w:val="00326E7C"/>
    <w:rsid w:val="0034118F"/>
    <w:rsid w:val="00343278"/>
    <w:rsid w:val="00344793"/>
    <w:rsid w:val="00347DF2"/>
    <w:rsid w:val="00355524"/>
    <w:rsid w:val="00370FBA"/>
    <w:rsid w:val="003710F0"/>
    <w:rsid w:val="00371182"/>
    <w:rsid w:val="00376392"/>
    <w:rsid w:val="003800A6"/>
    <w:rsid w:val="003812BF"/>
    <w:rsid w:val="003817CC"/>
    <w:rsid w:val="0038269E"/>
    <w:rsid w:val="00385C07"/>
    <w:rsid w:val="00387C9E"/>
    <w:rsid w:val="0039175C"/>
    <w:rsid w:val="00393035"/>
    <w:rsid w:val="00394F01"/>
    <w:rsid w:val="00397F1E"/>
    <w:rsid w:val="003A0F53"/>
    <w:rsid w:val="003A2406"/>
    <w:rsid w:val="003A63A8"/>
    <w:rsid w:val="003A6ACE"/>
    <w:rsid w:val="003A6B55"/>
    <w:rsid w:val="003B0705"/>
    <w:rsid w:val="003B120E"/>
    <w:rsid w:val="003B3A83"/>
    <w:rsid w:val="003C478E"/>
    <w:rsid w:val="003C4BFF"/>
    <w:rsid w:val="003C551C"/>
    <w:rsid w:val="003C7C0E"/>
    <w:rsid w:val="003D030C"/>
    <w:rsid w:val="003D056D"/>
    <w:rsid w:val="003D130A"/>
    <w:rsid w:val="003E29E4"/>
    <w:rsid w:val="003E2EC4"/>
    <w:rsid w:val="003E46D6"/>
    <w:rsid w:val="003E4EB7"/>
    <w:rsid w:val="003F0938"/>
    <w:rsid w:val="003F218A"/>
    <w:rsid w:val="003F5EC3"/>
    <w:rsid w:val="00401EFC"/>
    <w:rsid w:val="00406AF1"/>
    <w:rsid w:val="004160CF"/>
    <w:rsid w:val="00417A8F"/>
    <w:rsid w:val="004230D3"/>
    <w:rsid w:val="00423763"/>
    <w:rsid w:val="00430BB5"/>
    <w:rsid w:val="0044268B"/>
    <w:rsid w:val="00452285"/>
    <w:rsid w:val="00456693"/>
    <w:rsid w:val="004604BF"/>
    <w:rsid w:val="0046241A"/>
    <w:rsid w:val="0047195C"/>
    <w:rsid w:val="004732F5"/>
    <w:rsid w:val="00474B75"/>
    <w:rsid w:val="00476FC1"/>
    <w:rsid w:val="00481807"/>
    <w:rsid w:val="0048390A"/>
    <w:rsid w:val="004875E4"/>
    <w:rsid w:val="00491BC8"/>
    <w:rsid w:val="00493717"/>
    <w:rsid w:val="00494075"/>
    <w:rsid w:val="004A55DA"/>
    <w:rsid w:val="004A5C12"/>
    <w:rsid w:val="004A5C56"/>
    <w:rsid w:val="004B23CA"/>
    <w:rsid w:val="004B3FC9"/>
    <w:rsid w:val="004B65BF"/>
    <w:rsid w:val="004B71FB"/>
    <w:rsid w:val="004C0689"/>
    <w:rsid w:val="004C4A06"/>
    <w:rsid w:val="004C7461"/>
    <w:rsid w:val="004D2702"/>
    <w:rsid w:val="004E0769"/>
    <w:rsid w:val="004E2400"/>
    <w:rsid w:val="004E2523"/>
    <w:rsid w:val="004E6549"/>
    <w:rsid w:val="004E7D4C"/>
    <w:rsid w:val="004F0691"/>
    <w:rsid w:val="004F0C3D"/>
    <w:rsid w:val="004F0E62"/>
    <w:rsid w:val="004F169B"/>
    <w:rsid w:val="004F259D"/>
    <w:rsid w:val="004F418A"/>
    <w:rsid w:val="00502EF6"/>
    <w:rsid w:val="00504012"/>
    <w:rsid w:val="00506FF3"/>
    <w:rsid w:val="005103B2"/>
    <w:rsid w:val="005114CA"/>
    <w:rsid w:val="00511D9E"/>
    <w:rsid w:val="00526EEC"/>
    <w:rsid w:val="0053441B"/>
    <w:rsid w:val="005370FD"/>
    <w:rsid w:val="00540C6C"/>
    <w:rsid w:val="00544EAF"/>
    <w:rsid w:val="0055621D"/>
    <w:rsid w:val="00557CC2"/>
    <w:rsid w:val="00564966"/>
    <w:rsid w:val="00564CA3"/>
    <w:rsid w:val="00571128"/>
    <w:rsid w:val="0057231E"/>
    <w:rsid w:val="005758B1"/>
    <w:rsid w:val="005758BF"/>
    <w:rsid w:val="005831BC"/>
    <w:rsid w:val="00584910"/>
    <w:rsid w:val="00590988"/>
    <w:rsid w:val="00596E08"/>
    <w:rsid w:val="005972BF"/>
    <w:rsid w:val="005A1CF9"/>
    <w:rsid w:val="005A7E48"/>
    <w:rsid w:val="005B2474"/>
    <w:rsid w:val="005B2D33"/>
    <w:rsid w:val="005B2FF0"/>
    <w:rsid w:val="005B5FD0"/>
    <w:rsid w:val="005B6CC6"/>
    <w:rsid w:val="005C5EE9"/>
    <w:rsid w:val="005C699D"/>
    <w:rsid w:val="005C6A22"/>
    <w:rsid w:val="005D1561"/>
    <w:rsid w:val="005D2C13"/>
    <w:rsid w:val="005D4831"/>
    <w:rsid w:val="005E1840"/>
    <w:rsid w:val="005E2CC4"/>
    <w:rsid w:val="005E4C5E"/>
    <w:rsid w:val="005E6A72"/>
    <w:rsid w:val="005E749E"/>
    <w:rsid w:val="005F350A"/>
    <w:rsid w:val="005F45D5"/>
    <w:rsid w:val="005F65E9"/>
    <w:rsid w:val="006018EA"/>
    <w:rsid w:val="00604B47"/>
    <w:rsid w:val="00605DEF"/>
    <w:rsid w:val="00605DFC"/>
    <w:rsid w:val="00612CAB"/>
    <w:rsid w:val="0061398F"/>
    <w:rsid w:val="00617125"/>
    <w:rsid w:val="00620F9C"/>
    <w:rsid w:val="00622F40"/>
    <w:rsid w:val="0062413E"/>
    <w:rsid w:val="0062559A"/>
    <w:rsid w:val="0062667B"/>
    <w:rsid w:val="00635214"/>
    <w:rsid w:val="00643125"/>
    <w:rsid w:val="00644C1C"/>
    <w:rsid w:val="00645D80"/>
    <w:rsid w:val="006506EE"/>
    <w:rsid w:val="00652867"/>
    <w:rsid w:val="00652BD0"/>
    <w:rsid w:val="00663693"/>
    <w:rsid w:val="00665DF7"/>
    <w:rsid w:val="006754FF"/>
    <w:rsid w:val="00687EB6"/>
    <w:rsid w:val="0069123A"/>
    <w:rsid w:val="006965E6"/>
    <w:rsid w:val="0069670F"/>
    <w:rsid w:val="006A3586"/>
    <w:rsid w:val="006A3AE1"/>
    <w:rsid w:val="006B1BBE"/>
    <w:rsid w:val="006B20D5"/>
    <w:rsid w:val="006B5972"/>
    <w:rsid w:val="006C02F7"/>
    <w:rsid w:val="006C0813"/>
    <w:rsid w:val="006C7C51"/>
    <w:rsid w:val="006D20F9"/>
    <w:rsid w:val="006D2A99"/>
    <w:rsid w:val="006D52D8"/>
    <w:rsid w:val="006D5507"/>
    <w:rsid w:val="006D6E07"/>
    <w:rsid w:val="006E1E30"/>
    <w:rsid w:val="006E3B53"/>
    <w:rsid w:val="007056ED"/>
    <w:rsid w:val="00705771"/>
    <w:rsid w:val="00707260"/>
    <w:rsid w:val="00711FE8"/>
    <w:rsid w:val="007126E6"/>
    <w:rsid w:val="00712C6E"/>
    <w:rsid w:val="00715BAF"/>
    <w:rsid w:val="00716B73"/>
    <w:rsid w:val="00723111"/>
    <w:rsid w:val="00731248"/>
    <w:rsid w:val="0073453D"/>
    <w:rsid w:val="00751C3A"/>
    <w:rsid w:val="00754282"/>
    <w:rsid w:val="00756039"/>
    <w:rsid w:val="007576D3"/>
    <w:rsid w:val="00765351"/>
    <w:rsid w:val="00771ABB"/>
    <w:rsid w:val="007738E5"/>
    <w:rsid w:val="00773DBA"/>
    <w:rsid w:val="00782ECA"/>
    <w:rsid w:val="007848BA"/>
    <w:rsid w:val="0078541F"/>
    <w:rsid w:val="00797408"/>
    <w:rsid w:val="007A3533"/>
    <w:rsid w:val="007B06AD"/>
    <w:rsid w:val="007B2764"/>
    <w:rsid w:val="007B2B53"/>
    <w:rsid w:val="007B747B"/>
    <w:rsid w:val="007C05FF"/>
    <w:rsid w:val="007C08C1"/>
    <w:rsid w:val="007C27E7"/>
    <w:rsid w:val="007C534F"/>
    <w:rsid w:val="007C6DD0"/>
    <w:rsid w:val="007D26D0"/>
    <w:rsid w:val="007D2C72"/>
    <w:rsid w:val="007D3909"/>
    <w:rsid w:val="007E3A80"/>
    <w:rsid w:val="007E4B12"/>
    <w:rsid w:val="007E557D"/>
    <w:rsid w:val="007E5AEB"/>
    <w:rsid w:val="007E764E"/>
    <w:rsid w:val="007F608C"/>
    <w:rsid w:val="008008B1"/>
    <w:rsid w:val="008008CB"/>
    <w:rsid w:val="00802501"/>
    <w:rsid w:val="008058EC"/>
    <w:rsid w:val="00811993"/>
    <w:rsid w:val="00811B02"/>
    <w:rsid w:val="00813C79"/>
    <w:rsid w:val="00814527"/>
    <w:rsid w:val="00816109"/>
    <w:rsid w:val="008161F9"/>
    <w:rsid w:val="00816614"/>
    <w:rsid w:val="008248C8"/>
    <w:rsid w:val="00826367"/>
    <w:rsid w:val="00826EA3"/>
    <w:rsid w:val="00830EAD"/>
    <w:rsid w:val="008324CD"/>
    <w:rsid w:val="00841E16"/>
    <w:rsid w:val="008615A9"/>
    <w:rsid w:val="008653E5"/>
    <w:rsid w:val="00872891"/>
    <w:rsid w:val="0087762D"/>
    <w:rsid w:val="00886684"/>
    <w:rsid w:val="008935F4"/>
    <w:rsid w:val="00894738"/>
    <w:rsid w:val="008A6BCE"/>
    <w:rsid w:val="008A701A"/>
    <w:rsid w:val="008A7150"/>
    <w:rsid w:val="008A7DB1"/>
    <w:rsid w:val="008B0DB3"/>
    <w:rsid w:val="008B579D"/>
    <w:rsid w:val="008B6EE8"/>
    <w:rsid w:val="008D2A07"/>
    <w:rsid w:val="008D69F3"/>
    <w:rsid w:val="008F2EEF"/>
    <w:rsid w:val="008F43F8"/>
    <w:rsid w:val="008F7711"/>
    <w:rsid w:val="00910DE7"/>
    <w:rsid w:val="00912C27"/>
    <w:rsid w:val="00920806"/>
    <w:rsid w:val="00921756"/>
    <w:rsid w:val="00922474"/>
    <w:rsid w:val="00922B3B"/>
    <w:rsid w:val="00923095"/>
    <w:rsid w:val="0092314D"/>
    <w:rsid w:val="00923ADB"/>
    <w:rsid w:val="00926CBA"/>
    <w:rsid w:val="00927C77"/>
    <w:rsid w:val="00931643"/>
    <w:rsid w:val="00933040"/>
    <w:rsid w:val="00933374"/>
    <w:rsid w:val="00946D6C"/>
    <w:rsid w:val="00950D81"/>
    <w:rsid w:val="00952E99"/>
    <w:rsid w:val="00954ADB"/>
    <w:rsid w:val="00957C1F"/>
    <w:rsid w:val="009645B8"/>
    <w:rsid w:val="00966D2A"/>
    <w:rsid w:val="00970285"/>
    <w:rsid w:val="00972604"/>
    <w:rsid w:val="009756AF"/>
    <w:rsid w:val="00986ABA"/>
    <w:rsid w:val="009877AD"/>
    <w:rsid w:val="0099003B"/>
    <w:rsid w:val="00991758"/>
    <w:rsid w:val="00996A95"/>
    <w:rsid w:val="00996B67"/>
    <w:rsid w:val="009A2BC8"/>
    <w:rsid w:val="009A361D"/>
    <w:rsid w:val="009A614B"/>
    <w:rsid w:val="009A707E"/>
    <w:rsid w:val="009B0051"/>
    <w:rsid w:val="009B007B"/>
    <w:rsid w:val="009B01C1"/>
    <w:rsid w:val="009B4701"/>
    <w:rsid w:val="009B4B3C"/>
    <w:rsid w:val="009C0CD5"/>
    <w:rsid w:val="009C16B4"/>
    <w:rsid w:val="009C3056"/>
    <w:rsid w:val="009C5FC9"/>
    <w:rsid w:val="009C6EEF"/>
    <w:rsid w:val="009D3443"/>
    <w:rsid w:val="009D5E40"/>
    <w:rsid w:val="009E04E5"/>
    <w:rsid w:val="009E1D7A"/>
    <w:rsid w:val="009E792F"/>
    <w:rsid w:val="009F206C"/>
    <w:rsid w:val="00A0553A"/>
    <w:rsid w:val="00A14A59"/>
    <w:rsid w:val="00A15F3D"/>
    <w:rsid w:val="00A20194"/>
    <w:rsid w:val="00A20197"/>
    <w:rsid w:val="00A23C14"/>
    <w:rsid w:val="00A2421D"/>
    <w:rsid w:val="00A24F93"/>
    <w:rsid w:val="00A25755"/>
    <w:rsid w:val="00A26E3B"/>
    <w:rsid w:val="00A303EE"/>
    <w:rsid w:val="00A359A5"/>
    <w:rsid w:val="00A368C2"/>
    <w:rsid w:val="00A415B2"/>
    <w:rsid w:val="00A4181D"/>
    <w:rsid w:val="00A434BA"/>
    <w:rsid w:val="00A45499"/>
    <w:rsid w:val="00A506EE"/>
    <w:rsid w:val="00A55D7B"/>
    <w:rsid w:val="00A56100"/>
    <w:rsid w:val="00A57E41"/>
    <w:rsid w:val="00A61E8D"/>
    <w:rsid w:val="00A6459C"/>
    <w:rsid w:val="00A64C38"/>
    <w:rsid w:val="00A72F8E"/>
    <w:rsid w:val="00A73036"/>
    <w:rsid w:val="00A80084"/>
    <w:rsid w:val="00A80350"/>
    <w:rsid w:val="00A82B47"/>
    <w:rsid w:val="00A83E12"/>
    <w:rsid w:val="00A90D43"/>
    <w:rsid w:val="00A931DF"/>
    <w:rsid w:val="00A96116"/>
    <w:rsid w:val="00A9619A"/>
    <w:rsid w:val="00A96BA0"/>
    <w:rsid w:val="00A97075"/>
    <w:rsid w:val="00A972E8"/>
    <w:rsid w:val="00AA2DBE"/>
    <w:rsid w:val="00AA3D8A"/>
    <w:rsid w:val="00AB1276"/>
    <w:rsid w:val="00AB180A"/>
    <w:rsid w:val="00AB40F2"/>
    <w:rsid w:val="00AB484C"/>
    <w:rsid w:val="00AB5F8E"/>
    <w:rsid w:val="00AC1656"/>
    <w:rsid w:val="00AC193B"/>
    <w:rsid w:val="00AC1D91"/>
    <w:rsid w:val="00AC425A"/>
    <w:rsid w:val="00AD46E0"/>
    <w:rsid w:val="00AD509F"/>
    <w:rsid w:val="00AD617F"/>
    <w:rsid w:val="00AD7AF3"/>
    <w:rsid w:val="00AE0321"/>
    <w:rsid w:val="00AF78AF"/>
    <w:rsid w:val="00AF7E69"/>
    <w:rsid w:val="00B0292A"/>
    <w:rsid w:val="00B05FED"/>
    <w:rsid w:val="00B06538"/>
    <w:rsid w:val="00B0783C"/>
    <w:rsid w:val="00B10167"/>
    <w:rsid w:val="00B1064E"/>
    <w:rsid w:val="00B10F36"/>
    <w:rsid w:val="00B12B7F"/>
    <w:rsid w:val="00B13F3B"/>
    <w:rsid w:val="00B1727C"/>
    <w:rsid w:val="00B22384"/>
    <w:rsid w:val="00B2707D"/>
    <w:rsid w:val="00B3154C"/>
    <w:rsid w:val="00B34BBB"/>
    <w:rsid w:val="00B35138"/>
    <w:rsid w:val="00B35340"/>
    <w:rsid w:val="00B36BB9"/>
    <w:rsid w:val="00B37479"/>
    <w:rsid w:val="00B40400"/>
    <w:rsid w:val="00B42A7A"/>
    <w:rsid w:val="00B4634C"/>
    <w:rsid w:val="00B54CDE"/>
    <w:rsid w:val="00B625F6"/>
    <w:rsid w:val="00B63E85"/>
    <w:rsid w:val="00B64F55"/>
    <w:rsid w:val="00B7130F"/>
    <w:rsid w:val="00B73D30"/>
    <w:rsid w:val="00B75B0B"/>
    <w:rsid w:val="00B77795"/>
    <w:rsid w:val="00B80990"/>
    <w:rsid w:val="00B9126A"/>
    <w:rsid w:val="00B95B27"/>
    <w:rsid w:val="00BA19FC"/>
    <w:rsid w:val="00BA2C30"/>
    <w:rsid w:val="00BA3673"/>
    <w:rsid w:val="00BA6D9A"/>
    <w:rsid w:val="00BB4C39"/>
    <w:rsid w:val="00BC179D"/>
    <w:rsid w:val="00BC545D"/>
    <w:rsid w:val="00BC5D9C"/>
    <w:rsid w:val="00BC71A3"/>
    <w:rsid w:val="00BD27DE"/>
    <w:rsid w:val="00BD35AF"/>
    <w:rsid w:val="00BD690C"/>
    <w:rsid w:val="00BE0611"/>
    <w:rsid w:val="00BE2980"/>
    <w:rsid w:val="00BF0ED3"/>
    <w:rsid w:val="00BF107A"/>
    <w:rsid w:val="00BF4E52"/>
    <w:rsid w:val="00BF62BF"/>
    <w:rsid w:val="00BF76C0"/>
    <w:rsid w:val="00C0146E"/>
    <w:rsid w:val="00C05811"/>
    <w:rsid w:val="00C071C5"/>
    <w:rsid w:val="00C12207"/>
    <w:rsid w:val="00C13633"/>
    <w:rsid w:val="00C1493D"/>
    <w:rsid w:val="00C30368"/>
    <w:rsid w:val="00C32A42"/>
    <w:rsid w:val="00C33A50"/>
    <w:rsid w:val="00C33FD6"/>
    <w:rsid w:val="00C377D8"/>
    <w:rsid w:val="00C41FF9"/>
    <w:rsid w:val="00C54C68"/>
    <w:rsid w:val="00C54EC0"/>
    <w:rsid w:val="00C55D52"/>
    <w:rsid w:val="00C56D19"/>
    <w:rsid w:val="00C57140"/>
    <w:rsid w:val="00C62DB6"/>
    <w:rsid w:val="00C649E7"/>
    <w:rsid w:val="00C64B02"/>
    <w:rsid w:val="00C65586"/>
    <w:rsid w:val="00C73A5D"/>
    <w:rsid w:val="00C73B19"/>
    <w:rsid w:val="00C75A7E"/>
    <w:rsid w:val="00C76A66"/>
    <w:rsid w:val="00C87ED8"/>
    <w:rsid w:val="00C929E4"/>
    <w:rsid w:val="00C93BC0"/>
    <w:rsid w:val="00C9669C"/>
    <w:rsid w:val="00CA430F"/>
    <w:rsid w:val="00CA5D89"/>
    <w:rsid w:val="00CA6507"/>
    <w:rsid w:val="00CA6CE7"/>
    <w:rsid w:val="00CB2406"/>
    <w:rsid w:val="00CC0B5C"/>
    <w:rsid w:val="00CC10DF"/>
    <w:rsid w:val="00CC2570"/>
    <w:rsid w:val="00CC2F36"/>
    <w:rsid w:val="00CD28A4"/>
    <w:rsid w:val="00CD2AFA"/>
    <w:rsid w:val="00CD3E4A"/>
    <w:rsid w:val="00CD6094"/>
    <w:rsid w:val="00CD7387"/>
    <w:rsid w:val="00CE48DC"/>
    <w:rsid w:val="00CE5455"/>
    <w:rsid w:val="00CE698D"/>
    <w:rsid w:val="00CF4166"/>
    <w:rsid w:val="00CF49DE"/>
    <w:rsid w:val="00CF7835"/>
    <w:rsid w:val="00CF796F"/>
    <w:rsid w:val="00D0056F"/>
    <w:rsid w:val="00D017DB"/>
    <w:rsid w:val="00D01908"/>
    <w:rsid w:val="00D07BA4"/>
    <w:rsid w:val="00D12FF6"/>
    <w:rsid w:val="00D16E7F"/>
    <w:rsid w:val="00D16FF7"/>
    <w:rsid w:val="00D3001D"/>
    <w:rsid w:val="00D32D59"/>
    <w:rsid w:val="00D337E6"/>
    <w:rsid w:val="00D343FD"/>
    <w:rsid w:val="00D36274"/>
    <w:rsid w:val="00D422D2"/>
    <w:rsid w:val="00D422DD"/>
    <w:rsid w:val="00D4571F"/>
    <w:rsid w:val="00D463B5"/>
    <w:rsid w:val="00D47D25"/>
    <w:rsid w:val="00D50194"/>
    <w:rsid w:val="00D50E14"/>
    <w:rsid w:val="00D51FF6"/>
    <w:rsid w:val="00D52F29"/>
    <w:rsid w:val="00D578C1"/>
    <w:rsid w:val="00D60CB4"/>
    <w:rsid w:val="00D70250"/>
    <w:rsid w:val="00D70973"/>
    <w:rsid w:val="00D71F2D"/>
    <w:rsid w:val="00D73565"/>
    <w:rsid w:val="00D753D7"/>
    <w:rsid w:val="00D8339E"/>
    <w:rsid w:val="00D844C3"/>
    <w:rsid w:val="00D845C8"/>
    <w:rsid w:val="00D902DC"/>
    <w:rsid w:val="00D92116"/>
    <w:rsid w:val="00D9460E"/>
    <w:rsid w:val="00D97A21"/>
    <w:rsid w:val="00DA2E90"/>
    <w:rsid w:val="00DB1C69"/>
    <w:rsid w:val="00DB3A78"/>
    <w:rsid w:val="00DC212B"/>
    <w:rsid w:val="00DD10A8"/>
    <w:rsid w:val="00DD7969"/>
    <w:rsid w:val="00DE3F7B"/>
    <w:rsid w:val="00DE464F"/>
    <w:rsid w:val="00DE58D9"/>
    <w:rsid w:val="00DF7D7C"/>
    <w:rsid w:val="00E01D60"/>
    <w:rsid w:val="00E04B5B"/>
    <w:rsid w:val="00E05869"/>
    <w:rsid w:val="00E061DB"/>
    <w:rsid w:val="00E1350B"/>
    <w:rsid w:val="00E13A33"/>
    <w:rsid w:val="00E13C01"/>
    <w:rsid w:val="00E1454B"/>
    <w:rsid w:val="00E23CCA"/>
    <w:rsid w:val="00E30D38"/>
    <w:rsid w:val="00E30F9F"/>
    <w:rsid w:val="00E34A66"/>
    <w:rsid w:val="00E3757C"/>
    <w:rsid w:val="00E4032A"/>
    <w:rsid w:val="00E4037E"/>
    <w:rsid w:val="00E40E36"/>
    <w:rsid w:val="00E41BEE"/>
    <w:rsid w:val="00E45961"/>
    <w:rsid w:val="00E509FD"/>
    <w:rsid w:val="00E51673"/>
    <w:rsid w:val="00E52665"/>
    <w:rsid w:val="00E61C20"/>
    <w:rsid w:val="00E61F81"/>
    <w:rsid w:val="00E61FD2"/>
    <w:rsid w:val="00E64474"/>
    <w:rsid w:val="00E66EE6"/>
    <w:rsid w:val="00E70C72"/>
    <w:rsid w:val="00E75F8B"/>
    <w:rsid w:val="00E825FF"/>
    <w:rsid w:val="00E82D6F"/>
    <w:rsid w:val="00E872F8"/>
    <w:rsid w:val="00E87F34"/>
    <w:rsid w:val="00E948A2"/>
    <w:rsid w:val="00E961F3"/>
    <w:rsid w:val="00EA0998"/>
    <w:rsid w:val="00EA1C60"/>
    <w:rsid w:val="00EA2C1B"/>
    <w:rsid w:val="00EA2C35"/>
    <w:rsid w:val="00EA5542"/>
    <w:rsid w:val="00EA56A0"/>
    <w:rsid w:val="00EB2FA7"/>
    <w:rsid w:val="00EB4C09"/>
    <w:rsid w:val="00EC1542"/>
    <w:rsid w:val="00ED236D"/>
    <w:rsid w:val="00ED2FF4"/>
    <w:rsid w:val="00ED3AAB"/>
    <w:rsid w:val="00ED3D8A"/>
    <w:rsid w:val="00ED52FD"/>
    <w:rsid w:val="00ED65C2"/>
    <w:rsid w:val="00ED6C6D"/>
    <w:rsid w:val="00ED6F24"/>
    <w:rsid w:val="00EE5B2B"/>
    <w:rsid w:val="00EF3936"/>
    <w:rsid w:val="00F02292"/>
    <w:rsid w:val="00F0257F"/>
    <w:rsid w:val="00F1053B"/>
    <w:rsid w:val="00F16633"/>
    <w:rsid w:val="00F22FD0"/>
    <w:rsid w:val="00F25139"/>
    <w:rsid w:val="00F25388"/>
    <w:rsid w:val="00F31AB2"/>
    <w:rsid w:val="00F32F46"/>
    <w:rsid w:val="00F36E0A"/>
    <w:rsid w:val="00F42290"/>
    <w:rsid w:val="00F45A03"/>
    <w:rsid w:val="00F47B1E"/>
    <w:rsid w:val="00F50BBB"/>
    <w:rsid w:val="00F512DB"/>
    <w:rsid w:val="00F5419D"/>
    <w:rsid w:val="00F55578"/>
    <w:rsid w:val="00F557F1"/>
    <w:rsid w:val="00F558AC"/>
    <w:rsid w:val="00F55BF4"/>
    <w:rsid w:val="00F56CCE"/>
    <w:rsid w:val="00F57ABF"/>
    <w:rsid w:val="00F57D17"/>
    <w:rsid w:val="00F67E64"/>
    <w:rsid w:val="00F70D7F"/>
    <w:rsid w:val="00F721BB"/>
    <w:rsid w:val="00F815B7"/>
    <w:rsid w:val="00F83DCC"/>
    <w:rsid w:val="00F849B8"/>
    <w:rsid w:val="00F87560"/>
    <w:rsid w:val="00F90095"/>
    <w:rsid w:val="00F90AAF"/>
    <w:rsid w:val="00F917CB"/>
    <w:rsid w:val="00F92660"/>
    <w:rsid w:val="00F9729B"/>
    <w:rsid w:val="00FA5CE4"/>
    <w:rsid w:val="00FA7C99"/>
    <w:rsid w:val="00FC1354"/>
    <w:rsid w:val="00FC2E9C"/>
    <w:rsid w:val="00FC6174"/>
    <w:rsid w:val="00FC6956"/>
    <w:rsid w:val="00FD1DED"/>
    <w:rsid w:val="00FD20CD"/>
    <w:rsid w:val="00FD3333"/>
    <w:rsid w:val="00FD37ED"/>
    <w:rsid w:val="00FD6F34"/>
    <w:rsid w:val="00FD78C3"/>
    <w:rsid w:val="00FE1062"/>
    <w:rsid w:val="00FE1BAB"/>
    <w:rsid w:val="00FE266B"/>
    <w:rsid w:val="00FE6401"/>
    <w:rsid w:val="00FF4125"/>
    <w:rsid w:val="00FF7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C39F"/>
  <w15:chartTrackingRefBased/>
  <w15:docId w15:val="{8931C36C-EF8E-4E70-AFFC-D4812ECB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56C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56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56C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
    <w:basedOn w:val="Normalny"/>
    <w:link w:val="AkapitzlistZnak"/>
    <w:uiPriority w:val="34"/>
    <w:qFormat/>
    <w:rsid w:val="00816614"/>
    <w:pPr>
      <w:ind w:left="720"/>
      <w:contextualSpacing/>
    </w:pPr>
  </w:style>
  <w:style w:type="character" w:customStyle="1" w:styleId="Nagwek1Znak">
    <w:name w:val="Nagłówek 1 Znak"/>
    <w:basedOn w:val="Domylnaczcionkaakapitu"/>
    <w:link w:val="Nagwek1"/>
    <w:uiPriority w:val="9"/>
    <w:rsid w:val="00F56CC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F56CC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F56CCE"/>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F56CCE"/>
    <w:rPr>
      <w:color w:val="0563C1" w:themeColor="hyperlink"/>
      <w:u w:val="single"/>
    </w:rPr>
  </w:style>
  <w:style w:type="paragraph" w:styleId="Spistreci1">
    <w:name w:val="toc 1"/>
    <w:basedOn w:val="Normalny"/>
    <w:next w:val="Normalny"/>
    <w:autoRedefine/>
    <w:uiPriority w:val="39"/>
    <w:unhideWhenUsed/>
    <w:rsid w:val="00C75A7E"/>
    <w:pPr>
      <w:keepNext/>
      <w:keepLines/>
      <w:spacing w:after="100"/>
      <w:ind w:left="709" w:hanging="709"/>
    </w:pPr>
  </w:style>
  <w:style w:type="paragraph" w:customStyle="1" w:styleId="spis1">
    <w:name w:val="spis1"/>
    <w:basedOn w:val="Akapitzlist"/>
    <w:link w:val="spis1Znak"/>
    <w:qFormat/>
    <w:rsid w:val="00282EB3"/>
    <w:pPr>
      <w:numPr>
        <w:numId w:val="1"/>
      </w:numPr>
      <w:spacing w:before="240" w:after="240"/>
      <w:contextualSpacing w:val="0"/>
      <w:jc w:val="both"/>
    </w:pPr>
    <w:rPr>
      <w:b/>
    </w:rPr>
  </w:style>
  <w:style w:type="paragraph" w:customStyle="1" w:styleId="spis2">
    <w:name w:val="spis2"/>
    <w:basedOn w:val="Akapitzlist"/>
    <w:link w:val="spis2Znak"/>
    <w:qFormat/>
    <w:rsid w:val="00282EB3"/>
    <w:pPr>
      <w:numPr>
        <w:ilvl w:val="1"/>
        <w:numId w:val="1"/>
      </w:numPr>
      <w:spacing w:before="240" w:after="240"/>
      <w:ind w:left="340"/>
      <w:contextualSpacing w:val="0"/>
      <w:jc w:val="both"/>
    </w:pPr>
    <w:rPr>
      <w:b/>
    </w:rPr>
  </w:style>
  <w:style w:type="character" w:customStyle="1" w:styleId="AkapitzlistZnak">
    <w:name w:val="Akapit z listą Znak"/>
    <w:aliases w:val="List Paragraph1 Znak,BulletC Znak"/>
    <w:basedOn w:val="Domylnaczcionkaakapitu"/>
    <w:link w:val="Akapitzlist"/>
    <w:uiPriority w:val="34"/>
    <w:rsid w:val="00282EB3"/>
  </w:style>
  <w:style w:type="character" w:customStyle="1" w:styleId="spis1Znak">
    <w:name w:val="spis1 Znak"/>
    <w:basedOn w:val="AkapitzlistZnak"/>
    <w:link w:val="spis1"/>
    <w:rsid w:val="00282EB3"/>
    <w:rPr>
      <w:b/>
    </w:rPr>
  </w:style>
  <w:style w:type="paragraph" w:customStyle="1" w:styleId="spis3">
    <w:name w:val="spis3"/>
    <w:basedOn w:val="Akapitzlist"/>
    <w:link w:val="spis3Znak"/>
    <w:qFormat/>
    <w:rsid w:val="00282EB3"/>
    <w:pPr>
      <w:numPr>
        <w:ilvl w:val="2"/>
        <w:numId w:val="1"/>
      </w:numPr>
      <w:spacing w:before="240" w:after="240"/>
      <w:contextualSpacing w:val="0"/>
      <w:jc w:val="both"/>
    </w:pPr>
    <w:rPr>
      <w:b/>
    </w:rPr>
  </w:style>
  <w:style w:type="character" w:customStyle="1" w:styleId="spis2Znak">
    <w:name w:val="spis2 Znak"/>
    <w:basedOn w:val="AkapitzlistZnak"/>
    <w:link w:val="spis2"/>
    <w:rsid w:val="00282EB3"/>
    <w:rPr>
      <w:b/>
    </w:rPr>
  </w:style>
  <w:style w:type="paragraph" w:styleId="Spistreci2">
    <w:name w:val="toc 2"/>
    <w:basedOn w:val="Normalny"/>
    <w:next w:val="Normalny"/>
    <w:autoRedefine/>
    <w:uiPriority w:val="39"/>
    <w:unhideWhenUsed/>
    <w:rsid w:val="00C75A7E"/>
    <w:pPr>
      <w:keepNext/>
      <w:keepLines/>
      <w:spacing w:after="100"/>
      <w:ind w:left="709" w:hanging="709"/>
    </w:pPr>
  </w:style>
  <w:style w:type="character" w:customStyle="1" w:styleId="spis3Znak">
    <w:name w:val="spis3 Znak"/>
    <w:basedOn w:val="AkapitzlistZnak"/>
    <w:link w:val="spis3"/>
    <w:rsid w:val="00282EB3"/>
    <w:rPr>
      <w:b/>
    </w:rPr>
  </w:style>
  <w:style w:type="paragraph" w:styleId="Spistreci3">
    <w:name w:val="toc 3"/>
    <w:basedOn w:val="Normalny"/>
    <w:next w:val="Normalny"/>
    <w:autoRedefine/>
    <w:uiPriority w:val="39"/>
    <w:unhideWhenUsed/>
    <w:rsid w:val="00C75A7E"/>
    <w:pPr>
      <w:keepNext/>
      <w:keepLines/>
      <w:spacing w:after="100"/>
      <w:ind w:left="709" w:hanging="709"/>
    </w:pPr>
  </w:style>
  <w:style w:type="paragraph" w:styleId="Nagwek">
    <w:name w:val="header"/>
    <w:basedOn w:val="Normalny"/>
    <w:link w:val="NagwekZnak"/>
    <w:uiPriority w:val="99"/>
    <w:unhideWhenUsed/>
    <w:rsid w:val="00ED5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52FD"/>
  </w:style>
  <w:style w:type="paragraph" w:styleId="Stopka">
    <w:name w:val="footer"/>
    <w:basedOn w:val="Normalny"/>
    <w:link w:val="StopkaZnak"/>
    <w:uiPriority w:val="99"/>
    <w:unhideWhenUsed/>
    <w:rsid w:val="00ED5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52FD"/>
  </w:style>
  <w:style w:type="paragraph" w:styleId="Spistreci4">
    <w:name w:val="toc 4"/>
    <w:basedOn w:val="Normalny"/>
    <w:next w:val="Normalny"/>
    <w:autoRedefine/>
    <w:uiPriority w:val="39"/>
    <w:unhideWhenUsed/>
    <w:rsid w:val="00715BAF"/>
    <w:pPr>
      <w:spacing w:after="100"/>
      <w:ind w:left="660"/>
    </w:pPr>
    <w:rPr>
      <w:rFonts w:eastAsiaTheme="minorEastAsia"/>
      <w:lang w:eastAsia="pl-PL"/>
    </w:rPr>
  </w:style>
  <w:style w:type="paragraph" w:styleId="Spistreci5">
    <w:name w:val="toc 5"/>
    <w:basedOn w:val="Normalny"/>
    <w:next w:val="Normalny"/>
    <w:autoRedefine/>
    <w:uiPriority w:val="39"/>
    <w:unhideWhenUsed/>
    <w:rsid w:val="00715BAF"/>
    <w:pPr>
      <w:spacing w:after="100"/>
      <w:ind w:left="880"/>
    </w:pPr>
    <w:rPr>
      <w:rFonts w:eastAsiaTheme="minorEastAsia"/>
      <w:lang w:eastAsia="pl-PL"/>
    </w:rPr>
  </w:style>
  <w:style w:type="paragraph" w:styleId="Spistreci6">
    <w:name w:val="toc 6"/>
    <w:basedOn w:val="Normalny"/>
    <w:next w:val="Normalny"/>
    <w:autoRedefine/>
    <w:uiPriority w:val="39"/>
    <w:unhideWhenUsed/>
    <w:rsid w:val="00715BAF"/>
    <w:pPr>
      <w:spacing w:after="100"/>
      <w:ind w:left="1100"/>
    </w:pPr>
    <w:rPr>
      <w:rFonts w:eastAsiaTheme="minorEastAsia"/>
      <w:lang w:eastAsia="pl-PL"/>
    </w:rPr>
  </w:style>
  <w:style w:type="paragraph" w:styleId="Spistreci7">
    <w:name w:val="toc 7"/>
    <w:basedOn w:val="Normalny"/>
    <w:next w:val="Normalny"/>
    <w:autoRedefine/>
    <w:uiPriority w:val="39"/>
    <w:unhideWhenUsed/>
    <w:rsid w:val="00715BAF"/>
    <w:pPr>
      <w:spacing w:after="100"/>
      <w:ind w:left="1320"/>
    </w:pPr>
    <w:rPr>
      <w:rFonts w:eastAsiaTheme="minorEastAsia"/>
      <w:lang w:eastAsia="pl-PL"/>
    </w:rPr>
  </w:style>
  <w:style w:type="paragraph" w:styleId="Spistreci8">
    <w:name w:val="toc 8"/>
    <w:basedOn w:val="Normalny"/>
    <w:next w:val="Normalny"/>
    <w:autoRedefine/>
    <w:uiPriority w:val="39"/>
    <w:unhideWhenUsed/>
    <w:rsid w:val="00715BAF"/>
    <w:pPr>
      <w:spacing w:after="100"/>
      <w:ind w:left="1540"/>
    </w:pPr>
    <w:rPr>
      <w:rFonts w:eastAsiaTheme="minorEastAsia"/>
      <w:lang w:eastAsia="pl-PL"/>
    </w:rPr>
  </w:style>
  <w:style w:type="paragraph" w:styleId="Spistreci9">
    <w:name w:val="toc 9"/>
    <w:basedOn w:val="Normalny"/>
    <w:next w:val="Normalny"/>
    <w:autoRedefine/>
    <w:uiPriority w:val="39"/>
    <w:unhideWhenUsed/>
    <w:rsid w:val="00715BAF"/>
    <w:pPr>
      <w:spacing w:after="100"/>
      <w:ind w:left="1760"/>
    </w:pPr>
    <w:rPr>
      <w:rFonts w:eastAsiaTheme="minorEastAsia"/>
      <w:lang w:eastAsia="pl-PL"/>
    </w:rPr>
  </w:style>
  <w:style w:type="table" w:customStyle="1" w:styleId="TableNormal">
    <w:name w:val="Table Normal"/>
    <w:rsid w:val="00CF783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73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B19"/>
    <w:rPr>
      <w:rFonts w:ascii="Segoe UI" w:hAnsi="Segoe UI" w:cs="Segoe UI"/>
      <w:sz w:val="18"/>
      <w:szCs w:val="18"/>
    </w:rPr>
  </w:style>
  <w:style w:type="table" w:styleId="Tabela-Siatka">
    <w:name w:val="Table Grid"/>
    <w:basedOn w:val="Standardowy"/>
    <w:uiPriority w:val="39"/>
    <w:rsid w:val="0095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F7E69"/>
    <w:pPr>
      <w:spacing w:after="0" w:line="240" w:lineRule="auto"/>
      <w:jc w:val="both"/>
    </w:pPr>
  </w:style>
  <w:style w:type="table" w:customStyle="1" w:styleId="Tabela-Siatka1">
    <w:name w:val="Tabela - Siatka1"/>
    <w:basedOn w:val="Standardowy"/>
    <w:next w:val="Tabela-Siatka"/>
    <w:uiPriority w:val="39"/>
    <w:rsid w:val="001A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1A3D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4157">
      <w:bodyDiv w:val="1"/>
      <w:marLeft w:val="0"/>
      <w:marRight w:val="0"/>
      <w:marTop w:val="0"/>
      <w:marBottom w:val="0"/>
      <w:divBdr>
        <w:top w:val="none" w:sz="0" w:space="0" w:color="auto"/>
        <w:left w:val="none" w:sz="0" w:space="0" w:color="auto"/>
        <w:bottom w:val="none" w:sz="0" w:space="0" w:color="auto"/>
        <w:right w:val="none" w:sz="0" w:space="0" w:color="auto"/>
      </w:divBdr>
    </w:div>
    <w:div w:id="882180446">
      <w:bodyDiv w:val="1"/>
      <w:marLeft w:val="0"/>
      <w:marRight w:val="0"/>
      <w:marTop w:val="0"/>
      <w:marBottom w:val="0"/>
      <w:divBdr>
        <w:top w:val="none" w:sz="0" w:space="0" w:color="auto"/>
        <w:left w:val="none" w:sz="0" w:space="0" w:color="auto"/>
        <w:bottom w:val="none" w:sz="0" w:space="0" w:color="auto"/>
        <w:right w:val="none" w:sz="0" w:space="0" w:color="auto"/>
      </w:divBdr>
    </w:div>
    <w:div w:id="1074081646">
      <w:bodyDiv w:val="1"/>
      <w:marLeft w:val="0"/>
      <w:marRight w:val="0"/>
      <w:marTop w:val="0"/>
      <w:marBottom w:val="0"/>
      <w:divBdr>
        <w:top w:val="none" w:sz="0" w:space="0" w:color="auto"/>
        <w:left w:val="none" w:sz="0" w:space="0" w:color="auto"/>
        <w:bottom w:val="none" w:sz="0" w:space="0" w:color="auto"/>
        <w:right w:val="none" w:sz="0" w:space="0" w:color="auto"/>
      </w:divBdr>
    </w:div>
    <w:div w:id="1375809202">
      <w:bodyDiv w:val="1"/>
      <w:marLeft w:val="0"/>
      <w:marRight w:val="0"/>
      <w:marTop w:val="0"/>
      <w:marBottom w:val="0"/>
      <w:divBdr>
        <w:top w:val="none" w:sz="0" w:space="0" w:color="auto"/>
        <w:left w:val="none" w:sz="0" w:space="0" w:color="auto"/>
        <w:bottom w:val="none" w:sz="0" w:space="0" w:color="auto"/>
        <w:right w:val="none" w:sz="0" w:space="0" w:color="auto"/>
      </w:divBdr>
    </w:div>
    <w:div w:id="15359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zarzycki\Desktop\Wyn\Dane%20do%20raportu.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T.zarzycki\Desktop\Wyn\Dane%20do%20raportu.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swiderska\Desktop\Sprawy\RAPORT%202018\WK&#321;ADY\PORTY\Nowy%20Arkusz%20programu%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Arkusz2!$G$1</c:f>
              <c:strCache>
                <c:ptCount val="1"/>
                <c:pt idx="0">
                  <c:v>%</c:v>
                </c:pt>
              </c:strCache>
            </c:strRef>
          </c:tx>
          <c:dLbls>
            <c:dLbl>
              <c:idx val="0"/>
              <c:tx>
                <c:rich>
                  <a:bodyPr/>
                  <a:lstStyle/>
                  <a:p>
                    <a:r>
                      <a:rPr lang="en-US" b="1"/>
                      <a:t>Węgiel i koks; 11,2%</a:t>
                    </a:r>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0-97F4-4D97-AE30-F80736206BA4}"/>
                </c:ext>
                <c:ext xmlns:c15="http://schemas.microsoft.com/office/drawing/2012/chart" uri="{CE6537A1-D6FC-4f65-9D91-7224C49458BB}"/>
              </c:extLst>
            </c:dLbl>
            <c:dLbl>
              <c:idx val="1"/>
              <c:tx>
                <c:rich>
                  <a:bodyPr/>
                  <a:lstStyle/>
                  <a:p>
                    <a:r>
                      <a:rPr lang="en-US" b="1"/>
                      <a:t>Inne masowe; 5,6%</a:t>
                    </a:r>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97F4-4D97-AE30-F80736206BA4}"/>
                </c:ext>
                <c:ext xmlns:c15="http://schemas.microsoft.com/office/drawing/2012/chart" uri="{CE6537A1-D6FC-4f65-9D91-7224C49458BB}"/>
              </c:extLst>
            </c:dLbl>
            <c:dLbl>
              <c:idx val="2"/>
              <c:tx>
                <c:rich>
                  <a:bodyPr/>
                  <a:lstStyle/>
                  <a:p>
                    <a:r>
                      <a:rPr lang="en-US"/>
                      <a:t>Zboże; 12,7%</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2-97F4-4D97-AE30-F80736206BA4}"/>
                </c:ext>
                <c:ext xmlns:c15="http://schemas.microsoft.com/office/drawing/2012/chart" uri="{CE6537A1-D6FC-4f65-9D91-7224C49458BB}"/>
              </c:extLst>
            </c:dLbl>
            <c:dLbl>
              <c:idx val="3"/>
              <c:tx>
                <c:rich>
                  <a:bodyPr/>
                  <a:lstStyle/>
                  <a:p>
                    <a:r>
                      <a:rPr lang="en-US"/>
                      <a:t>Drewno; 4,2%</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97F4-4D97-AE30-F80736206BA4}"/>
                </c:ext>
                <c:ext xmlns:c15="http://schemas.microsoft.com/office/drawing/2012/chart" uri="{CE6537A1-D6FC-4f65-9D91-7224C49458BB}"/>
              </c:extLst>
            </c:dLbl>
            <c:dLbl>
              <c:idx val="4"/>
              <c:tx>
                <c:rich>
                  <a:bodyPr/>
                  <a:lstStyle/>
                  <a:p>
                    <a:r>
                      <a:rPr lang="en-US" b="1"/>
                      <a:t>Drobnica; 58,8%</a:t>
                    </a:r>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4-97F4-4D97-AE30-F80736206BA4}"/>
                </c:ext>
                <c:ext xmlns:c15="http://schemas.microsoft.com/office/drawing/2012/chart" uri="{CE6537A1-D6FC-4f65-9D91-7224C49458BB}"/>
              </c:extLst>
            </c:dLbl>
            <c:dLbl>
              <c:idx val="5"/>
              <c:tx>
                <c:rich>
                  <a:bodyPr/>
                  <a:lstStyle/>
                  <a:p>
                    <a:r>
                      <a:rPr lang="en-US" b="1"/>
                      <a:t>Paliwa płynne; 7,5%</a:t>
                    </a:r>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97F4-4D97-AE30-F80736206BA4}"/>
                </c:ext>
                <c:ext xmlns:c15="http://schemas.microsoft.com/office/drawing/2012/chart" uri="{CE6537A1-D6FC-4f65-9D91-7224C49458BB}"/>
              </c:extLst>
            </c:dLbl>
            <c:spPr>
              <a:noFill/>
              <a:ln>
                <a:noFill/>
              </a:ln>
              <a:effectLst/>
            </c:spPr>
            <c:txPr>
              <a:bodyPr/>
              <a:lstStyle/>
              <a:p>
                <a:pPr>
                  <a:defRPr b="1"/>
                </a:pPr>
                <a:endParaRPr lang="pl-PL"/>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Arkusz2!$F$2:$F$7</c:f>
              <c:strCache>
                <c:ptCount val="6"/>
                <c:pt idx="0">
                  <c:v>Węgiel i koks</c:v>
                </c:pt>
                <c:pt idx="1">
                  <c:v>Inne masowe</c:v>
                </c:pt>
                <c:pt idx="2">
                  <c:v>Zboże</c:v>
                </c:pt>
                <c:pt idx="3">
                  <c:v>Drewno</c:v>
                </c:pt>
                <c:pt idx="4">
                  <c:v>Drobnica</c:v>
                </c:pt>
                <c:pt idx="5">
                  <c:v>Paliwa płynne</c:v>
                </c:pt>
              </c:strCache>
            </c:strRef>
          </c:cat>
          <c:val>
            <c:numRef>
              <c:f>Arkusz2!$G$2:$G$7</c:f>
              <c:numCache>
                <c:formatCode>General</c:formatCode>
                <c:ptCount val="6"/>
                <c:pt idx="0">
                  <c:v>11.2</c:v>
                </c:pt>
                <c:pt idx="1">
                  <c:v>5.6</c:v>
                </c:pt>
                <c:pt idx="2">
                  <c:v>12.7</c:v>
                </c:pt>
                <c:pt idx="3">
                  <c:v>4.2</c:v>
                </c:pt>
                <c:pt idx="4">
                  <c:v>58.8</c:v>
                </c:pt>
                <c:pt idx="5">
                  <c:v>7.5</c:v>
                </c:pt>
              </c:numCache>
            </c:numRef>
          </c:val>
          <c:extLst xmlns:c16r2="http://schemas.microsoft.com/office/drawing/2015/06/chart">
            <c:ext xmlns:c16="http://schemas.microsoft.com/office/drawing/2014/chart" uri="{C3380CC4-5D6E-409C-BE32-E72D297353CC}">
              <c16:uniqueId val="{00000006-97F4-4D97-AE30-F80736206BA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Arkusz3!$B$1</c:f>
              <c:strCache>
                <c:ptCount val="1"/>
                <c:pt idx="0">
                  <c:v>2017</c:v>
                </c:pt>
              </c:strCache>
            </c:strRef>
          </c:tx>
          <c:invertIfNegative val="0"/>
          <c:cat>
            <c:strRef>
              <c:f>Arkusz3!$A$2:$A$8</c:f>
              <c:strCache>
                <c:ptCount val="7"/>
                <c:pt idx="0">
                  <c:v>Węgiel i koks</c:v>
                </c:pt>
                <c:pt idx="1">
                  <c:v>Rudy</c:v>
                </c:pt>
                <c:pt idx="2">
                  <c:v>Inne masowe</c:v>
                </c:pt>
                <c:pt idx="3">
                  <c:v>Zboże</c:v>
                </c:pt>
                <c:pt idx="4">
                  <c:v>Drewno</c:v>
                </c:pt>
                <c:pt idx="5">
                  <c:v>Drobnica</c:v>
                </c:pt>
                <c:pt idx="6">
                  <c:v>Paliwa płynne</c:v>
                </c:pt>
              </c:strCache>
            </c:strRef>
          </c:cat>
          <c:val>
            <c:numRef>
              <c:f>Arkusz3!$B$2:$B$8</c:f>
              <c:numCache>
                <c:formatCode>#,##0.00</c:formatCode>
                <c:ptCount val="7"/>
                <c:pt idx="0">
                  <c:v>2134.6</c:v>
                </c:pt>
                <c:pt idx="1">
                  <c:v>15.1</c:v>
                </c:pt>
                <c:pt idx="2">
                  <c:v>1079.2</c:v>
                </c:pt>
                <c:pt idx="3">
                  <c:v>3482.7</c:v>
                </c:pt>
                <c:pt idx="4">
                  <c:v>234</c:v>
                </c:pt>
                <c:pt idx="5">
                  <c:v>12460.3</c:v>
                </c:pt>
                <c:pt idx="6">
                  <c:v>1819.3</c:v>
                </c:pt>
              </c:numCache>
            </c:numRef>
          </c:val>
          <c:extLst xmlns:c16r2="http://schemas.microsoft.com/office/drawing/2015/06/chart">
            <c:ext xmlns:c16="http://schemas.microsoft.com/office/drawing/2014/chart" uri="{C3380CC4-5D6E-409C-BE32-E72D297353CC}">
              <c16:uniqueId val="{00000000-AAAC-45D6-852E-28FFD091B2B2}"/>
            </c:ext>
          </c:extLst>
        </c:ser>
        <c:ser>
          <c:idx val="1"/>
          <c:order val="1"/>
          <c:tx>
            <c:strRef>
              <c:f>Arkusz3!$C$1</c:f>
              <c:strCache>
                <c:ptCount val="1"/>
                <c:pt idx="0">
                  <c:v>2018</c:v>
                </c:pt>
              </c:strCache>
            </c:strRef>
          </c:tx>
          <c:invertIfNegative val="0"/>
          <c:cat>
            <c:strRef>
              <c:f>Arkusz3!$A$2:$A$8</c:f>
              <c:strCache>
                <c:ptCount val="7"/>
                <c:pt idx="0">
                  <c:v>Węgiel i koks</c:v>
                </c:pt>
                <c:pt idx="1">
                  <c:v>Rudy</c:v>
                </c:pt>
                <c:pt idx="2">
                  <c:v>Inne masowe</c:v>
                </c:pt>
                <c:pt idx="3">
                  <c:v>Zboże</c:v>
                </c:pt>
                <c:pt idx="4">
                  <c:v>Drewno</c:v>
                </c:pt>
                <c:pt idx="5">
                  <c:v>Drobnica</c:v>
                </c:pt>
                <c:pt idx="6">
                  <c:v>Paliwa płynne</c:v>
                </c:pt>
              </c:strCache>
            </c:strRef>
          </c:cat>
          <c:val>
            <c:numRef>
              <c:f>Arkusz3!$C$2:$C$8</c:f>
              <c:numCache>
                <c:formatCode>#,##0.00</c:formatCode>
                <c:ptCount val="7"/>
                <c:pt idx="0">
                  <c:v>2629.2</c:v>
                </c:pt>
                <c:pt idx="1">
                  <c:v>0</c:v>
                </c:pt>
                <c:pt idx="2">
                  <c:v>1311.3</c:v>
                </c:pt>
                <c:pt idx="3">
                  <c:v>2994.8</c:v>
                </c:pt>
                <c:pt idx="4">
                  <c:v>979.2</c:v>
                </c:pt>
                <c:pt idx="5">
                  <c:v>13817.3</c:v>
                </c:pt>
                <c:pt idx="6">
                  <c:v>1759.6</c:v>
                </c:pt>
              </c:numCache>
            </c:numRef>
          </c:val>
          <c:extLst xmlns:c16r2="http://schemas.microsoft.com/office/drawing/2015/06/chart">
            <c:ext xmlns:c16="http://schemas.microsoft.com/office/drawing/2014/chart" uri="{C3380CC4-5D6E-409C-BE32-E72D297353CC}">
              <c16:uniqueId val="{00000001-AAAC-45D6-852E-28FFD091B2B2}"/>
            </c:ext>
          </c:extLst>
        </c:ser>
        <c:dLbls>
          <c:showLegendKey val="0"/>
          <c:showVal val="0"/>
          <c:showCatName val="0"/>
          <c:showSerName val="0"/>
          <c:showPercent val="0"/>
          <c:showBubbleSize val="0"/>
        </c:dLbls>
        <c:gapWidth val="150"/>
        <c:axId val="436559560"/>
        <c:axId val="436562304"/>
      </c:barChart>
      <c:catAx>
        <c:axId val="436559560"/>
        <c:scaling>
          <c:orientation val="minMax"/>
        </c:scaling>
        <c:delete val="0"/>
        <c:axPos val="b"/>
        <c:numFmt formatCode="General" sourceLinked="0"/>
        <c:majorTickMark val="out"/>
        <c:minorTickMark val="none"/>
        <c:tickLblPos val="nextTo"/>
        <c:crossAx val="436562304"/>
        <c:crosses val="autoZero"/>
        <c:auto val="1"/>
        <c:lblAlgn val="ctr"/>
        <c:lblOffset val="100"/>
        <c:noMultiLvlLbl val="0"/>
      </c:catAx>
      <c:valAx>
        <c:axId val="436562304"/>
        <c:scaling>
          <c:orientation val="minMax"/>
        </c:scaling>
        <c:delete val="0"/>
        <c:axPos val="l"/>
        <c:majorGridlines/>
        <c:numFmt formatCode="#,##0.00" sourceLinked="1"/>
        <c:majorTickMark val="out"/>
        <c:minorTickMark val="none"/>
        <c:tickLblPos val="nextTo"/>
        <c:crossAx val="43655956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sz="1000">
                <a:solidFill>
                  <a:schemeClr val="tx1"/>
                </a:solidFill>
              </a:rPr>
              <a:t>Przeładunki w tys. ton w 2018 roku</a:t>
            </a:r>
          </a:p>
        </c:rich>
      </c:tx>
      <c:layout>
        <c:manualLayout>
          <c:xMode val="edge"/>
          <c:yMode val="edge"/>
          <c:x val="0.22461789151356082"/>
          <c:y val="5.0925925925925923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5">
                <a:lumMod val="75000"/>
              </a:schemeClr>
            </a:solidFill>
            <a:ln>
              <a:noFill/>
            </a:ln>
            <a:effectLst/>
          </c:spPr>
          <c:invertIfNegative val="0"/>
          <c:cat>
            <c:strRef>
              <c:f>Arkusz1!$A$2:$A$5</c:f>
              <c:strCache>
                <c:ptCount val="4"/>
                <c:pt idx="0">
                  <c:v>Kruszywo</c:v>
                </c:pt>
                <c:pt idx="1">
                  <c:v>Kłody drewniane </c:v>
                </c:pt>
                <c:pt idx="2">
                  <c:v>Ryby</c:v>
                </c:pt>
                <c:pt idx="3">
                  <c:v>Pelet</c:v>
                </c:pt>
              </c:strCache>
            </c:strRef>
          </c:cat>
          <c:val>
            <c:numRef>
              <c:f>Arkusz1!$B$2:$B$5</c:f>
              <c:numCache>
                <c:formatCode>#,##0.00</c:formatCode>
                <c:ptCount val="4"/>
                <c:pt idx="0">
                  <c:v>204545.55</c:v>
                </c:pt>
                <c:pt idx="1">
                  <c:v>64361.440000000002</c:v>
                </c:pt>
                <c:pt idx="2">
                  <c:v>34982.35</c:v>
                </c:pt>
                <c:pt idx="3">
                  <c:v>21324.959999999999</c:v>
                </c:pt>
              </c:numCache>
            </c:numRef>
          </c:val>
          <c:extLst xmlns:c16r2="http://schemas.microsoft.com/office/drawing/2015/06/chart">
            <c:ext xmlns:c16="http://schemas.microsoft.com/office/drawing/2014/chart" uri="{C3380CC4-5D6E-409C-BE32-E72D297353CC}">
              <c16:uniqueId val="{00000000-5148-4BE7-A74D-A1D6EAD3E74D}"/>
            </c:ext>
          </c:extLst>
        </c:ser>
        <c:dLbls>
          <c:showLegendKey val="0"/>
          <c:showVal val="0"/>
          <c:showCatName val="0"/>
          <c:showSerName val="0"/>
          <c:showPercent val="0"/>
          <c:showBubbleSize val="0"/>
        </c:dLbls>
        <c:gapWidth val="219"/>
        <c:overlap val="-27"/>
        <c:axId val="436562696"/>
        <c:axId val="436560344"/>
      </c:barChart>
      <c:catAx>
        <c:axId val="43656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36560344"/>
        <c:crosses val="autoZero"/>
        <c:auto val="1"/>
        <c:lblAlgn val="ctr"/>
        <c:lblOffset val="100"/>
        <c:noMultiLvlLbl val="0"/>
      </c:catAx>
      <c:valAx>
        <c:axId val="436560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l-PL"/>
          </a:p>
        </c:txPr>
        <c:crossAx val="436562696"/>
        <c:crosses val="autoZero"/>
        <c:crossBetween val="between"/>
        <c:majorUnit val="40000"/>
        <c:dispUnits>
          <c:builtInUnit val="thousands"/>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C004-8ECA-4553-9E08-5F0DEBE5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13739</Words>
  <Characters>82440</Characters>
  <Application>Microsoft Office Word</Application>
  <DocSecurity>0</DocSecurity>
  <Lines>687</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Całun Adam</dc:creator>
  <cp:keywords/>
  <dc:description/>
  <cp:lastModifiedBy>Żabicka Edyta</cp:lastModifiedBy>
  <cp:revision>3</cp:revision>
  <cp:lastPrinted>2018-07-06T10:17:00Z</cp:lastPrinted>
  <dcterms:created xsi:type="dcterms:W3CDTF">2022-04-13T13:43:00Z</dcterms:created>
  <dcterms:modified xsi:type="dcterms:W3CDTF">2022-04-13T13:43:00Z</dcterms:modified>
</cp:coreProperties>
</file>