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E4" w:rsidRDefault="00C65CE4" w:rsidP="00C65CE4">
      <w:pPr>
        <w:spacing w:line="360" w:lineRule="auto"/>
        <w:ind w:firstLine="0"/>
        <w:rPr>
          <w:rFonts w:eastAsia="Calibri" w:cs="Calibri"/>
          <w:b/>
          <w:bCs/>
          <w:sz w:val="28"/>
          <w:szCs w:val="28"/>
          <w:lang w:eastAsia="en-US"/>
        </w:rPr>
      </w:pPr>
    </w:p>
    <w:p w:rsidR="00C65CE4" w:rsidRDefault="00C65CE4" w:rsidP="00C65CE4">
      <w:pPr>
        <w:spacing w:line="360" w:lineRule="auto"/>
        <w:ind w:firstLine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171950" cy="1990725"/>
            <wp:effectExtent l="0" t="0" r="0" b="9525"/>
            <wp:docPr id="4" name="Obraz 4" descr="C:\Users\m.domon\AppData\Local\Microsoft\Windows\INetCache\Content.Word\FEMIGRACJA WERSJA NR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domon\AppData\Local\Microsoft\Windows\INetCache\Content.Word\FEMIGRACJA WERSJA NR 3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E4" w:rsidRPr="00C65CE4" w:rsidRDefault="00C65CE4" w:rsidP="00C65CE4">
      <w:pPr>
        <w:spacing w:line="360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C65CE4">
        <w:rPr>
          <w:rFonts w:eastAsia="Calibri" w:cs="Calibri"/>
          <w:b/>
          <w:bCs/>
          <w:sz w:val="28"/>
          <w:szCs w:val="28"/>
          <w:lang w:eastAsia="en-US"/>
        </w:rPr>
        <w:t>Nie tylko Skłodowska-Curie – rusza projekt „</w:t>
      </w:r>
      <w:proofErr w:type="spellStart"/>
      <w:r w:rsidRPr="00C65CE4">
        <w:rPr>
          <w:rFonts w:eastAsia="Calibri" w:cs="Calibri"/>
          <w:b/>
          <w:bCs/>
          <w:sz w:val="28"/>
          <w:szCs w:val="28"/>
          <w:lang w:eastAsia="en-US"/>
        </w:rPr>
        <w:t>Femigracja</w:t>
      </w:r>
      <w:proofErr w:type="spellEnd"/>
      <w:r w:rsidRPr="00C65CE4">
        <w:rPr>
          <w:rFonts w:eastAsia="Calibri" w:cs="Calibri"/>
          <w:b/>
          <w:bCs/>
          <w:sz w:val="28"/>
          <w:szCs w:val="28"/>
          <w:lang w:eastAsia="en-US"/>
        </w:rPr>
        <w:t xml:space="preserve">. </w:t>
      </w:r>
      <w:r w:rsidRPr="00C65CE4">
        <w:rPr>
          <w:rFonts w:eastAsia="Calibri"/>
          <w:b/>
          <w:sz w:val="28"/>
          <w:szCs w:val="28"/>
          <w:lang w:eastAsia="en-US"/>
        </w:rPr>
        <w:t>Wysoko wykwalifikowane Polki za granicą”</w:t>
      </w:r>
    </w:p>
    <w:p w:rsidR="00C65CE4" w:rsidRPr="00C65CE4" w:rsidRDefault="00C65CE4" w:rsidP="00C65CE4">
      <w:pPr>
        <w:spacing w:line="360" w:lineRule="auto"/>
        <w:ind w:firstLine="0"/>
        <w:jc w:val="center"/>
        <w:rPr>
          <w:rFonts w:eastAsia="Calibri" w:cs="Calibri"/>
          <w:b/>
          <w:bCs/>
          <w:lang w:eastAsia="en-US"/>
        </w:rPr>
      </w:pP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b/>
          <w:lang w:eastAsia="en-US"/>
        </w:rPr>
      </w:pPr>
      <w:r w:rsidRPr="00C65CE4">
        <w:rPr>
          <w:rFonts w:eastAsia="Calibri" w:cs="Calibri"/>
          <w:b/>
          <w:lang w:eastAsia="en-US"/>
        </w:rPr>
        <w:t>Aż do XX wieku na zmiany miejsca zamieszkania kobiet zwracano uwagę jedynie na marginesie badań nad migracjami mężczyzn. W przekazach sprzed 1900 roku sporadycznie pojawiały się informacje dotyczące „wolnych kobiet”, których migracje związane były z innymi pobudkami niż powody matrymonialne. Zwykle takie wzmianki odnosiły się do wybitnych, nietuzinkowych postaci, które ukazane są jako wyjątki wśród przedstawicielek swych społeczności, takich jak: Izabelę Czartoryską, Olgę Boznańską czy Marię Curie-Skłodowską. Dziś, po wieku zmian społeczno- politycznych sytuacja wygląda odmiennie, a kobiety stanowią ponad połowę osób migrujących. Muzeum Emigracji w Gdyni rusza z projektem badawczym, którego celem jest zbadanie zjawiska emigracji wysoko wykwalifikowanych Polek oraz wspieranie sprawczości i samorealizacji kobiet w ich życiu zawodowym.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r w:rsidRPr="00C65CE4">
        <w:rPr>
          <w:rFonts w:eastAsia="Calibri" w:cs="Calibri"/>
          <w:lang w:eastAsia="en-US"/>
        </w:rPr>
        <w:t xml:space="preserve">Punktem zwrotnym w historii migracji z Polski był 2004 rok i fakt wejścia do grona państw członkowskich Unii Europejskiej, co wpłynęło na nasilenie przemieszczania się obywateli polskich w obrębie Europy. Co ciekawe, w migracjach poakcesyjnych zaczynają dominować kobiety. W 2011 roku 51% przebywających za granicą obywateli polskich było płci żeńskiej, natomiast 49% męskiej. Zgodnie z danymi GUS w 2011 roku 54% polskich migrantów w wieku 25-29 lat oraz 63% polskich migrantów z wyższym wykształceniem było kobietami (GUS, 2011). </w:t>
      </w:r>
    </w:p>
    <w:p w:rsidR="00C65CE4" w:rsidRPr="00C65CE4" w:rsidRDefault="00C65CE4" w:rsidP="00C65CE4">
      <w:pPr>
        <w:spacing w:line="360" w:lineRule="auto"/>
        <w:ind w:firstLine="0"/>
        <w:rPr>
          <w:rFonts w:eastAsia="Calibri" w:cs="Calibri"/>
          <w:b/>
          <w:bCs/>
          <w:lang w:eastAsia="en-US"/>
        </w:rPr>
      </w:pPr>
    </w:p>
    <w:p w:rsidR="00C65CE4" w:rsidRPr="00C65CE4" w:rsidRDefault="00C65CE4" w:rsidP="00C65CE4">
      <w:pPr>
        <w:spacing w:after="160" w:line="360" w:lineRule="auto"/>
        <w:ind w:firstLine="0"/>
        <w:jc w:val="both"/>
        <w:rPr>
          <w:lang w:eastAsia="en-US"/>
        </w:rPr>
      </w:pPr>
      <w:r w:rsidRPr="00C65CE4">
        <w:rPr>
          <w:bCs/>
          <w:lang w:eastAsia="en-US"/>
        </w:rPr>
        <w:t>Projekt badawczy „</w:t>
      </w:r>
      <w:proofErr w:type="spellStart"/>
      <w:r w:rsidRPr="00C65CE4">
        <w:rPr>
          <w:bCs/>
          <w:lang w:eastAsia="en-US"/>
        </w:rPr>
        <w:t>Femigracja</w:t>
      </w:r>
      <w:proofErr w:type="spellEnd"/>
      <w:r w:rsidRPr="00C65CE4">
        <w:rPr>
          <w:bCs/>
          <w:lang w:eastAsia="en-US"/>
        </w:rPr>
        <w:t>. Wysoko wykwalifikowane Polki za granicą</w:t>
      </w:r>
      <w:r w:rsidRPr="00C65CE4">
        <w:rPr>
          <w:rFonts w:eastAsia="Calibri" w:cs="Calibri"/>
          <w:bCs/>
          <w:lang w:eastAsia="en-US"/>
        </w:rPr>
        <w:t xml:space="preserve">”, realizowany  przez Muzeum Emigracji w Gdyni rusza 2 </w:t>
      </w:r>
      <w:r w:rsidRPr="00C65CE4">
        <w:rPr>
          <w:lang w:eastAsia="en-US"/>
        </w:rPr>
        <w:t xml:space="preserve">maja 2022 r. Data startu projektu nie jest przypadkowa – tego dnia obchodzony jest </w:t>
      </w:r>
      <w:r w:rsidRPr="003A0752">
        <w:rPr>
          <w:rFonts w:eastAsia="Calibri" w:cs="Arial"/>
          <w:bCs/>
          <w:sz w:val="24"/>
          <w:szCs w:val="24"/>
          <w:shd w:val="clear" w:color="auto" w:fill="FFFFFF"/>
          <w:lang w:eastAsia="en-US"/>
        </w:rPr>
        <w:t>Dzień Polonii</w:t>
      </w:r>
      <w:r w:rsidRPr="00C65CE4">
        <w:rPr>
          <w:rFonts w:eastAsia="Calibri" w:cs="Arial"/>
          <w:sz w:val="24"/>
          <w:szCs w:val="24"/>
          <w:shd w:val="clear" w:color="auto" w:fill="FFFFFF"/>
          <w:lang w:eastAsia="en-US"/>
        </w:rPr>
        <w:t> i Polaków za granicą.</w:t>
      </w:r>
    </w:p>
    <w:p w:rsidR="00C65CE4" w:rsidRDefault="00C65CE4" w:rsidP="00C65CE4">
      <w:pPr>
        <w:spacing w:after="160" w:line="360" w:lineRule="auto"/>
        <w:ind w:firstLine="0"/>
        <w:jc w:val="both"/>
        <w:rPr>
          <w:lang w:eastAsia="en-US"/>
        </w:rPr>
      </w:pPr>
    </w:p>
    <w:p w:rsidR="00C65CE4" w:rsidRPr="00C65CE4" w:rsidRDefault="00C65CE4" w:rsidP="00C65CE4">
      <w:pPr>
        <w:spacing w:after="160" w:line="360" w:lineRule="auto"/>
        <w:ind w:firstLine="0"/>
        <w:jc w:val="both"/>
        <w:rPr>
          <w:lang w:eastAsia="en-US"/>
        </w:rPr>
      </w:pPr>
      <w:r w:rsidRPr="00C65CE4">
        <w:rPr>
          <w:lang w:eastAsia="en-US"/>
        </w:rPr>
        <w:t xml:space="preserve">- </w:t>
      </w:r>
      <w:r w:rsidRPr="00C65CE4">
        <w:rPr>
          <w:i/>
          <w:lang w:eastAsia="en-US"/>
        </w:rPr>
        <w:t>Muzeum Emigracji w Gdyni od kilku lat prowadzi szeroko zakrojone badania nad migracjami osób wysoko wykwalifikowanych. Wiele z opuszczających Polskę specjalistów i specjalistek doskonale</w:t>
      </w:r>
      <w:r w:rsidRPr="00C65CE4">
        <w:rPr>
          <w:i/>
          <w:color w:val="4472C4"/>
          <w:lang w:eastAsia="en-US"/>
        </w:rPr>
        <w:t xml:space="preserve"> </w:t>
      </w:r>
      <w:r w:rsidRPr="00C65CE4">
        <w:rPr>
          <w:i/>
          <w:lang w:eastAsia="en-US"/>
        </w:rPr>
        <w:t>odnajduje się za granicą. Wciąż jednak bardzo niewiele wiemy o tej grupie, a zwłaszcza o grupie migrujących Polek. Jest to o tyle interesujące, że wszystkie dotychczas opublikowane przez nas raporty z badań wskazują na znaczne różnice w strategiach migracyjnych obieranych przez Polki i Polaków, należących do grupy osób wysoko wykwalifikowanych.  Dlatego też zespół badawczy Muzeum Emigracji w Gdyni zdecydował się skoncentrować swoje badania na polskich specjalistkach, które postanowiły realizować się - zawodowo i prywatnie, poza granicami naszego kraju</w:t>
      </w:r>
      <w:r w:rsidRPr="00C65CE4">
        <w:rPr>
          <w:lang w:eastAsia="en-US"/>
        </w:rPr>
        <w:t xml:space="preserve"> – mówi Kinga Langowska z Muzeum Emigracji w Gdyni, autorka projektu. </w:t>
      </w:r>
    </w:p>
    <w:p w:rsidR="00C65CE4" w:rsidRPr="00C65CE4" w:rsidRDefault="00C65CE4" w:rsidP="00C65CE4">
      <w:pPr>
        <w:spacing w:after="160" w:line="360" w:lineRule="auto"/>
        <w:ind w:firstLine="0"/>
        <w:jc w:val="both"/>
        <w:rPr>
          <w:rFonts w:eastAsia="Calibri" w:cs="Calibri"/>
          <w:highlight w:val="yellow"/>
          <w:lang w:eastAsia="en-US"/>
        </w:rPr>
      </w:pPr>
      <w:r w:rsidRPr="00C65CE4">
        <w:rPr>
          <w:lang w:eastAsia="en-US"/>
        </w:rPr>
        <w:t xml:space="preserve">Celem badania jest uzyskanie szczegółowych informacji na temat wysoko wykwalifikowanych Polek żyjących na emigracji: ich sytuacji życiowej i zawodowej, przyczyn i uwarunkowań wyjazdów. 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r w:rsidRPr="00C65CE4">
        <w:rPr>
          <w:rFonts w:eastAsia="Calibri" w:cs="Calibri"/>
          <w:lang w:eastAsia="en-US"/>
        </w:rPr>
        <w:t xml:space="preserve">- </w:t>
      </w:r>
      <w:r w:rsidRPr="00C65CE4">
        <w:rPr>
          <w:rFonts w:eastAsia="Calibri" w:cs="Calibri"/>
          <w:i/>
          <w:lang w:eastAsia="en-US"/>
        </w:rPr>
        <w:t xml:space="preserve">Dzięki wynikom badania będziemy w stanie lepiej rozpoznać i opisać różnice w strategiach migracyjnych między kobietami a mężczyznami - dlaczego i w jaki sposób migrujemy. Zidentyfikowanie problemów, z którymi mierzą się kobiety, a także stereotypów, na które są one narażone, pomoże nam dobrać kompleksowe rekomendacje i propozycje rozwiązań znajdujących zastosowanie na poziomie inicjatyw regionalnych i rządowych. Tym projektem pragniemy rozpocząć dyskusję nad migracją kobiet, która szeroko omawiana na świecie, w Polsce wciąż nie doczekała się właściwej uwagi </w:t>
      </w:r>
      <w:r w:rsidRPr="00C65CE4">
        <w:rPr>
          <w:rFonts w:eastAsia="Calibri" w:cs="Calibri"/>
          <w:lang w:eastAsia="en-US"/>
        </w:rPr>
        <w:t xml:space="preserve">– mówi Karolina Grabowicz- Matyjas, dyrektorka Muzeum Emigracji w Gdyni. 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b/>
          <w:bCs/>
          <w:lang w:eastAsia="en-US"/>
        </w:rPr>
      </w:pPr>
      <w:r w:rsidRPr="00C65CE4">
        <w:rPr>
          <w:rFonts w:eastAsia="Calibri" w:cs="Calibri"/>
          <w:bCs/>
          <w:lang w:eastAsia="en-US"/>
        </w:rPr>
        <w:t>Grupą docelową badania są w</w:t>
      </w:r>
      <w:r w:rsidRPr="00C65CE4">
        <w:rPr>
          <w:rFonts w:eastAsia="Calibri" w:cs="Calibri"/>
          <w:lang w:eastAsia="en-US"/>
        </w:rPr>
        <w:t>ysoko wykwalifikowane przedstawicielki polskiej diaspory:</w:t>
      </w:r>
      <w:r w:rsidRPr="00C65CE4">
        <w:rPr>
          <w:rFonts w:eastAsia="Calibri" w:cs="Calibri"/>
          <w:b/>
          <w:bCs/>
          <w:lang w:eastAsia="en-US"/>
        </w:rPr>
        <w:t xml:space="preserve"> </w:t>
      </w:r>
      <w:r w:rsidRPr="00C65CE4">
        <w:rPr>
          <w:rFonts w:eastAsia="Calibri" w:cs="Calibri"/>
          <w:lang w:eastAsia="en-US"/>
        </w:rPr>
        <w:t xml:space="preserve">polskie emigrantki, kobiety o polskich korzeniach, polskie </w:t>
      </w:r>
      <w:proofErr w:type="spellStart"/>
      <w:r w:rsidRPr="00C65CE4">
        <w:rPr>
          <w:rFonts w:eastAsia="Calibri" w:cs="Calibri"/>
          <w:lang w:eastAsia="en-US"/>
        </w:rPr>
        <w:t>transmigrantki</w:t>
      </w:r>
      <w:proofErr w:type="spellEnd"/>
      <w:r w:rsidRPr="00C65CE4">
        <w:rPr>
          <w:rFonts w:eastAsia="Calibri" w:cs="Calibri"/>
          <w:lang w:eastAsia="en-US"/>
        </w:rPr>
        <w:t xml:space="preserve">, </w:t>
      </w:r>
      <w:proofErr w:type="spellStart"/>
      <w:r w:rsidRPr="00C65CE4">
        <w:rPr>
          <w:rFonts w:eastAsia="Calibri" w:cs="Calibri"/>
          <w:lang w:eastAsia="en-US"/>
        </w:rPr>
        <w:t>ekspatki</w:t>
      </w:r>
      <w:proofErr w:type="spellEnd"/>
      <w:r w:rsidRPr="00C65CE4">
        <w:rPr>
          <w:rFonts w:eastAsia="Calibri" w:cs="Calibri"/>
          <w:lang w:eastAsia="en-US"/>
        </w:rPr>
        <w:t xml:space="preserve"> czy też współczesne </w:t>
      </w:r>
      <w:proofErr w:type="spellStart"/>
      <w:r w:rsidRPr="00C65CE4">
        <w:rPr>
          <w:rFonts w:eastAsia="Calibri" w:cs="Calibri"/>
          <w:lang w:eastAsia="en-US"/>
        </w:rPr>
        <w:t>nomadki</w:t>
      </w:r>
      <w:proofErr w:type="spellEnd"/>
      <w:r w:rsidRPr="00C65CE4">
        <w:rPr>
          <w:rFonts w:eastAsia="Calibri" w:cs="Calibri"/>
          <w:lang w:eastAsia="en-US"/>
        </w:rPr>
        <w:t>.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r w:rsidRPr="00C65CE4">
        <w:rPr>
          <w:rFonts w:eastAsia="Calibri" w:cs="Calibri"/>
          <w:lang w:eastAsia="en-US"/>
        </w:rPr>
        <w:t xml:space="preserve">Jesienią zostanie opublikowany raport z badania, który będzie zasobnym źródłem wiedzy dla organizacji pozarządowych, polityków, decydentów kreujących polityki migracyjne, zagranicznych firm oraz korporacji i wreszcie samych migrantek. Rezultaty mogą stanowić podstawę do projektowania polityk oraz programów rozwojowych skierowanych do kobiet na szczeblu lokalnym i ogólnokrajowym. Firmom prywatnym wyniki badań mogą pomóc w kierowaniu oferty do kobiet-specjalistek i kształtowaniu polityki kadrowej. 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u w:val="single"/>
          <w:lang w:eastAsia="en-US"/>
        </w:rPr>
      </w:pPr>
    </w:p>
    <w:p w:rsidR="00C65CE4" w:rsidRPr="00A7525F" w:rsidRDefault="00C65CE4" w:rsidP="00C65CE4">
      <w:pPr>
        <w:spacing w:line="360" w:lineRule="auto"/>
        <w:ind w:firstLine="0"/>
        <w:jc w:val="both"/>
        <w:rPr>
          <w:rFonts w:eastAsia="Calibri" w:cs="Calibri"/>
          <w:u w:val="single"/>
          <w:lang w:eastAsia="en-US"/>
        </w:rPr>
      </w:pPr>
      <w:r w:rsidRPr="00C65CE4">
        <w:rPr>
          <w:rFonts w:eastAsia="Calibri" w:cs="Calibri"/>
          <w:u w:val="single"/>
          <w:lang w:eastAsia="en-US"/>
        </w:rPr>
        <w:t xml:space="preserve">Zachęcamy wszystkie kobiety mieszkające i realizujące się zawodowo zagranicą do wzięcia udziału w badaniu, które polega na wypełnienia kwestionariusza. </w:t>
      </w:r>
      <w:r w:rsidR="00A7525F">
        <w:rPr>
          <w:rFonts w:eastAsia="Calibri" w:cs="Calibri"/>
          <w:u w:val="single"/>
          <w:lang w:eastAsia="en-US"/>
        </w:rPr>
        <w:t xml:space="preserve"> </w:t>
      </w:r>
      <w:hyperlink r:id="rId8" w:history="1">
        <w:r w:rsidRPr="00C65CE4">
          <w:rPr>
            <w:rFonts w:eastAsia="Calibri" w:cs="Calibri"/>
            <w:b/>
            <w:color w:val="0563C1"/>
            <w:u w:val="single"/>
            <w:lang w:eastAsia="en-US"/>
          </w:rPr>
          <w:t>Weź udział w badaniu.</w:t>
        </w:r>
      </w:hyperlink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B361BB" w:rsidRDefault="00B361BB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color w:val="0563C1"/>
          <w:u w:val="single"/>
          <w:lang w:eastAsia="en-US"/>
        </w:rPr>
      </w:pPr>
      <w:bookmarkStart w:id="0" w:name="_GoBack"/>
      <w:bookmarkEnd w:id="0"/>
      <w:r w:rsidRPr="00C65CE4">
        <w:rPr>
          <w:rFonts w:eastAsia="Calibri" w:cs="Calibri"/>
          <w:lang w:eastAsia="en-US"/>
        </w:rPr>
        <w:t xml:space="preserve">Od 2018 roku zespół badawczy Muzeum Emigracji w Gdyni przeprowadził badania polskiej diaspory podsumowane w raportach dostępnych w otwartym dostępie, takie jak: </w:t>
      </w:r>
      <w:hyperlink r:id="rId9" w:history="1">
        <w:r w:rsidRPr="00C65CE4">
          <w:rPr>
            <w:rFonts w:eastAsia="Calibri" w:cs="Calibri"/>
            <w:color w:val="0563C1"/>
            <w:u w:val="single"/>
            <w:lang w:eastAsia="en-US"/>
          </w:rPr>
          <w:t>„E-migracja. Polska diaspora technologiczna” (edycja 2018 i 2020)</w:t>
        </w:r>
      </w:hyperlink>
      <w:r w:rsidRPr="00C65CE4">
        <w:rPr>
          <w:rFonts w:eastAsia="Calibri" w:cs="Calibri"/>
          <w:u w:val="single"/>
          <w:lang w:eastAsia="en-US"/>
        </w:rPr>
        <w:t xml:space="preserve"> </w:t>
      </w:r>
      <w:r w:rsidRPr="00C65CE4">
        <w:rPr>
          <w:rFonts w:eastAsia="Calibri" w:cs="Calibri"/>
          <w:lang w:eastAsia="en-US"/>
        </w:rPr>
        <w:t xml:space="preserve">oraz </w:t>
      </w:r>
      <w:hyperlink r:id="rId10" w:history="1">
        <w:r w:rsidRPr="00C65CE4">
          <w:rPr>
            <w:rFonts w:eastAsia="Calibri" w:cs="Calibri"/>
            <w:color w:val="0563C1"/>
            <w:u w:val="single"/>
            <w:lang w:eastAsia="en-US"/>
          </w:rPr>
          <w:t>„Gdyńska Trójka i co dalej? Emigracyjne plany edukacyjne maturzystów z III LO w Gdyni”</w:t>
        </w:r>
      </w:hyperlink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r w:rsidRPr="00C65CE4">
        <w:rPr>
          <w:rFonts w:eastAsia="Calibri" w:cs="Calibri"/>
          <w:lang w:eastAsia="en-US"/>
        </w:rPr>
        <w:t>Zespół: Kinga Langowska, Dr Rafał Raczyński, Dr Agnieszka Kowalkowska, Łukasz Podlaszewski</w:t>
      </w: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b/>
          <w:lang w:eastAsia="en-US"/>
        </w:rPr>
      </w:pPr>
      <w:r w:rsidRPr="00C65CE4">
        <w:rPr>
          <w:rFonts w:eastAsia="Calibri" w:cs="Calibri"/>
          <w:b/>
          <w:lang w:eastAsia="en-US"/>
        </w:rPr>
        <w:t xml:space="preserve">Partnerzy: </w:t>
      </w:r>
    </w:p>
    <w:p w:rsidR="00C65CE4" w:rsidRPr="00C65CE4" w:rsidRDefault="00B361BB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hyperlink r:id="rId11" w:history="1"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 xml:space="preserve">International </w:t>
        </w:r>
        <w:proofErr w:type="spellStart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Border</w:t>
        </w:r>
        <w:proofErr w:type="spellEnd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 xml:space="preserve"> </w:t>
        </w:r>
        <w:proofErr w:type="spellStart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Studies</w:t>
        </w:r>
        <w:proofErr w:type="spellEnd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 xml:space="preserve"> Center</w:t>
        </w:r>
      </w:hyperlink>
      <w:r w:rsidR="00C65CE4" w:rsidRPr="00C65CE4">
        <w:rPr>
          <w:rFonts w:eastAsia="Calibri" w:cs="Calibri"/>
          <w:lang w:eastAsia="en-US"/>
        </w:rPr>
        <w:t xml:space="preserve"> </w:t>
      </w:r>
    </w:p>
    <w:p w:rsidR="00C65CE4" w:rsidRPr="00C65CE4" w:rsidRDefault="00B361BB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hyperlink r:id="rId12" w:history="1"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Polsko-Amerykańska Komisja Fulbrighta</w:t>
        </w:r>
      </w:hyperlink>
      <w:r w:rsidR="00C65CE4" w:rsidRPr="00C65CE4">
        <w:rPr>
          <w:rFonts w:eastAsia="Calibri" w:cs="Calibri"/>
          <w:lang w:eastAsia="en-US"/>
        </w:rPr>
        <w:t xml:space="preserve"> </w:t>
      </w:r>
    </w:p>
    <w:p w:rsidR="00C65CE4" w:rsidRPr="00C65CE4" w:rsidRDefault="00B361BB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hyperlink r:id="rId13" w:history="1"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Girls in Tech – Poland</w:t>
        </w:r>
      </w:hyperlink>
    </w:p>
    <w:p w:rsidR="00C65CE4" w:rsidRPr="00C65CE4" w:rsidRDefault="00B361BB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  <w:hyperlink r:id="rId14" w:history="1"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 xml:space="preserve">Girls </w:t>
        </w:r>
        <w:proofErr w:type="spellStart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Future</w:t>
        </w:r>
        <w:proofErr w:type="spellEnd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 xml:space="preserve"> </w:t>
        </w:r>
        <w:proofErr w:type="spellStart"/>
        <w:r w:rsidR="00C65CE4" w:rsidRPr="00C65CE4">
          <w:rPr>
            <w:rFonts w:eastAsia="Calibri" w:cs="Calibri"/>
            <w:color w:val="0563C1"/>
            <w:u w:val="single"/>
            <w:lang w:eastAsia="en-US"/>
          </w:rPr>
          <w:t>Ready</w:t>
        </w:r>
        <w:proofErr w:type="spellEnd"/>
      </w:hyperlink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C65CE4" w:rsidRPr="00C65CE4" w:rsidRDefault="00C65CE4" w:rsidP="00C65CE4">
      <w:pPr>
        <w:spacing w:line="360" w:lineRule="auto"/>
        <w:ind w:firstLine="0"/>
        <w:jc w:val="both"/>
        <w:rPr>
          <w:rFonts w:eastAsia="Calibri" w:cs="Calibri"/>
          <w:lang w:eastAsia="en-US"/>
        </w:rPr>
      </w:pPr>
    </w:p>
    <w:p w:rsidR="00A47F41" w:rsidRDefault="00A47F41" w:rsidP="00C65CE4">
      <w:pPr>
        <w:pStyle w:val="Stopka"/>
        <w:rPr>
          <w:b/>
        </w:rPr>
      </w:pPr>
    </w:p>
    <w:p w:rsidR="001C5893" w:rsidRPr="00AC2338" w:rsidRDefault="001C5893" w:rsidP="001C5893">
      <w:pPr>
        <w:pStyle w:val="Stopka"/>
        <w:jc w:val="right"/>
        <w:rPr>
          <w:b/>
        </w:rPr>
      </w:pPr>
      <w:r w:rsidRPr="00AC2338">
        <w:rPr>
          <w:b/>
        </w:rPr>
        <w:t>Kontakt dla mediów:</w:t>
      </w:r>
    </w:p>
    <w:p w:rsidR="001C5893" w:rsidRDefault="001C5893" w:rsidP="001C5893">
      <w:pPr>
        <w:pStyle w:val="Stopka"/>
        <w:jc w:val="right"/>
      </w:pPr>
      <w:r>
        <w:t xml:space="preserve">Michalina Domoń </w:t>
      </w:r>
    </w:p>
    <w:p w:rsidR="001C5893" w:rsidRDefault="001C5893" w:rsidP="001C5893">
      <w:pPr>
        <w:pStyle w:val="Stopka"/>
        <w:jc w:val="right"/>
      </w:pPr>
      <w:r>
        <w:t xml:space="preserve">Specjalistka ds. komunikacji z mediami </w:t>
      </w:r>
    </w:p>
    <w:p w:rsidR="001C5893" w:rsidRDefault="001C5893" w:rsidP="001C5893">
      <w:pPr>
        <w:pStyle w:val="Stopka"/>
        <w:jc w:val="right"/>
      </w:pPr>
      <w:r>
        <w:t>+48 58 670 41 89</w:t>
      </w:r>
    </w:p>
    <w:p w:rsidR="001C5893" w:rsidRDefault="001C5893" w:rsidP="001C5893">
      <w:pPr>
        <w:pStyle w:val="Stopka"/>
        <w:jc w:val="right"/>
      </w:pPr>
      <w:r>
        <w:t>m.domon@muzeumemigracji.pl</w:t>
      </w:r>
    </w:p>
    <w:p w:rsidR="00483289" w:rsidRPr="00CA1B54" w:rsidRDefault="00483289" w:rsidP="001C5893">
      <w:pPr>
        <w:spacing w:line="312" w:lineRule="auto"/>
        <w:jc w:val="right"/>
        <w:rPr>
          <w:rFonts w:ascii="Verdana" w:hAnsi="Verdana" w:cs="Khand"/>
          <w:sz w:val="24"/>
          <w:szCs w:val="24"/>
        </w:rPr>
      </w:pPr>
    </w:p>
    <w:sectPr w:rsidR="00483289" w:rsidRPr="00CA1B5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51" w:rsidRDefault="00837B51" w:rsidP="006268F9">
      <w:r>
        <w:separator/>
      </w:r>
    </w:p>
  </w:endnote>
  <w:endnote w:type="continuationSeparator" w:id="0">
    <w:p w:rsidR="00837B51" w:rsidRDefault="00837B51" w:rsidP="0062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hand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51" w:rsidRDefault="00837B51" w:rsidP="006268F9">
      <w:r>
        <w:separator/>
      </w:r>
    </w:p>
  </w:footnote>
  <w:footnote w:type="continuationSeparator" w:id="0">
    <w:p w:rsidR="00837B51" w:rsidRDefault="00837B51" w:rsidP="0062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F9" w:rsidRDefault="006268F9">
    <w:pPr>
      <w:pStyle w:val="Nagwek"/>
    </w:pPr>
    <w:r>
      <w:rPr>
        <w:noProof/>
        <w:lang w:eastAsia="pl-PL"/>
      </w:rPr>
      <w:drawing>
        <wp:inline distT="0" distB="0" distL="0" distR="0">
          <wp:extent cx="575849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49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14"/>
    <w:multiLevelType w:val="multilevel"/>
    <w:tmpl w:val="09E4E9D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37303B5"/>
    <w:multiLevelType w:val="hybridMultilevel"/>
    <w:tmpl w:val="3446C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E7E"/>
    <w:multiLevelType w:val="hybridMultilevel"/>
    <w:tmpl w:val="1A86D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4EE1"/>
    <w:multiLevelType w:val="multilevel"/>
    <w:tmpl w:val="83A015E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3EC470C"/>
    <w:multiLevelType w:val="hybridMultilevel"/>
    <w:tmpl w:val="A8323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1694"/>
    <w:multiLevelType w:val="multilevel"/>
    <w:tmpl w:val="83A015E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4C732948"/>
    <w:multiLevelType w:val="hybridMultilevel"/>
    <w:tmpl w:val="9D868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0100A7"/>
    <w:rsid w:val="000310D9"/>
    <w:rsid w:val="000D383C"/>
    <w:rsid w:val="001861E1"/>
    <w:rsid w:val="001C5893"/>
    <w:rsid w:val="002248BB"/>
    <w:rsid w:val="002F03DB"/>
    <w:rsid w:val="00394070"/>
    <w:rsid w:val="003A0752"/>
    <w:rsid w:val="003E2118"/>
    <w:rsid w:val="00407C63"/>
    <w:rsid w:val="00426BFA"/>
    <w:rsid w:val="004672B7"/>
    <w:rsid w:val="00481422"/>
    <w:rsid w:val="00483289"/>
    <w:rsid w:val="00492592"/>
    <w:rsid w:val="00622051"/>
    <w:rsid w:val="006268F9"/>
    <w:rsid w:val="00691102"/>
    <w:rsid w:val="00715B04"/>
    <w:rsid w:val="00733A34"/>
    <w:rsid w:val="0077564A"/>
    <w:rsid w:val="00807E9A"/>
    <w:rsid w:val="00837B51"/>
    <w:rsid w:val="00841E3A"/>
    <w:rsid w:val="008448EB"/>
    <w:rsid w:val="0087755F"/>
    <w:rsid w:val="00950E76"/>
    <w:rsid w:val="009804A4"/>
    <w:rsid w:val="00994C0A"/>
    <w:rsid w:val="00A47F41"/>
    <w:rsid w:val="00A7525F"/>
    <w:rsid w:val="00AC2338"/>
    <w:rsid w:val="00AC6000"/>
    <w:rsid w:val="00AE10CB"/>
    <w:rsid w:val="00B006BC"/>
    <w:rsid w:val="00B02810"/>
    <w:rsid w:val="00B361BB"/>
    <w:rsid w:val="00BC53AA"/>
    <w:rsid w:val="00BE5919"/>
    <w:rsid w:val="00C31943"/>
    <w:rsid w:val="00C511EE"/>
    <w:rsid w:val="00C65CE4"/>
    <w:rsid w:val="00C83B08"/>
    <w:rsid w:val="00CA1B54"/>
    <w:rsid w:val="00D022B9"/>
    <w:rsid w:val="00D1404C"/>
    <w:rsid w:val="00D46FA1"/>
    <w:rsid w:val="00E04396"/>
    <w:rsid w:val="00E47311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3E0F8D9-343C-4E3B-8C5A-83D7DB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102"/>
    <w:pPr>
      <w:spacing w:after="0" w:line="240" w:lineRule="auto"/>
      <w:ind w:firstLine="360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A34"/>
    <w:pPr>
      <w:keepNext/>
      <w:keepLines/>
      <w:spacing w:before="40" w:line="259" w:lineRule="auto"/>
      <w:ind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220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943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C31943"/>
  </w:style>
  <w:style w:type="character" w:customStyle="1" w:styleId="Nagwek3Znak">
    <w:name w:val="Nagłówek 3 Znak"/>
    <w:basedOn w:val="Domylnaczcionkaakapitu"/>
    <w:link w:val="Nagwek3"/>
    <w:uiPriority w:val="9"/>
    <w:rsid w:val="00733A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3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igracja.webankieta.pl/" TargetMode="External"/><Relationship Id="rId13" Type="http://schemas.openxmlformats.org/officeDocument/2006/relationships/hyperlink" Target="https://poland.girlsintech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ulbright.edu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sc.ug.edu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lska1.pl/projects/gdynska-trojka-i-co-dal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ka1.pl/projects/e-migracja/" TargetMode="External"/><Relationship Id="rId14" Type="http://schemas.openxmlformats.org/officeDocument/2006/relationships/hyperlink" Target="https://girlsfutureread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Michalina Domoń</cp:lastModifiedBy>
  <cp:revision>6</cp:revision>
  <cp:lastPrinted>2018-03-13T08:12:00Z</cp:lastPrinted>
  <dcterms:created xsi:type="dcterms:W3CDTF">2022-04-28T07:45:00Z</dcterms:created>
  <dcterms:modified xsi:type="dcterms:W3CDTF">2022-04-28T10:09:00Z</dcterms:modified>
</cp:coreProperties>
</file>