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D4B" w:rsidRPr="00D00D4B" w:rsidRDefault="00D00D4B" w:rsidP="00D00D4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00D4B" w:rsidRPr="00D00D4B" w:rsidRDefault="00D00D4B" w:rsidP="00D00D4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UCHWAŁA NR 10</w:t>
      </w:r>
    </w:p>
    <w:p w:rsidR="00D00D4B" w:rsidRPr="00D00D4B" w:rsidRDefault="00D00D4B" w:rsidP="00D00D4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KOMITETU RADY MINISTRÓW DO SPRAW CYFRYZACJI</w:t>
      </w:r>
    </w:p>
    <w:p w:rsidR="00D00D4B" w:rsidRDefault="00D00D4B" w:rsidP="00D00D4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0D4B">
        <w:rPr>
          <w:rFonts w:ascii="Times New Roman" w:hAnsi="Times New Roman" w:cs="Times New Roman"/>
          <w:sz w:val="24"/>
          <w:szCs w:val="24"/>
        </w:rPr>
        <w:t>z dnia ….. marca 2020 r.</w:t>
      </w:r>
    </w:p>
    <w:p w:rsidR="00D00D4B" w:rsidRPr="00D00D4B" w:rsidRDefault="00D00D4B" w:rsidP="00D00D4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w sprawie określenia wzoru raportu z postępu rzeczowo-finansowego projektu</w:t>
      </w:r>
    </w:p>
    <w:p w:rsidR="00D00D4B" w:rsidRPr="00D00D4B" w:rsidRDefault="00D00D4B" w:rsidP="00D00D4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informatycznego</w:t>
      </w:r>
    </w:p>
    <w:p w:rsidR="00D00D4B" w:rsidRDefault="00D00D4B" w:rsidP="00D00D4B">
      <w:pPr>
        <w:spacing w:line="269" w:lineRule="auto"/>
        <w:rPr>
          <w:rFonts w:ascii="Times New Roman" w:hAnsi="Times New Roman" w:cs="Times New Roman"/>
          <w:sz w:val="24"/>
          <w:szCs w:val="24"/>
        </w:rPr>
      </w:pPr>
    </w:p>
    <w:p w:rsidR="00D00D4B" w:rsidRDefault="00D00D4B" w:rsidP="00D00D4B">
      <w:pPr>
        <w:spacing w:line="269" w:lineRule="auto"/>
        <w:rPr>
          <w:rFonts w:ascii="Times New Roman" w:hAnsi="Times New Roman" w:cs="Times New Roman"/>
          <w:sz w:val="24"/>
          <w:szCs w:val="24"/>
        </w:rPr>
      </w:pPr>
    </w:p>
    <w:p w:rsidR="00D00D4B" w:rsidRDefault="00D00D4B" w:rsidP="006F4152">
      <w:pPr>
        <w:spacing w:line="312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D4B">
        <w:rPr>
          <w:rFonts w:ascii="Times New Roman" w:hAnsi="Times New Roman" w:cs="Times New Roman"/>
          <w:sz w:val="24"/>
          <w:szCs w:val="24"/>
        </w:rPr>
        <w:t xml:space="preserve">Na podstawie § 8 ust. 7 zarządzenia nr 48 Prezesa Rady Ministrów z dnia 12 kwietnia </w:t>
      </w:r>
      <w:r w:rsidR="004D453B">
        <w:rPr>
          <w:rFonts w:ascii="Times New Roman" w:hAnsi="Times New Roman" w:cs="Times New Roman"/>
          <w:sz w:val="24"/>
          <w:szCs w:val="24"/>
        </w:rPr>
        <w:br/>
      </w:r>
      <w:r w:rsidRPr="00D00D4B">
        <w:rPr>
          <w:rFonts w:ascii="Times New Roman" w:hAnsi="Times New Roman" w:cs="Times New Roman"/>
          <w:sz w:val="24"/>
          <w:szCs w:val="24"/>
        </w:rPr>
        <w:t>2016 r. w sprawie Komitetu Rady Ministrów do spraw Cyfryzacji (M.P. z 2018 r. poz. 705</w:t>
      </w:r>
      <w:r w:rsidR="00C222FF">
        <w:rPr>
          <w:rFonts w:ascii="Times New Roman" w:hAnsi="Times New Roman" w:cs="Times New Roman"/>
          <w:sz w:val="24"/>
          <w:szCs w:val="24"/>
        </w:rPr>
        <w:t xml:space="preserve"> oraz z 2020 r. poz. 226</w:t>
      </w:r>
      <w:r w:rsidRPr="00D00D4B">
        <w:rPr>
          <w:rFonts w:ascii="Times New Roman" w:hAnsi="Times New Roman" w:cs="Times New Roman"/>
          <w:sz w:val="24"/>
          <w:szCs w:val="24"/>
        </w:rPr>
        <w:t xml:space="preserve">) uchwala się, co następuje: </w:t>
      </w:r>
    </w:p>
    <w:p w:rsidR="00D00D4B" w:rsidRDefault="00D00D4B" w:rsidP="006F4152">
      <w:pPr>
        <w:spacing w:before="120" w:line="312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§ 1.</w:t>
      </w:r>
      <w:r w:rsidRPr="00D00D4B">
        <w:rPr>
          <w:rFonts w:ascii="Times New Roman" w:hAnsi="Times New Roman" w:cs="Times New Roman"/>
          <w:sz w:val="24"/>
          <w:szCs w:val="24"/>
        </w:rPr>
        <w:t xml:space="preserve"> Określa się wzór raportu z postępu rzeczowo-finansowego projektu informatycznego, stanowiący załącznik do uchwały.</w:t>
      </w:r>
      <w:bookmarkStart w:id="0" w:name="_GoBack"/>
      <w:bookmarkEnd w:id="0"/>
    </w:p>
    <w:p w:rsidR="00D00D4B" w:rsidRDefault="00D00D4B" w:rsidP="006F4152">
      <w:pPr>
        <w:spacing w:before="120" w:line="312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§ 2.</w:t>
      </w:r>
      <w:r w:rsidR="006F4152">
        <w:rPr>
          <w:rFonts w:ascii="Times New Roman" w:hAnsi="Times New Roman" w:cs="Times New Roman"/>
          <w:sz w:val="24"/>
          <w:szCs w:val="24"/>
        </w:rPr>
        <w:t xml:space="preserve"> Traci moc uchwała Nr 9</w:t>
      </w:r>
      <w:r w:rsidRPr="00D00D4B">
        <w:rPr>
          <w:rFonts w:ascii="Times New Roman" w:hAnsi="Times New Roman" w:cs="Times New Roman"/>
          <w:sz w:val="24"/>
          <w:szCs w:val="24"/>
        </w:rPr>
        <w:t xml:space="preserve"> Komitetu Rady Ministrów do spraw Cyfryzacji z dnia </w:t>
      </w:r>
      <w:r w:rsidR="006F4152">
        <w:rPr>
          <w:rFonts w:ascii="Times New Roman" w:hAnsi="Times New Roman" w:cs="Times New Roman"/>
          <w:sz w:val="24"/>
          <w:szCs w:val="24"/>
        </w:rPr>
        <w:br/>
        <w:t>2</w:t>
      </w:r>
      <w:r w:rsidRPr="00D00D4B">
        <w:rPr>
          <w:rFonts w:ascii="Times New Roman" w:hAnsi="Times New Roman" w:cs="Times New Roman"/>
          <w:sz w:val="24"/>
          <w:szCs w:val="24"/>
        </w:rPr>
        <w:t xml:space="preserve">6 </w:t>
      </w:r>
      <w:r w:rsidR="006F4152">
        <w:rPr>
          <w:rFonts w:ascii="Times New Roman" w:hAnsi="Times New Roman" w:cs="Times New Roman"/>
          <w:sz w:val="24"/>
          <w:szCs w:val="24"/>
        </w:rPr>
        <w:t>września 2019</w:t>
      </w:r>
      <w:r w:rsidRPr="00D00D4B">
        <w:rPr>
          <w:rFonts w:ascii="Times New Roman" w:hAnsi="Times New Roman" w:cs="Times New Roman"/>
          <w:sz w:val="24"/>
          <w:szCs w:val="24"/>
        </w:rPr>
        <w:t xml:space="preserve"> r. w sprawie określenia wzoru raportu z postępu rzeczowo-finansowego projektu informatycznego.</w:t>
      </w:r>
    </w:p>
    <w:p w:rsidR="00D00D4B" w:rsidRDefault="00D00D4B" w:rsidP="006F4152">
      <w:pPr>
        <w:spacing w:before="120" w:line="312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§ 3</w:t>
      </w:r>
      <w:r w:rsidRPr="00D00D4B">
        <w:rPr>
          <w:rFonts w:ascii="Times New Roman" w:hAnsi="Times New Roman" w:cs="Times New Roman"/>
          <w:sz w:val="24"/>
          <w:szCs w:val="24"/>
        </w:rPr>
        <w:t>. Uchwała wchodzi w życie z dniem podjęcia</w:t>
      </w:r>
      <w:r w:rsidR="00C222FF">
        <w:rPr>
          <w:rFonts w:ascii="Times New Roman" w:hAnsi="Times New Roman" w:cs="Times New Roman"/>
          <w:sz w:val="24"/>
          <w:szCs w:val="24"/>
        </w:rPr>
        <w:t>.</w:t>
      </w:r>
      <w:r w:rsidRPr="00D00D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0D4B" w:rsidRDefault="00D00D4B" w:rsidP="00D00D4B">
      <w:pPr>
        <w:spacing w:line="269" w:lineRule="auto"/>
        <w:rPr>
          <w:rFonts w:ascii="Times New Roman" w:hAnsi="Times New Roman" w:cs="Times New Roman"/>
          <w:sz w:val="24"/>
          <w:szCs w:val="24"/>
        </w:rPr>
      </w:pPr>
    </w:p>
    <w:p w:rsidR="00D00D4B" w:rsidRDefault="00D00D4B" w:rsidP="00D00D4B">
      <w:pPr>
        <w:spacing w:line="269" w:lineRule="auto"/>
        <w:rPr>
          <w:rFonts w:ascii="Times New Roman" w:hAnsi="Times New Roman" w:cs="Times New Roman"/>
          <w:sz w:val="24"/>
          <w:szCs w:val="24"/>
        </w:rPr>
      </w:pPr>
    </w:p>
    <w:p w:rsidR="00D00D4B" w:rsidRPr="00D00D4B" w:rsidRDefault="00D00D4B" w:rsidP="00D00D4B">
      <w:pPr>
        <w:spacing w:line="360" w:lineRule="auto"/>
        <w:ind w:firstLine="49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PRZEWODNICZĄCY</w:t>
      </w:r>
    </w:p>
    <w:p w:rsidR="00D00D4B" w:rsidRPr="00D00D4B" w:rsidRDefault="00D00D4B" w:rsidP="006F4152">
      <w:pPr>
        <w:spacing w:before="120" w:line="360" w:lineRule="auto"/>
        <w:ind w:firstLine="49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KOMITETU RADY MINISTRÓW</w:t>
      </w:r>
    </w:p>
    <w:p w:rsidR="00D00D4B" w:rsidRPr="00D00D4B" w:rsidRDefault="00D00D4B" w:rsidP="00D00D4B">
      <w:pPr>
        <w:spacing w:line="360" w:lineRule="auto"/>
        <w:ind w:firstLine="49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DO SPRAW CYFRYZACJI</w:t>
      </w:r>
    </w:p>
    <w:p w:rsidR="00782E81" w:rsidRPr="00D00D4B" w:rsidRDefault="00D00D4B" w:rsidP="006F4152">
      <w:pPr>
        <w:spacing w:before="120" w:line="360" w:lineRule="auto"/>
        <w:ind w:firstLine="49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4B">
        <w:rPr>
          <w:rFonts w:ascii="Times New Roman" w:hAnsi="Times New Roman" w:cs="Times New Roman"/>
          <w:b/>
          <w:sz w:val="24"/>
          <w:szCs w:val="24"/>
        </w:rPr>
        <w:t>MAREK ZAGÓRSKI</w:t>
      </w:r>
    </w:p>
    <w:p w:rsidR="00D00D4B" w:rsidRDefault="00D00D4B" w:rsidP="00D00D4B">
      <w:pPr>
        <w:spacing w:line="269" w:lineRule="auto"/>
        <w:rPr>
          <w:rFonts w:ascii="Times New Roman" w:hAnsi="Times New Roman" w:cs="Times New Roman"/>
          <w:sz w:val="24"/>
          <w:szCs w:val="24"/>
        </w:rPr>
      </w:pPr>
    </w:p>
    <w:p w:rsidR="00D00D4B" w:rsidRDefault="00D00D4B" w:rsidP="00D00D4B">
      <w:pPr>
        <w:spacing w:line="269" w:lineRule="auto"/>
        <w:rPr>
          <w:rFonts w:ascii="Times New Roman" w:hAnsi="Times New Roman" w:cs="Times New Roman"/>
          <w:sz w:val="24"/>
          <w:szCs w:val="24"/>
        </w:rPr>
      </w:pPr>
    </w:p>
    <w:p w:rsidR="00026BB6" w:rsidRDefault="00026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23423" w:rsidRDefault="00F23423" w:rsidP="00872436">
      <w:pPr>
        <w:spacing w:line="269" w:lineRule="auto"/>
        <w:jc w:val="center"/>
        <w:rPr>
          <w:rFonts w:ascii="Times New Roman" w:hAnsi="Times New Roman" w:cs="Times New Roman"/>
          <w:sz w:val="24"/>
          <w:szCs w:val="24"/>
        </w:rPr>
        <w:sectPr w:rsidR="00F23423" w:rsidSect="00026BB6">
          <w:pgSz w:w="11906" w:h="16838"/>
          <w:pgMar w:top="1417" w:right="1417" w:bottom="1417" w:left="1417" w:header="680" w:footer="708" w:gutter="0"/>
          <w:cols w:space="708"/>
          <w:docGrid w:linePitch="360"/>
        </w:sectPr>
      </w:pPr>
    </w:p>
    <w:p w:rsidR="00872436" w:rsidRDefault="00EF2131" w:rsidP="00EF2131">
      <w:pPr>
        <w:spacing w:line="26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792480</wp:posOffset>
                </wp:positionV>
                <wp:extent cx="5886450" cy="802005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802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2131" w:rsidRPr="006F4152" w:rsidRDefault="00EF2131" w:rsidP="00EF2131">
                            <w:pPr>
                              <w:spacing w:line="269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F415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UZASADNIENIE</w:t>
                            </w:r>
                          </w:p>
                          <w:p w:rsidR="00EF2131" w:rsidRDefault="00EF2131" w:rsidP="00EF2131">
                            <w:pPr>
                              <w:spacing w:line="269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F2131" w:rsidRPr="00D00D4B" w:rsidRDefault="00EF2131" w:rsidP="00EF2131">
                            <w:pPr>
                              <w:spacing w:before="120" w:line="269" w:lineRule="auto"/>
                              <w:ind w:firstLine="601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 zadań Komitetu Rady Ministrów do Spraw Cyfryzacj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 należy m.in. opiniowanie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oraz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monitorowane postępu rzeczowo-finansowego projektów informatycznych realizowanych na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poziomie administracji rządowej. Dotychczasowe doświadczenia w tym obszarze wykazują,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że podmioty realizujące projekty nie zawsze mają odpowiedni warsztat metodyczny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pozwalający na dokładny opis wymagań przy konstruowaniu opisów przedmiotu udzielanych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zamówień publicznych. Rezultatem są rozwiązania niedopasowane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 rzeczywistych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wymagań, które nie zostały w odpowiedni sposób udokumentowane podczas tworzenia opisu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przedmiotu zamówienia.</w:t>
                            </w:r>
                          </w:p>
                          <w:p w:rsidR="00182BD7" w:rsidRDefault="00EF2131" w:rsidP="00EF2131">
                            <w:pPr>
                              <w:spacing w:before="120" w:line="269" w:lineRule="auto"/>
                              <w:ind w:firstLine="601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Mając na celu podnoszenie jakości dokumentacji analitycznej projektów informatycznych oraz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ograniczenie sytuacji niedopasowania budowanych rozwiązań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do stawianych wymagań,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2B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konieczne jest doprecyzowanie</w:t>
                            </w:r>
                            <w:r w:rsidR="004D32F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zapisów</w:t>
                            </w:r>
                            <w:r w:rsidR="00182B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2BD7"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załącznika do raportu</w:t>
                            </w:r>
                            <w:r w:rsidR="00182B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2BD7"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kwartalnego z postępu rzeczowo-finansowego projektu w zakresie dot. wymiarowania systemu</w:t>
                            </w:r>
                            <w:r w:rsidR="00182B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informatycznego oraz </w:t>
                            </w:r>
                            <w:r w:rsidR="004D32F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katalogu projektów objętych obowiązkiem jego przekazywania</w:t>
                            </w:r>
                            <w:r w:rsidR="00182B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EF2131" w:rsidRDefault="00EF2131" w:rsidP="00182BD7">
                            <w:pPr>
                              <w:spacing w:before="120" w:line="269" w:lineRule="auto"/>
                              <w:ind w:firstLine="601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Załącznik obowiązuje dla projektów, których realizacja rozpoczęła się najwcześniej w dniu wejścia niniejszej uchwały w życie.</w:t>
                            </w:r>
                            <w:r w:rsidR="00182B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D32F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est składany na koniec kwartału, w którym </w:t>
                            </w:r>
                            <w:r w:rsidRPr="004028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zostało udzielone zamówienie publiczne na nowy system informatyczny (tj. nieistniejący przed udzieleniem zamówienia),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pod warunkiem, że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komponent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informatyczny szacowany jest </w:t>
                            </w:r>
                            <w:r w:rsidRPr="004028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na kwotę powyżej 10 mln zł (z wyłączeniem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systemów informatycznych budowa</w:t>
                            </w:r>
                            <w:r w:rsidRPr="004028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nych w modelu in-house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  <w:p w:rsidR="00EF2131" w:rsidRPr="00D00D4B" w:rsidRDefault="00EF2131" w:rsidP="00EF2131">
                            <w:pPr>
                              <w:spacing w:before="120" w:line="269" w:lineRule="auto"/>
                              <w:ind w:firstLine="601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Wymiarowanie powinno być przeprowadzone meto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dyką IFPUG, COSMIC lub metodyką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własną opartą na dwóch wymienionych. W przypadku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własnej metodyki konieczne jest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załączenie podręcznika metodyki.</w:t>
                            </w:r>
                          </w:p>
                          <w:p w:rsidR="00EF2131" w:rsidRPr="00D00D4B" w:rsidRDefault="00EF2131" w:rsidP="00EF2131">
                            <w:pPr>
                              <w:spacing w:before="120" w:line="269" w:lineRule="auto"/>
                              <w:ind w:firstLine="601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Metody badania złożoności oprogramowania oparte na zliczaniu punktów funkcyjnych będące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przedmiotem proponowanej zmiany pozwalają w sposób bezstronny i weryfikowalny zbadać 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opisać złożoność zamawianego oprogramowania. Wdrożenie ich spowoduje podniesienie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jakości dokumentów analitycznych, a w rezultacie opisów przedmiotu zamówień publicznych.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Pozwoli to także na standaryzację gromadzenia i dokumentowania wymagań oraz zmniejszy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ryzyko dostarczenia rozwiązania niesatysfakcjonującego. W przypadku kontroli zastosowanie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takich metod daje jasną i jednolitą ścieżkę audytową. Metody te są niezależne od stosowanych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technologii i zrozumiałe dla obu stron: zamawiającego i dostawcy. Metody zliczania punktów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funkcyjnych IFPUG i COSMIC są uznane przez ISO (ISO/IEC 20926:2009; ISO/IEC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00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19761:2011) i stosowane od wielu lat.</w:t>
                            </w:r>
                          </w:p>
                          <w:p w:rsidR="00EF2131" w:rsidRDefault="00EF213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9.3pt;margin-top:62.4pt;width:463.5pt;height:6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S1jAIAAJAFAAAOAAAAZHJzL2Uyb0RvYy54bWysVEtv2zAMvg/YfxB0X510aZcFdYosRYcB&#10;RVusHXpWZCkRKouaxMTOfv0o2Xms66XDLjYlfiTFj4+Ly7a2bKNCNOBKPjwZcKachMq4Zcl/PF5/&#10;GHMWUbhKWHCq5FsV+eX0/buLxk/UKazAViowcuLipPElXyH6SVFEuVK1iCfglSOlhlALpGNYFlUQ&#10;DXmvbXE6GJwXDYTKB5AqRrq96pR8mv1rrSTeaR0VMltyehvmb8jfRfoW0wsxWQbhV0b2zxD/8Ipa&#10;GEdB966uBAq2DuYvV7WRASJoPJFQF6C1kSrnQNkMBy+yeVgJr3IuRE70e5ri/3Mrbzf3gZmKaseZ&#10;EzWV6B6sYqieI0Kj2DBR1Pg4IeSDJyy2X6BN8P4+0mXKvNWhTn/KiZGeyN7uCVYtMkmXZ+Px+eiM&#10;VJJ04wEVkA7kpziY+xDxq4KaJaHkgSqYiRWbm4gddAdJ0SJYU10ba/MhdY2a28A2guptMT+SnP+B&#10;so41JT//SKGTkYNk3nm2Lt2o3Dd9uJR6l2KWcGtVwlj3XWniLWf6SmwhpXL7+BmdUJpCvcWwxx9e&#10;9RbjLg+yyJHB4d64Ng5Czj4P2oGy6nlHme7wVJujvJOI7aLtS7+AaksdEaAbq+jltaGq3YiI9yLQ&#10;HFGlaTfgHX20BWIdeomzFYRfr90nPLU3aTlraC5LHn+uRVCc2W+OGv/zcDRKg5wPo7NPp3QIx5rF&#10;scat6zlQK1Bz0+uymPBod6IOUD/RCpmlqKQSTlLskuNOnGO3LWgFSTWbZRCNrhd44x68TK4Tvakn&#10;H9snEXzfuEg9fwu7CRaTF/3bYZOlg9kaQZvc3IngjtWeeBr7PB79ikp75ficUYdFOv0NAAD//wMA&#10;UEsDBBQABgAIAAAAIQDdCGuD4AAAAAsBAAAPAAAAZHJzL2Rvd25yZXYueG1sTE/LTsMwELwj8Q/W&#10;InFBrUPTRwhxKoSAStxoCoibGy9JRLyOYjcJf89ygtNqHpqdybaTbcWAvW8cKbieRyCQSmcaqhQc&#10;isdZAsIHTUa3jlDBN3rY5udnmU6NG+kFh32oBIeQT7WCOoQuldKXNVrt565DYu3T9VYHhn0lTa9H&#10;DretXETRWlrdEH+odYf3NZZf+5NV8HFVvT/76el1jFdx97Abis2bKZS6vJjubkEEnMKfGX7rc3XI&#10;udPRnch40TJO1uzku1jyBDbcLFfMHJmJk00CMs/k/w35DwAAAP//AwBQSwECLQAUAAYACAAAACEA&#10;toM4kv4AAADhAQAAEwAAAAAAAAAAAAAAAAAAAAAAW0NvbnRlbnRfVHlwZXNdLnhtbFBLAQItABQA&#10;BgAIAAAAIQA4/SH/1gAAAJQBAAALAAAAAAAAAAAAAAAAAC8BAABfcmVscy8ucmVsc1BLAQItABQA&#10;BgAIAAAAIQDFpnS1jAIAAJAFAAAOAAAAAAAAAAAAAAAAAC4CAABkcnMvZTJvRG9jLnhtbFBLAQIt&#10;ABQABgAIAAAAIQDdCGuD4AAAAAsBAAAPAAAAAAAAAAAAAAAAAOYEAABkcnMvZG93bnJldi54bWxQ&#10;SwUGAAAAAAQABADzAAAA8wUAAAAA&#10;" fillcolor="white [3201]" stroked="f" strokeweight=".5pt">
                <v:textbox>
                  <w:txbxContent>
                    <w:p w:rsidR="00EF2131" w:rsidRPr="006F4152" w:rsidRDefault="00EF2131" w:rsidP="00EF2131">
                      <w:pPr>
                        <w:spacing w:line="269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F415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UZASADNIENIE</w:t>
                      </w:r>
                    </w:p>
                    <w:p w:rsidR="00EF2131" w:rsidRDefault="00EF2131" w:rsidP="00EF2131">
                      <w:pPr>
                        <w:spacing w:line="269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EF2131" w:rsidRPr="00D00D4B" w:rsidRDefault="00EF2131" w:rsidP="00EF2131">
                      <w:pPr>
                        <w:spacing w:before="120" w:line="269" w:lineRule="auto"/>
                        <w:ind w:firstLine="601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 zadań Komitetu Rady Ministrów do Spraw Cyfryzacj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 należy m.in. opiniowanie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oraz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monitorowane postępu rzeczowo-finansowego projektów informatycznych realizowanych na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poziomie administracji rządowej. Dotychczasowe doświadczenia w tym obszarze wykazują,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że podmioty realizujące projekty nie zawsze mają odpowiedni warsztat metodyczny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pozwalający na dokładny opis wymagań przy konstruowaniu opisów przedmiotu udzielanych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zamówień publicznych. Rezultatem są rozwiązania niedopasowane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 rzeczywistych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wymagań, które nie zostały w odpowiedni sposób udokumentowane podczas tworzenia opisu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przedmiotu zamówienia.</w:t>
                      </w:r>
                    </w:p>
                    <w:p w:rsidR="00182BD7" w:rsidRDefault="00EF2131" w:rsidP="00EF2131">
                      <w:pPr>
                        <w:spacing w:before="120" w:line="269" w:lineRule="auto"/>
                        <w:ind w:firstLine="601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Mając na celu podnoszenie jakości dokumentacji analitycznej projektów informatycznych oraz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ograniczenie sytuacji niedopasowania budowanych rozwiązań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do stawianych wymagań,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182B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konieczne jest doprecyzowanie</w:t>
                      </w:r>
                      <w:r w:rsidR="004D32F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zapisów</w:t>
                      </w:r>
                      <w:r w:rsidR="00182B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182BD7"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załącznika do raportu</w:t>
                      </w:r>
                      <w:r w:rsidR="00182B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182BD7"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kwartalnego z postępu rzeczowo-finansowego projektu w zakresie dot. wymiarowania systemu</w:t>
                      </w:r>
                      <w:r w:rsidR="00182B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informatycznego oraz </w:t>
                      </w:r>
                      <w:r w:rsidR="004D32F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katalogu projektów objętych obowiązkiem jego przekazywania</w:t>
                      </w:r>
                      <w:r w:rsidR="00182B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EF2131" w:rsidRDefault="00EF2131" w:rsidP="00182BD7">
                      <w:pPr>
                        <w:spacing w:before="120" w:line="269" w:lineRule="auto"/>
                        <w:ind w:firstLine="601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Załącznik obowiązuje dla projektów, których realizacja rozpoczęła się najwcześniej w dniu wejścia niniejszej uchwały w życie.</w:t>
                      </w:r>
                      <w:r w:rsidR="00182B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4D32F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est składany na koniec kwartału, w którym </w:t>
                      </w:r>
                      <w:r w:rsidRPr="004028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zostało udzielone zamówienie publiczne na nowy system informatyczny (tj. nieistniejący przed udzieleniem zamówienia),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pod warunkiem, że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komponent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informatyczny szacowany jest </w:t>
                      </w:r>
                      <w:r w:rsidRPr="004028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na kwotę powyżej 10 mln zł (z wyłączeniem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systemów informatycznych budowa</w:t>
                      </w:r>
                      <w:r w:rsidRPr="004028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nych w modelu in-house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).</w:t>
                      </w:r>
                    </w:p>
                    <w:p w:rsidR="00EF2131" w:rsidRPr="00D00D4B" w:rsidRDefault="00EF2131" w:rsidP="00EF2131">
                      <w:pPr>
                        <w:spacing w:before="120" w:line="269" w:lineRule="auto"/>
                        <w:ind w:firstLine="601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Wymiarowanie powinno być przeprowadzone meto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dyką IFPUG, COSMIC lub metodyką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własną opartą na dwóch wymienionych. W przypadku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własnej metodyki konieczne jest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załączenie podręcznika metodyki.</w:t>
                      </w:r>
                    </w:p>
                    <w:p w:rsidR="00EF2131" w:rsidRPr="00D00D4B" w:rsidRDefault="00EF2131" w:rsidP="00EF2131">
                      <w:pPr>
                        <w:spacing w:before="120" w:line="269" w:lineRule="auto"/>
                        <w:ind w:firstLine="601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Metody badania złożoności oprogramowania oparte na zliczaniu punktów funkcyjnych będące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przedmiotem proponowanej zmiany pozwalają w sposób bezstronny i weryfikowalny zbadać i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opisać złożoność zamawianego oprogramowania. Wdrożenie ich spowoduje podniesienie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jakości dokumentów analitycznych, a w rezultacie opisów przedmiotu zamówień publicznych.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Pozwoli to także na standaryzację gromadzenia i dokumentowania wymagań oraz zmniejszy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ryzyko dostarczenia rozwiązania niesatysfakcjonującego. W przypadku kontroli zastosowanie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takich metod daje jasną i jednolitą ścieżkę audytową. Metody te są niezależne od stosowanych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technologii i zrozumiałe dla obu stron: zamawiającego i dostawcy. Metody zliczania punktów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funkcyjnych IFPUG i COSMIC są uznane przez ISO (ISO/IEC 20926:2009; ISO/IEC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00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19761:2011) i stosowane od wielu lat.</w:t>
                      </w:r>
                    </w:p>
                    <w:p w:rsidR="00EF2131" w:rsidRDefault="00EF2131"/>
                  </w:txbxContent>
                </v:textbox>
              </v:shape>
            </w:pict>
          </mc:Fallback>
        </mc:AlternateContent>
      </w:r>
      <w:r w:rsidRPr="00EF2131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-252095</wp:posOffset>
                </wp:positionH>
                <wp:positionV relativeFrom="paragraph">
                  <wp:posOffset>74930</wp:posOffset>
                </wp:positionV>
                <wp:extent cx="6650990" cy="9862185"/>
                <wp:effectExtent l="0" t="0" r="16510" b="2476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990" cy="986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131" w:rsidRDefault="00EF2131"/>
                          <w:p w:rsidR="00EF2131" w:rsidRDefault="00EF21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-19.85pt;margin-top:5.9pt;width:523.7pt;height:77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J2pKwIAAFMEAAAOAAAAZHJzL2Uyb0RvYy54bWysVM1u2zAMvg/YOwi6L3aMJE2MOEWXLsOA&#10;bivQ7QFkWY6FSqImKbG7px8lp2n2dxnmg0CK1EfyI+n19aAVOQrnJZiKTic5JcJwaKTZV/Trl92b&#10;JSU+MNMwBUZU9El4er15/Wrd21IU0IFqhCMIYnzZ24p2IdgyyzzvhGZ+AlYYNLbgNAuoun3WONYj&#10;ulZZkeeLrAfXWAdceI+3t6ORbhJ+2woePretF4GoimJuIZ0unXU8s82alXvHbCf5KQ32D1loJg0G&#10;PUPdssDIwcnfoLTkDjy0YcJBZ9C2kotUA1YzzX+p5qFjVqRakBxvzzT5/wfLPx3vHZFNRYvpFSWG&#10;aWzSPShBgnj0AXpBikhSb32Jvg8WvcPwFgZsdirY2zvgj54Y2HbM7MWNc9B3gjWY5DS+zC6ejjg+&#10;gtT9R2gwFjsESEBD63RkEDkhiI7Nejo3SAyBcLxcLOb5aoUmjrbVclFMl/MUg5XPz63z4b0ATaJQ&#10;UYcTkODZ8c6HmA4rn11iNA9KNjupVFLcvt4qR44Mp2WXvhP6T27KkB7Dz4v5yMBfIfL0/QlCy4Bj&#10;r6Su6PLsxMrI2zvTpKEMTKpRxpSVOREZuRtZDEM9pMYlliPJNTRPyKyDccpxK1HowH2npMcJr6j/&#10;dmBOUKI+GOzOajqbxZVIymx+VaDiLi31pYUZjlAVDZSM4jakNYq8GbjBLrYy8fuSySllnNxE+2nL&#10;4mpc6snr5V+w+QEAAP//AwBQSwMEFAAGAAgAAAAhAAx7FgHhAAAADAEAAA8AAABkcnMvZG93bnJl&#10;di54bWxMj81OwzAQhO9IvIO1SFxQa5eWpAlxKoQEghsUBFc33iYR/gm2m4a3Z3uC2+7OaPabajNZ&#10;w0YMsfdOwmIugKFrvO5dK+H97WG2BhaTcloZ71DCD0bY1OdnlSq1P7pXHLepZRTiYqkkdCkNJeex&#10;6dCqOPcDOtL2PliVaA0t10EdKdwafi1Exq3qHX3o1ID3HTZf24OVsF49jZ/xefny0WR7U6SrfHz8&#10;DlJeXkx3t8ASTunPDCd8QoeamHb+4HRkRsJsWeRkJWFBFU4GIXK67Gi6yVYF8Lri/0vUvwAAAP//&#10;AwBQSwECLQAUAAYACAAAACEAtoM4kv4AAADhAQAAEwAAAAAAAAAAAAAAAAAAAAAAW0NvbnRlbnRf&#10;VHlwZXNdLnhtbFBLAQItABQABgAIAAAAIQA4/SH/1gAAAJQBAAALAAAAAAAAAAAAAAAAAC8BAABf&#10;cmVscy8ucmVsc1BLAQItABQABgAIAAAAIQBE/J2pKwIAAFMEAAAOAAAAAAAAAAAAAAAAAC4CAABk&#10;cnMvZTJvRG9jLnhtbFBLAQItABQABgAIAAAAIQAMexYB4QAAAAwBAAAPAAAAAAAAAAAAAAAAAIUE&#10;AABkcnMvZG93bnJldi54bWxQSwUGAAAAAAQABADzAAAAkwUAAAAA&#10;">
                <v:textbox>
                  <w:txbxContent>
                    <w:p w:rsidR="00EF2131" w:rsidRDefault="00EF2131"/>
                    <w:p w:rsidR="00EF2131" w:rsidRDefault="00EF2131"/>
                  </w:txbxContent>
                </v:textbox>
                <w10:wrap type="square" anchorx="margin"/>
              </v:shape>
            </w:pict>
          </mc:Fallback>
        </mc:AlternateContent>
      </w:r>
    </w:p>
    <w:sectPr w:rsidR="00872436" w:rsidSect="00F23423">
      <w:pgSz w:w="11906" w:h="16838"/>
      <w:pgMar w:top="567" w:right="567" w:bottom="567" w:left="567" w:header="680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996" w:rsidRDefault="00B00996" w:rsidP="00026BB6">
      <w:r>
        <w:separator/>
      </w:r>
    </w:p>
  </w:endnote>
  <w:endnote w:type="continuationSeparator" w:id="0">
    <w:p w:rsidR="00B00996" w:rsidRDefault="00B00996" w:rsidP="0002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996" w:rsidRDefault="00B00996" w:rsidP="00026BB6">
      <w:r>
        <w:separator/>
      </w:r>
    </w:p>
  </w:footnote>
  <w:footnote w:type="continuationSeparator" w:id="0">
    <w:p w:rsidR="00B00996" w:rsidRDefault="00B00996" w:rsidP="00026B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4B"/>
    <w:rsid w:val="00026BB6"/>
    <w:rsid w:val="00180EDA"/>
    <w:rsid w:val="00182BD7"/>
    <w:rsid w:val="0029090A"/>
    <w:rsid w:val="00402834"/>
    <w:rsid w:val="004D32FD"/>
    <w:rsid w:val="004D453B"/>
    <w:rsid w:val="005C66F8"/>
    <w:rsid w:val="006F4152"/>
    <w:rsid w:val="007209B8"/>
    <w:rsid w:val="00782E81"/>
    <w:rsid w:val="00872436"/>
    <w:rsid w:val="00A1193F"/>
    <w:rsid w:val="00B00996"/>
    <w:rsid w:val="00B06987"/>
    <w:rsid w:val="00C071C9"/>
    <w:rsid w:val="00C222FF"/>
    <w:rsid w:val="00C62ADF"/>
    <w:rsid w:val="00C67FA3"/>
    <w:rsid w:val="00D00D4B"/>
    <w:rsid w:val="00DE580E"/>
    <w:rsid w:val="00E316C7"/>
    <w:rsid w:val="00EF2131"/>
    <w:rsid w:val="00F2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10B24D-AF91-4CA2-AD82-B057FBE5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2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6B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6BB6"/>
  </w:style>
  <w:style w:type="paragraph" w:styleId="Stopka">
    <w:name w:val="footer"/>
    <w:basedOn w:val="Normalny"/>
    <w:link w:val="StopkaZnak"/>
    <w:uiPriority w:val="99"/>
    <w:unhideWhenUsed/>
    <w:rsid w:val="00026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B6"/>
  </w:style>
  <w:style w:type="character" w:styleId="Odwoaniedokomentarza">
    <w:name w:val="annotation reference"/>
    <w:basedOn w:val="Domylnaczcionkaakapitu"/>
    <w:uiPriority w:val="99"/>
    <w:semiHidden/>
    <w:unhideWhenUsed/>
    <w:rsid w:val="00C222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2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2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2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2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22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Zwara Wioletta</dc:creator>
  <cp:keywords/>
  <dc:description/>
  <cp:lastModifiedBy>Zwara Wioletta</cp:lastModifiedBy>
  <cp:revision>3</cp:revision>
  <dcterms:created xsi:type="dcterms:W3CDTF">2020-04-02T11:18:00Z</dcterms:created>
  <dcterms:modified xsi:type="dcterms:W3CDTF">2020-04-02T11:20:00Z</dcterms:modified>
</cp:coreProperties>
</file>