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4EDF1306" w14:textId="77777777" w:rsidR="00466A25" w:rsidRPr="004D093B" w:rsidRDefault="00466A25" w:rsidP="00466A25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OBWIESZCZENIE REFUNDACYJNE NR 68 (1 MARCA 2023 r.)</w:t>
      </w:r>
    </w:p>
    <w:p w14:paraId="5EE9A1B2" w14:textId="77777777" w:rsidR="00466A25" w:rsidRPr="004D093B" w:rsidRDefault="00466A25" w:rsidP="00466A25">
      <w:pPr>
        <w:spacing w:before="360"/>
        <w:jc w:val="center"/>
        <w:rPr>
          <w:rFonts w:ascii="Lato" w:hAnsi="Lato"/>
        </w:rPr>
      </w:pPr>
      <w:bookmarkStart w:id="0" w:name="_Hlk90283803"/>
      <w:r w:rsidRPr="004D093B">
        <w:rPr>
          <w:rFonts w:ascii="Lato" w:hAnsi="Lato"/>
          <w:b/>
          <w:bCs/>
          <w:color w:val="00B0F0"/>
          <w:sz w:val="28"/>
          <w:szCs w:val="28"/>
        </w:rPr>
        <w:t>STATYSTYKI</w:t>
      </w:r>
    </w:p>
    <w:bookmarkEnd w:id="0"/>
    <w:p w14:paraId="43ED25AC" w14:textId="77777777" w:rsidR="00466A25" w:rsidRPr="004D093B" w:rsidRDefault="00466A25" w:rsidP="00466A25">
      <w:p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093B">
        <w:rPr>
          <w:rFonts w:ascii="Lato" w:hAnsi="Lato"/>
          <w:color w:val="000000" w:themeColor="text1"/>
          <w:sz w:val="24"/>
          <w:szCs w:val="24"/>
        </w:rPr>
        <w:t>Obwieszczenie refundacyjne obowiązujące od 1 marca 2023 r. (nr 68), w porównaniu do obwieszczenia 67 zawiera następujące zmiany:</w:t>
      </w:r>
    </w:p>
    <w:p w14:paraId="7BCB028F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W związku z wydaniem pozytywnych decyzji o objęciu refundacją ogółem do wykazu zostały dodane 92 produkty bądź nowe wskazania.</w:t>
      </w:r>
    </w:p>
    <w:p w14:paraId="362E284D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97 produktów wprowadzono obniżki urzędowych cen zbytu (od 0,02 zł do 3 896,40 zł).</w:t>
      </w:r>
    </w:p>
    <w:p w14:paraId="23CCF1A8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67 produktów podwyższono urzędowe ceny zbytu (od 0,38 zł do 2 160,00 zł).</w:t>
      </w:r>
    </w:p>
    <w:p w14:paraId="085F9227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328 pozycji w obwieszczeniu spadnie dopłata pacjenta (od 0,01 zł do 452,70 zł).</w:t>
      </w:r>
    </w:p>
    <w:p w14:paraId="557686A8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601 pozycji w obwieszczeniu wzrośnie dopłata pacjenta (od 0,01 zł do 196,80 zł).</w:t>
      </w:r>
    </w:p>
    <w:p w14:paraId="3F18C67B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385 produktów ulegną obniżeniu ceny detaliczne brutto (od 0,01 zł do 4 140,02 zł).</w:t>
      </w:r>
    </w:p>
    <w:p w14:paraId="3483224B" w14:textId="77777777" w:rsidR="00466A25" w:rsidRPr="004D093B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Dla 180 produktów wzrosną ceny detaliczne brutto (od 0,01 zł do 45,55 zł).</w:t>
      </w:r>
    </w:p>
    <w:p w14:paraId="25C76745" w14:textId="77777777" w:rsidR="00466A25" w:rsidRDefault="00466A25" w:rsidP="00466A2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>W związku z wpłynięciem wniosków o skrócenie terminu obowiązywania decyzji refundacyjnych lub upłynięciem terminu obowiązywania decyzji refundacyjnych lub odmową refundacji na kolejny okres w obwieszczeniu nie znajdzie się 36 produktów bądź wskazań figurujących w poprzednim obwieszczeniu.</w:t>
      </w:r>
    </w:p>
    <w:p w14:paraId="0BB263D9" w14:textId="5EDBEBDF" w:rsidR="0048011A" w:rsidRDefault="00466A25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F3146DB" w14:textId="77777777" w:rsidR="00692F96" w:rsidRDefault="006A533F">
      <w:pPr>
        <w:suppressAutoHyphens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69A51437" wp14:editId="153A19A8">
            <wp:extent cx="4352925" cy="2968831"/>
            <wp:effectExtent l="0" t="0" r="9525" b="317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2AB5BB" wp14:editId="253E3B29">
            <wp:extent cx="4305300" cy="297180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C1DE69" w14:textId="6EA77922" w:rsidR="006A533F" w:rsidRPr="00692F96" w:rsidRDefault="00692F96">
      <w:pPr>
        <w:suppressAutoHyphens w:val="0"/>
        <w:rPr>
          <w:noProof/>
        </w:rPr>
      </w:pPr>
      <w:r>
        <w:rPr>
          <w:noProof/>
        </w:rPr>
        <w:drawing>
          <wp:inline distT="0" distB="0" distL="0" distR="0" wp14:anchorId="45722C4E" wp14:editId="039113E9">
            <wp:extent cx="4352925" cy="2613664"/>
            <wp:effectExtent l="0" t="0" r="9525" b="1524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FE3AC3F6-8313-4ADE-B9E4-D05FA14CD5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A533F"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 w:rsidR="00536B7A">
        <w:rPr>
          <w:noProof/>
        </w:rPr>
        <w:drawing>
          <wp:inline distT="0" distB="0" distL="0" distR="0" wp14:anchorId="3B969705" wp14:editId="6933DCCD">
            <wp:extent cx="4333240" cy="2622962"/>
            <wp:effectExtent l="0" t="0" r="10160" b="635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5BE07511-3994-4AD4-9E00-E650E81D2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4D37BF" w14:textId="77777777" w:rsidR="0048011A" w:rsidRPr="00466A25" w:rsidRDefault="0048011A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06A06678" w14:textId="7D136BFD" w:rsidR="00AD08C5" w:rsidRPr="00466A25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66A25">
        <w:rPr>
          <w:rFonts w:ascii="Lato" w:hAnsi="Lato"/>
          <w:b/>
          <w:bCs/>
          <w:color w:val="00B0F0"/>
          <w:sz w:val="28"/>
          <w:szCs w:val="28"/>
        </w:rPr>
        <w:t>NOWE WSKAZANIA ORAZ ZMIANY W PROGRA</w:t>
      </w:r>
      <w:bookmarkStart w:id="1" w:name="_Hlk95686308"/>
      <w:r w:rsidRPr="00466A25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1"/>
      <w:r w:rsidRPr="00466A25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66A25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93"/>
        <w:gridCol w:w="1822"/>
        <w:gridCol w:w="2051"/>
        <w:gridCol w:w="3384"/>
        <w:gridCol w:w="4860"/>
      </w:tblGrid>
      <w:tr w:rsidR="005058F2" w:rsidRPr="00466A25" w14:paraId="7E2E9B6A" w14:textId="77777777" w:rsidTr="00A434EB">
        <w:trPr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66A25" w14:paraId="1C096482" w14:textId="77777777" w:rsidTr="00A434EB">
        <w:trPr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66A25" w14:paraId="60CDF2D4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66A25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D5628B" w:rsidRPr="00466A25" w14:paraId="1F4280B1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219AFE0F" w:rsidR="00D5628B" w:rsidRPr="00466A25" w:rsidRDefault="00D5628B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3BCFCE0C" w:rsidR="00D5628B" w:rsidRPr="00466A25" w:rsidRDefault="00982754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</w:t>
            </w:r>
            <w:r w:rsidR="00FD48BC"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+ Yervoy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0E8596C3" w:rsidR="00D5628B" w:rsidRPr="00466A25" w:rsidRDefault="00B94288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</w:t>
            </w:r>
            <w:r w:rsidR="00C83BE1"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iwolumab</w:t>
            </w:r>
            <w:r w:rsidR="00FD48BC"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 w:rsidR="001D6485"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ipilimumab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21DBE69C" w:rsidR="00D5628B" w:rsidRPr="00466A25" w:rsidRDefault="00F859A8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7820FDC2" w:rsidR="00D5628B" w:rsidRPr="00466A25" w:rsidRDefault="00982754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JELITA GRUBEGO (ICD-10: C18 – C20)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1830B880" w:rsidR="00D5628B" w:rsidRPr="00466A25" w:rsidRDefault="00190358" w:rsidP="0019035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512C3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w II albo III albo IV albo V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linii</w:t>
            </w:r>
            <w:r w:rsidR="0009112E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zaawansowanego raka jelita grubego z potwierdzoną niestabilnością mikrosatelitarną wysokiego stopnia (ang. MSI-H) lub zaburzeniami mechanizmów naprawy uszkodzeń DNA o typie niedopasowania (ang. dMMR) z wykorzystaniem substancji czynnej niwolumab w skojarzeniu z ipilimumabem.</w:t>
            </w:r>
          </w:p>
        </w:tc>
      </w:tr>
      <w:tr w:rsidR="00C83BE1" w:rsidRPr="00466A25" w14:paraId="5A345E23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1C5F8FBE" w:rsidR="00C83BE1" w:rsidRPr="00466A25" w:rsidRDefault="00CA2878" w:rsidP="00C83B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5D6C7743" w:rsidR="00C83BE1" w:rsidRPr="00466A25" w:rsidRDefault="00190358" w:rsidP="00C83BE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056466A6" w:rsidR="00C83BE1" w:rsidRPr="00466A25" w:rsidRDefault="003A0F16" w:rsidP="00C83BE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43267273" w:rsidR="00C83BE1" w:rsidRPr="00466A25" w:rsidRDefault="00190358" w:rsidP="00C83B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7F313AD3" w:rsidR="00C83BE1" w:rsidRPr="00466A25" w:rsidRDefault="00190358" w:rsidP="00C83B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JELITA GRUBEGO (ICD-10: C18 – C20)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1600CA0D" w:rsidR="00C83BE1" w:rsidRPr="00466A25" w:rsidRDefault="00190358" w:rsidP="0019035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512C3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w I linii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09112E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na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zaawansowanego raka jelita grubego z potwierdzoną niestabilnością mikrosatelitarną wysokiego stopnia (ang. MSI-H) lub zaburzeniami mechanizmów naprawy uszkodzeń DNA o typie niedopasowania (ang. dMMR) z wykorzystaniem substancji czynnej pembrolizumab w monoterapii.</w:t>
            </w:r>
          </w:p>
        </w:tc>
      </w:tr>
      <w:tr w:rsidR="00D9306F" w:rsidRPr="00466A25" w14:paraId="2F304C7B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2FD6EF4D" w:rsidR="00D9306F" w:rsidRPr="00466A25" w:rsidRDefault="00CA2878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641B4009" w:rsidR="00D9306F" w:rsidRPr="00466A25" w:rsidRDefault="00D9306F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Imfinzi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047477AF" w:rsidR="00D9306F" w:rsidRPr="00466A25" w:rsidRDefault="00D9306F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durwalumab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032022F5" w:rsidR="00D9306F" w:rsidRPr="00466A25" w:rsidRDefault="00D9306F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02E9D531" w:rsidR="00D9306F" w:rsidRPr="00466A25" w:rsidRDefault="00D9306F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0E173290" w:rsidR="00D9306F" w:rsidRPr="00466A25" w:rsidRDefault="00D9306F" w:rsidP="00D9306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w I linii </w:t>
            </w:r>
            <w:r w:rsidR="0009112E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na drobnokomórkowego raka płuca z zastosowaniem durwalumabu (w skojarzeniu z pochodną platyny (cisplatyna lub karboplatyna) i etopozydem w fazie indukcji)</w:t>
            </w:r>
            <w:r w:rsidR="00CE73E2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CA2878" w:rsidRPr="00466A25" w14:paraId="41B567AC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39F99244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54FAA7AF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2EFFD857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281B4D6F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3A766E45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3A7108C7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Leczenie </w:t>
            </w:r>
            <w:r w:rsidR="0009112E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w II albo III linii</w:t>
            </w:r>
            <w:r w:rsidR="00F017D6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chorych na opornego na kastrację raka gruczołu krokowego po progresji choroby podczas terapii lekiem hormonalnym nowej generacji oraz obecnością patogennej lub prawdopodobnie patogennej mutacji (germinalnej lub somatycznej) w genie BRCA1 lub BRCA2</w:t>
            </w:r>
            <w:r w:rsidR="00CE73E2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CA2878" w:rsidRPr="00466A25" w14:paraId="4193F70D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6082AADE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4C5E7EE9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Erleada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603782D7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apalutamid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4CA355E9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3123A363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44C01560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Leczenie </w:t>
            </w:r>
            <w:r w:rsidR="00633883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w I linii</w:t>
            </w:r>
            <w:r w:rsidR="007D74E2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chorych na wrażliwego na kastrację raka gruczołu krokowego o małym obciążeniu przerzutami (z ang. low volume disease)</w:t>
            </w:r>
            <w:r w:rsidR="00CE73E2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CA2878" w:rsidRPr="00466A25" w14:paraId="34137848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0156F084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0FCE724C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sz w:val="18"/>
                <w:szCs w:val="18"/>
              </w:rPr>
              <w:t>Cabazitaxel Ever Pharma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7E039157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sz w:val="18"/>
                <w:szCs w:val="18"/>
              </w:rPr>
              <w:t>kabazytaksel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69EBBE99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13FBE780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05030AB3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Leczenie </w:t>
            </w:r>
            <w:r w:rsidR="00633883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w I albo II albo III linii</w:t>
            </w:r>
            <w:r w:rsidR="007D0493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chorych na opornego na kastrację raka gruczołu krokowego z przerzutami kabazytakselem, leczonych wcześniej docetakselem</w:t>
            </w:r>
            <w:r w:rsidR="00F017D6" w:rsidRPr="00466A25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CA2878" w:rsidRPr="00466A25" w14:paraId="79F6918C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47E91F79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46B23C48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3EBF656E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4FA30D8B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B.58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3D4B6C81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PRZEŁYKU I ŻOŁĄDKA (ICD-10: C15-C16)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464A9D64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="00633883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 linii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633883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</w:t>
            </w:r>
            <w:bookmarkStart w:id="2" w:name="_Hlk90641900"/>
            <w:r w:rsidR="00633883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miejscowo zaawansowanego raka przełyku nieoperacyjnego lub z przerzutami, lub HER-2 ujemnego gruczolakoraka połączenia przełykowo-żołądkowego</w:t>
            </w:r>
            <w:bookmarkEnd w:id="2"/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wykorzystaniem substancji czynnej pembrolizumab </w:t>
            </w:r>
            <w:bookmarkStart w:id="3" w:name="_Hlk89686969"/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w skojarzeniu z chemioterapią zawierającą pochodną platyny i fluoropirymidynę</w:t>
            </w:r>
            <w:bookmarkEnd w:id="3"/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CA2878" w:rsidRPr="00466A25" w14:paraId="59AF2A0C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156346A7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2177B7DB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Vitrakvi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08D50E46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larotrektynib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2DC2BD69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B.144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1211D02B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GUZAMI LITYMI Z FUZJĄ GENU RECEPTOROWEJ KINAZY TYROZYNOWEJ DLA NEUROTROFIN (NTRK)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EA53" w14:textId="158E073E" w:rsidR="00CA2878" w:rsidRPr="00466A25" w:rsidRDefault="00CA2878" w:rsidP="00CA28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633883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chorych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różnymi typami nowotworów litych, w przypadku których stwierdza się fuzję genu receptorowej kinazy tyrozynowej dla neurotrofin (NTRK). Leczenie dotyczy pacjentów z nowotworami w stadium miejscowo zaawansowanym lub przerzutowym, u których brak jest możliwości leczenia miejscowego lub jego podjęcie może doprowadzić do poważnych i niekorzystnych następstw zdrowotnych. Dodatkowo terapia jest wskazana w przypadkach wyczerpania innych możliwości oraz w przypadkach braku innych terapii o potwierdzonych korzyściach klinicznych w danym wskazaniu. Kwalifikacja do leczenia będzie przeprowadzana przez Zespół Koordynacyjny. </w:t>
            </w:r>
          </w:p>
        </w:tc>
      </w:tr>
      <w:tr w:rsidR="002D6ED9" w:rsidRPr="00466A25" w14:paraId="2EAEEA58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78A0FB81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1993AA96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4AA2CC9A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26E12CBE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C.87.a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5637091A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55812E28" w:rsidR="00633883" w:rsidRPr="00466A25" w:rsidRDefault="0037704D" w:rsidP="006338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Leczenia </w:t>
            </w:r>
            <w:r w:rsidR="00512C3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chorych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nowo rozpoznanego hormonowrażliwego raka gruczołu krokowego wysokiego ryzyka z przerzutami (mHSPC).</w:t>
            </w:r>
          </w:p>
        </w:tc>
      </w:tr>
      <w:tr w:rsidR="002D6ED9" w:rsidRPr="00466A25" w14:paraId="189EA4B0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2DD8111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04CF7C15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196873E6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277E4486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C.87.b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33D73DC2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B4FC" w14:textId="7EE26825" w:rsidR="00B57127" w:rsidRPr="00466A25" w:rsidRDefault="00B57127" w:rsidP="00B5712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Leczenia </w:t>
            </w:r>
            <w:r w:rsidR="00512C3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chorych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wrażliwego na kastrację raka gruczołu krokowego z przerzutami (mHSPC) oraz leczenia pacjentów na opornego na kastrację raka gruczołu krokowego bez przerzutów (nmCRPC) z wysokim ryzykiem wystąpienia przerzutów.</w:t>
            </w:r>
          </w:p>
          <w:p w14:paraId="0B1AA7A9" w14:textId="28E78E1E" w:rsidR="002D6ED9" w:rsidRPr="00466A25" w:rsidRDefault="00B57127" w:rsidP="00B5712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</w:t>
            </w:r>
            <w:r w:rsidRPr="00466A25">
              <w:rPr>
                <w:rFonts w:ascii="Lato" w:hAnsi="Lato" w:cstheme="majorHAnsi"/>
                <w:b/>
                <w:bCs/>
                <w:i/>
                <w:iCs/>
                <w:color w:val="000000"/>
                <w:sz w:val="18"/>
                <w:szCs w:val="18"/>
              </w:rPr>
              <w:t>off-label</w:t>
            </w: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0A4C39AD" w14:textId="77777777" w:rsidR="00466A25" w:rsidRDefault="00466A25"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93"/>
        <w:gridCol w:w="1822"/>
        <w:gridCol w:w="2051"/>
        <w:gridCol w:w="3384"/>
        <w:gridCol w:w="4860"/>
      </w:tblGrid>
      <w:tr w:rsidR="002D6ED9" w:rsidRPr="00466A25" w14:paraId="4C9C4901" w14:textId="77777777" w:rsidTr="00A434EB">
        <w:trPr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35F4C592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66A25" w14:paraId="1394CD71" w14:textId="77777777" w:rsidTr="00466A25">
        <w:trPr>
          <w:trHeight w:val="628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2D6ED9" w:rsidRPr="00466A25" w14:paraId="7522F87A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74F2668D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181588D4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Synagis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0D2EEA76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paliwizumab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29161272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B.40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09F6D944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(ICD-10: P07.2, P07.3, P27.1, P07.0, P07.1, Q20-Q24)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9BB" w14:textId="5DF9B90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u pacjentów z hemodynamicznie istotną wadą serca z jawną niewydolnością serca utrzymującą się pomimo leczenia farmakologicznego, umiarkowanym lub ciężkim wtórnym nadciśnieniem płucnym lub sinicznymi wadami serca z przezskórnym utlenowaniem krwi tętniczej utrzymującej się oraz u dzieci urodzone w wieku ciążowym ≤ 35 tygodni o masie urodzeniowej ≤ 1500 g.</w:t>
            </w:r>
          </w:p>
        </w:tc>
      </w:tr>
      <w:tr w:rsidR="002D6ED9" w:rsidRPr="00466A25" w14:paraId="5ED86F3E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584E303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0531893C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sz w:val="18"/>
                <w:szCs w:val="18"/>
              </w:rPr>
              <w:t>Bimzelx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586A834F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bimekizumab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4ECE5A9B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6AD310CF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5643D8B5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ciężkiej i umiarkowanej postaci łuszczycy bez ograniczeń czasowych u pacjentów powyżej 18 roku życia</w:t>
            </w:r>
            <w:r w:rsidR="00B57127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D6ED9" w:rsidRPr="00466A25" w14:paraId="5CE97390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4A9CA112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7C69203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Cosentyx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6805E260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sekukinumab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D76D92E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26F3BC8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03DD805C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plackowatej, zniesienie limitu czasu leczenia oraz objęcie refundacją pacjentów powyżej 6 roku życia</w:t>
            </w:r>
            <w:r w:rsidR="00B57127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D6ED9" w:rsidRPr="00466A25" w14:paraId="6D899FDB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75DC0960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681A0E39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Skyrizi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4AA08E07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risankizumab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337690A1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1245AC5F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3997EF8F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 i zniesienie limitu czasu leczenia</w:t>
            </w:r>
            <w:r w:rsidR="00B57127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D6ED9" w:rsidRPr="00466A25" w14:paraId="1AF8AB98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15609FEA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15142C41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Tremfya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41F282D2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guselkumab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66973EF0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5AA32339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41F4E869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 i zniesienie limitu czasu leczenia</w:t>
            </w:r>
            <w:r w:rsidR="00B57127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2D6ED9" w:rsidRPr="00466A25" w14:paraId="550257DA" w14:textId="77777777" w:rsidTr="00466A25">
        <w:trPr>
          <w:trHeight w:val="20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423D58C5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1E1653B8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Carbaglu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59966BE5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kwas kargluminowy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53565DD8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B.143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369A1056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KWASEM KARGLUMINOWYM CHORYCH Z ACYDURIAMI ORGANICZNYMI: PROPIONOWĄ, METYLOMALONOWĄ I IZOWALERIANOWĄ (ICD-10: E71.1)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10F4" w14:textId="4F717A80" w:rsidR="002D6ED9" w:rsidRPr="00466A25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kwasic organicznych: propionowej, metylomalonowej i izowalerianowej, genetycznie uwarunkowanych zaburzeń metabolicznych, dotyczących metabolizmu aminokwasów, szczególnie aminokwasów rozgałęzionych (izoleucyna, leucyna i walina).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17160E61" w14:textId="19F55DBA" w:rsidR="00466A25" w:rsidRDefault="00466A25">
      <w:pPr>
        <w:rPr>
          <w:rFonts w:ascii="Lato" w:hAnsi="Lato"/>
          <w:sz w:val="18"/>
          <w:szCs w:val="18"/>
        </w:rPr>
      </w:pPr>
    </w:p>
    <w:p w14:paraId="751959B8" w14:textId="77777777" w:rsidR="00466A25" w:rsidRDefault="00466A25">
      <w:pPr>
        <w:suppressAutoHyphens w:val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682"/>
        <w:gridCol w:w="2560"/>
        <w:gridCol w:w="9405"/>
      </w:tblGrid>
      <w:tr w:rsidR="00A434EB" w:rsidRPr="00466A25" w14:paraId="0B833808" w14:textId="77777777" w:rsidTr="005058F2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66A25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66A25" w14:paraId="2BCC5E80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66A25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66A25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66A25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66A25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033ED5" w:rsidRPr="00466A25" w14:paraId="50DA02B0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25C72FFB" w:rsidR="00033ED5" w:rsidRPr="00466A25" w:rsidRDefault="00033ED5" w:rsidP="00033E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346AA2CD" w:rsidR="00033ED5" w:rsidRPr="00466A25" w:rsidRDefault="00033ED5" w:rsidP="00EB77E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79F45FB8" w:rsidR="00033ED5" w:rsidRPr="00466A25" w:rsidRDefault="00033ED5" w:rsidP="00EB77EA">
            <w:pPr>
              <w:spacing w:before="60" w:after="6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3B280AA2" w:rsidR="00033ED5" w:rsidRPr="00466A25" w:rsidRDefault="00F15BD4" w:rsidP="00EB77E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Dodanie m</w:t>
            </w:r>
            <w:r w:rsidR="00033ED5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ożliwości kwalifikacji pacjentów z przerzutami do ośrodkowego układu nerwowego (OUN) w leczeniu drobnokomórkowego raka płuca durwalumabem albo atezolizumabem</w:t>
            </w:r>
            <w:r w:rsidR="00EB77EA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A1A5B" w:rsidRPr="00466A25" w14:paraId="571B0832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658875DD" w:rsidR="001A1A5B" w:rsidRPr="00466A25" w:rsidRDefault="001A1A5B" w:rsidP="001A1A5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30C5A34A" w:rsidR="001A1A5B" w:rsidRPr="00466A25" w:rsidRDefault="001A1A5B" w:rsidP="00EB77E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288F424B" w:rsidR="001A1A5B" w:rsidRPr="00466A25" w:rsidRDefault="001A1A5B" w:rsidP="00EB77E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466A25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CHORYCH NA RAKA PIERSI (ICD-10: C50)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1AEF094C" w:rsidR="001A1A5B" w:rsidRPr="00466A25" w:rsidRDefault="001A1A5B" w:rsidP="00EB77E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Korekta zapisów dotyczących linii leczenia dla dwóch substancji: talazoparyb oraz sacytuzumab gowetikan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stosowanych w leczeniu przerzutowego potrójnie ujemnego raka piersi.</w:t>
            </w:r>
          </w:p>
        </w:tc>
      </w:tr>
      <w:tr w:rsidR="005C1959" w:rsidRPr="00466A25" w14:paraId="67293BB2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18A17D2A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79FE6DC2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34EFBBED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4DF" w14:textId="6C094DD5" w:rsidR="005C1959" w:rsidRPr="00466A25" w:rsidRDefault="005C1959" w:rsidP="005C1959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dla leków dotychczas dostępnych w ciężkiej postaci łuszczycy, zniesienie limitu czasu leczenia oraz obniżenie wieku leczenia adalimumabem do pacjentów powyżej 4 roku życia i leczenia ustekinumabem, iksekizumabem, sekukinumabem</w:t>
            </w:r>
            <w:r w:rsidRPr="00466A25">
              <w:rPr>
                <w:rFonts w:ascii="Lato" w:hAnsi="Lato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>do pacjentów</w:t>
            </w:r>
            <w:r w:rsidRPr="00466A25">
              <w:rPr>
                <w:rFonts w:ascii="Lato" w:hAnsi="Lato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powyżej 6 roku życia. Dodatkowo wprowadzono monitorowanie skuteczności leczenia przez Zespół Koordynacyjny,  możliwość przeprowadzenia wizyty w programie w formie zdalnej konsultacji oraz uregulowano sprawę leczenia w warunkach domowych.</w:t>
            </w:r>
          </w:p>
        </w:tc>
      </w:tr>
      <w:tr w:rsidR="005C1959" w:rsidRPr="00466A25" w14:paraId="66D571B6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064B72AD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3BFBE34F" w:rsidR="005C1959" w:rsidRPr="00466A25" w:rsidRDefault="005C1959" w:rsidP="005C1959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494C1C26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07E0BE77" w:rsidR="005C1959" w:rsidRPr="00466A25" w:rsidRDefault="005C1959" w:rsidP="005C1959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Zasadniczą zmianą w programie lekowym jest kompleksowe uwzględnienie wszystkich opcji leczenia w ramach jednego programu lekowego, czego efektem, jest zmiana jego nazwy z „B.56. Leczenie chorych na opornego na kastrację raka gruczołu krokowego (ICD-10: C61)” na „B.56. Leczenie chorych na raka gruczołu krokowego (ICD-10: C61)”. Zmiana ta obejmuje uwzględnienie refundowanych już w ramach obecnego programu opcji terapeutycznych, jak również nowych możliwości terapeutycznych znajdujących się w procesie refundacyjnym (tj. apalutamid w mHSPC oraz kabazytaksel, olaparyb w mCRPC). Zmiany zapisów mają charakter porządkujący oraz dostosowują zapisy programu lekowego do aktualnych wytycznych klinicznych. Główną zmianą są zapisy odnoszące się do progresji choroby w kryteriach wyłączenia z programu lekowego.</w:t>
            </w:r>
          </w:p>
        </w:tc>
      </w:tr>
      <w:tr w:rsidR="005C1959" w:rsidRPr="00466A25" w14:paraId="1EC37EE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4F3B3C74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53F79AD8" w:rsidR="005C1959" w:rsidRPr="00466A25" w:rsidRDefault="005C1959" w:rsidP="005C1959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B.75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5CFC3279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LECZENIE ZIARNINIAKOWATOŚCI Z ZAPALENIEM NACZYŃ (GPA) LUB MIKROSKOPOWEGO ZAPALENIA NACZYŃ (MPA) (ICD-10: M31.3, M31.8)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7D753BAB" w:rsidR="005C1959" w:rsidRPr="00466A25" w:rsidRDefault="005C1959" w:rsidP="005C1959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Wprowadzenie </w:t>
            </w:r>
            <w:r w:rsidR="0009112E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zmian zapisów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dotyczących leczenia podtrzymującego rytuksymabem oraz związane z tym zmiany w zakresie kryteriów zakończenia leczenia w programie lekowym i badań diagnostycznych.</w:t>
            </w:r>
          </w:p>
        </w:tc>
      </w:tr>
      <w:tr w:rsidR="005C1959" w:rsidRPr="00466A25" w14:paraId="760505AF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2E8B062F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12FA2DFD" w:rsidR="005C1959" w:rsidRPr="00466A25" w:rsidRDefault="005C1959" w:rsidP="005C1959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B.90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22C2ED3F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LECZENIE ZABURZEŃ MOTORYCZNYCH W PRZEBIEGU ZAAWANSOWANEJ CHOROBY PARKINSONA (ICD-10: G.20)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556B" w14:textId="3B8B0CE3" w:rsidR="005C1959" w:rsidRPr="00466A25" w:rsidRDefault="0009112E" w:rsidP="0009112E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Wprowadzenie zmian w treści programu lekowego w zakresie:</w:t>
            </w:r>
          </w:p>
          <w:p w14:paraId="461DA0F1" w14:textId="77777777" w:rsidR="005C1959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aktualizacji kryteriów diagnostycznych na MDS Clinical Diagnostic Criteria for Parkinson’s Disease;</w:t>
            </w:r>
          </w:p>
          <w:p w14:paraId="79B42ACB" w14:textId="77777777" w:rsidR="005C1959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aktualizacji kryteriów czasu trwania choroby na co najmniej 5 lat;</w:t>
            </w:r>
          </w:p>
          <w:p w14:paraId="0FDAA782" w14:textId="77777777" w:rsidR="005C1959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aktualizacji kryteriów dotyczących występowania stanów off/on i dyskinez;</w:t>
            </w:r>
          </w:p>
          <w:p w14:paraId="5258E025" w14:textId="77777777" w:rsidR="005C1959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lastRenderedPageBreak/>
              <w:t>doprecyzowania kryteriów potwierdzonej skuteczności lewodopy;</w:t>
            </w:r>
          </w:p>
          <w:p w14:paraId="32A63818" w14:textId="77777777" w:rsidR="008017A7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uwzględnienia konieczności wcześniejszego stosowania przynajmniej trzech leków przeciwparkinsonowych; (wymóg dotyczy jedynie kwalifikacji do lewodopy z karbidopą);</w:t>
            </w:r>
          </w:p>
          <w:p w14:paraId="29AD3CDF" w14:textId="2E3B43D6" w:rsidR="005C1959" w:rsidRPr="00466A25" w:rsidRDefault="005C1959" w:rsidP="0009112E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aktualizacji kryteriów oceny odpowiedzi na leczenie i ewentualnego wyłączenia pacjentów z programu.</w:t>
            </w:r>
          </w:p>
        </w:tc>
      </w:tr>
      <w:tr w:rsidR="005C1959" w:rsidRPr="00466A25" w14:paraId="51A86B5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650C8B03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0D8D" w14:textId="77777777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C.86.a</w:t>
            </w:r>
          </w:p>
          <w:p w14:paraId="3076BB58" w14:textId="44FDD062" w:rsidR="005C1959" w:rsidRPr="00466A25" w:rsidRDefault="005C1959" w:rsidP="005C1959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C.86.b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58302A99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466A25">
              <w:rPr>
                <w:rFonts w:ascii="Lato" w:hAnsi="Lato" w:cstheme="majorHAnsi"/>
                <w:i/>
                <w:iCs/>
                <w:sz w:val="18"/>
                <w:szCs w:val="18"/>
              </w:rPr>
              <w:t>TRASTUZUMABUM I.V.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AC8E" w14:textId="191C3C9B" w:rsidR="005C1959" w:rsidRPr="00466A25" w:rsidRDefault="005C1959" w:rsidP="0009112E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Zmiana kategorii dostępności </w:t>
            </w:r>
            <w:r w:rsidR="00F31A79" w:rsidRPr="00466A25">
              <w:rPr>
                <w:rFonts w:ascii="Lato" w:hAnsi="Lato" w:cstheme="majorHAnsi"/>
                <w:sz w:val="18"/>
                <w:szCs w:val="18"/>
              </w:rPr>
              <w:t xml:space="preserve">refundacyjnej dla 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>trastuzumabu w formie dożylnej:</w:t>
            </w:r>
          </w:p>
          <w:p w14:paraId="7EC28691" w14:textId="017A9A85" w:rsidR="008017A7" w:rsidRPr="00466A25" w:rsidRDefault="005C1959" w:rsidP="0009112E">
            <w:pPr>
              <w:pStyle w:val="Akapitzlist"/>
              <w:numPr>
                <w:ilvl w:val="0"/>
                <w:numId w:val="21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z programu lekowego B.9</w:t>
            </w:r>
            <w:r w:rsidR="0009112E" w:rsidRPr="00466A25">
              <w:rPr>
                <w:rFonts w:ascii="Lato" w:hAnsi="Lato" w:cstheme="majorHAnsi"/>
                <w:sz w:val="18"/>
                <w:szCs w:val="18"/>
              </w:rPr>
              <w:t>.FM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="0009112E" w:rsidRPr="00466A25">
              <w:rPr>
                <w:rFonts w:ascii="Lato" w:hAnsi="Lato" w:cstheme="majorHAnsi"/>
                <w:sz w:val="18"/>
                <w:szCs w:val="18"/>
              </w:rPr>
              <w:t xml:space="preserve">– </w:t>
            </w:r>
            <w:r w:rsidR="00F31A79" w:rsidRPr="00466A25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  <w:r w:rsidR="0009112E" w:rsidRPr="00466A25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>do katalogu chemioterapii C.86.a;</w:t>
            </w:r>
          </w:p>
          <w:p w14:paraId="4852027E" w14:textId="587156FA" w:rsidR="005C1959" w:rsidRPr="00466A25" w:rsidRDefault="005C1959" w:rsidP="0009112E">
            <w:pPr>
              <w:pStyle w:val="Akapitzlist"/>
              <w:numPr>
                <w:ilvl w:val="0"/>
                <w:numId w:val="21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z programu lekowego B.58 </w:t>
            </w:r>
            <w:r w:rsidR="0009112E" w:rsidRPr="00466A25">
              <w:rPr>
                <w:rFonts w:ascii="Lato" w:hAnsi="Lato" w:cstheme="majorHAnsi"/>
                <w:sz w:val="18"/>
                <w:szCs w:val="18"/>
              </w:rPr>
              <w:t>-</w:t>
            </w:r>
            <w:r w:rsidR="0009112E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09112E" w:rsidRPr="00466A25">
              <w:rPr>
                <w:rFonts w:ascii="Lato" w:hAnsi="Lato" w:cstheme="majorHAnsi"/>
                <w:sz w:val="18"/>
                <w:szCs w:val="18"/>
              </w:rPr>
              <w:t xml:space="preserve">LECZENIE CHORYCH NA ZAAWANSOWANEGO RAKA PRZEŁYKU I ŻOŁĄDKA (ICD-10: C15-C16) 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>do katalogu chemioterapii C.86.b.</w:t>
            </w:r>
          </w:p>
          <w:p w14:paraId="5E65E61E" w14:textId="3F4A10F5" w:rsidR="0009112E" w:rsidRPr="00466A25" w:rsidRDefault="005130EF" w:rsidP="0009112E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W </w:t>
            </w:r>
            <w:r w:rsidR="00C60868" w:rsidRPr="00466A25">
              <w:rPr>
                <w:rFonts w:ascii="Lato" w:hAnsi="Lato" w:cstheme="majorHAnsi"/>
                <w:sz w:val="18"/>
                <w:szCs w:val="18"/>
              </w:rPr>
              <w:t>leczeniu raka piersi w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>prowadz</w:t>
            </w:r>
            <w:r w:rsidR="00C60868" w:rsidRPr="00466A25">
              <w:rPr>
                <w:rFonts w:ascii="Lato" w:hAnsi="Lato" w:cstheme="majorHAnsi"/>
                <w:sz w:val="18"/>
                <w:szCs w:val="18"/>
              </w:rPr>
              <w:t>ono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 możliwoś</w:t>
            </w:r>
            <w:r w:rsidR="00C60868" w:rsidRPr="00466A25">
              <w:rPr>
                <w:rFonts w:ascii="Lato" w:hAnsi="Lato" w:cstheme="majorHAnsi"/>
                <w:sz w:val="18"/>
                <w:szCs w:val="18"/>
              </w:rPr>
              <w:t>ć</w:t>
            </w:r>
            <w:r w:rsidRPr="00466A25">
              <w:rPr>
                <w:rFonts w:ascii="Lato" w:hAnsi="Lato" w:cstheme="majorHAnsi"/>
                <w:sz w:val="18"/>
                <w:szCs w:val="18"/>
              </w:rPr>
              <w:t xml:space="preserve"> leczenia trastuzumabem dożylnym po progresji w połączeniu z inną terapią przeciwnowotworową.</w:t>
            </w:r>
            <w:r w:rsidR="003F072E" w:rsidRPr="00466A25">
              <w:rPr>
                <w:rFonts w:ascii="Lato" w:hAnsi="Lato" w:cstheme="majorHAnsi"/>
                <w:sz w:val="18"/>
                <w:szCs w:val="18"/>
              </w:rPr>
              <w:t xml:space="preserve"> </w:t>
            </w:r>
          </w:p>
          <w:p w14:paraId="08AF8C5C" w14:textId="3E8A6588" w:rsidR="005130EF" w:rsidRPr="00466A25" w:rsidRDefault="00D63F4F" w:rsidP="0009112E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W zakresie drugiego wskazania</w:t>
            </w:r>
            <w:r w:rsidR="003051DF" w:rsidRPr="00466A25">
              <w:rPr>
                <w:rFonts w:ascii="Lato" w:hAnsi="Lato" w:cstheme="majorHAnsi"/>
                <w:sz w:val="18"/>
                <w:szCs w:val="18"/>
              </w:rPr>
              <w:t xml:space="preserve"> wprowadzono możliwość leczenia </w:t>
            </w:r>
            <w:r w:rsidR="00A66626" w:rsidRPr="00466A25">
              <w:rPr>
                <w:rFonts w:ascii="Lato" w:hAnsi="Lato" w:cstheme="majorHAnsi"/>
                <w:sz w:val="18"/>
                <w:szCs w:val="18"/>
              </w:rPr>
              <w:t>gruczolak</w:t>
            </w:r>
            <w:r w:rsidR="00006AE8" w:rsidRPr="00466A25">
              <w:rPr>
                <w:rFonts w:ascii="Lato" w:hAnsi="Lato" w:cstheme="majorHAnsi"/>
                <w:sz w:val="18"/>
                <w:szCs w:val="18"/>
              </w:rPr>
              <w:t xml:space="preserve">oraka żołądka oraz połączenia przełykowo-żołądkowego </w:t>
            </w:r>
            <w:r w:rsidR="003051DF" w:rsidRPr="00466A25">
              <w:rPr>
                <w:rFonts w:ascii="Lato" w:hAnsi="Lato" w:cstheme="majorHAnsi"/>
                <w:sz w:val="18"/>
                <w:szCs w:val="18"/>
              </w:rPr>
              <w:t>trastuzumabem dożylnym</w:t>
            </w:r>
            <w:r w:rsidR="00C97315" w:rsidRPr="00466A25">
              <w:rPr>
                <w:rFonts w:ascii="Lato" w:hAnsi="Lato" w:cstheme="majorHAnsi"/>
                <w:sz w:val="18"/>
                <w:szCs w:val="18"/>
              </w:rPr>
              <w:t>, a także umożliwiono skojarzenie terapii z oksaliplatyną.</w:t>
            </w:r>
            <w:r w:rsidR="00006AE8" w:rsidRPr="00466A25">
              <w:rPr>
                <w:rFonts w:ascii="Lato" w:hAnsi="Lato" w:cstheme="majorHAnsi"/>
                <w:sz w:val="18"/>
                <w:szCs w:val="18"/>
              </w:rPr>
              <w:t xml:space="preserve"> </w:t>
            </w:r>
          </w:p>
        </w:tc>
      </w:tr>
      <w:tr w:rsidR="005C1959" w:rsidRPr="00466A25" w14:paraId="6B250BB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0ABA" w14:textId="3B6E3C77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A18B" w14:textId="77777777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C.87.a</w:t>
            </w:r>
          </w:p>
          <w:p w14:paraId="521B7AE1" w14:textId="678E2244" w:rsidR="005C1959" w:rsidRPr="00466A25" w:rsidRDefault="005C1959" w:rsidP="005C195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sz w:val="18"/>
                <w:szCs w:val="18"/>
              </w:rPr>
              <w:t>C.87.b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E694" w14:textId="52C58390" w:rsidR="005C1959" w:rsidRPr="00466A25" w:rsidRDefault="005C1959" w:rsidP="005C1959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466A25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OCTAN ABIRATERONU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7144" w14:textId="791A51BC" w:rsidR="005C1959" w:rsidRPr="00466A25" w:rsidRDefault="005C1959" w:rsidP="00F017D6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octanu abirateronu z programu lekowego B.56 </w:t>
            </w:r>
            <w:r w:rsidR="00F31A79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 LECZENIE CHORYCH OPORNEGO NA KASTRACJĘ RAKA GRUCZOŁU KROKOWEGO (ICD-10: C61) 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do katalogów chemioterapii C.87.a i C.87.b.</w:t>
            </w:r>
          </w:p>
        </w:tc>
      </w:tr>
    </w:tbl>
    <w:p w14:paraId="08AE375A" w14:textId="43C53898" w:rsidR="0056748F" w:rsidRPr="00466A25" w:rsidRDefault="0056748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13C8E853" w14:textId="77777777" w:rsidR="0009112E" w:rsidRPr="00466A25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4" w:name="_Hlk90283710"/>
    </w:p>
    <w:p w14:paraId="242DFDC3" w14:textId="67D2CAE1" w:rsidR="00466A25" w:rsidRDefault="00466A25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1D8576DF" w:rsidR="0056748F" w:rsidRPr="00466A25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66A25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66"/>
        <w:gridCol w:w="1879"/>
        <w:gridCol w:w="5521"/>
        <w:gridCol w:w="3730"/>
      </w:tblGrid>
      <w:tr w:rsidR="00AD08C5" w:rsidRPr="00466A25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4"/>
          <w:p w14:paraId="05E7E891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66A25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66A25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66A25" w14:paraId="7D53B9E1" w14:textId="77777777" w:rsidTr="00180F5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66A25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Nazwa leku, środka spożywczego specjalnego przeznaczenia lub wyrobu </w:t>
            </w:r>
            <w:r w:rsidRPr="00466A25">
              <w:rPr>
                <w:rFonts w:ascii="Lato" w:hAnsi="Lato" w:cstheme="majorHAnsi"/>
                <w:b/>
                <w:bCs/>
                <w:sz w:val="18"/>
                <w:szCs w:val="18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66A25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A159DA" w:rsidRPr="00466A25" w14:paraId="3E62A70D" w14:textId="77777777" w:rsidTr="00180F5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A159DA" w:rsidRPr="00466A25" w:rsidRDefault="00A159DA" w:rsidP="00A159D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64E09154" w:rsidR="00A159DA" w:rsidRPr="00466A25" w:rsidRDefault="007D273D" w:rsidP="00A159D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Jorveza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2E39C245" w:rsidR="00A159DA" w:rsidRPr="00466A25" w:rsidRDefault="008B43B0" w:rsidP="00A159D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budezonid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79FEED52" w:rsidR="00A159DA" w:rsidRPr="00466A25" w:rsidRDefault="00A22494" w:rsidP="00A159D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eozynofilowego zapalenia przełyku (ang. eosinophilic esophagitis, EoE) u pacjentów uprzednio leczonych inhibitorami pompy protonowej (IPP) – leczenie indukcyjne, do 12 tygodni (warunkiem wdrożenia leczenia jest udokumentowanie wykonania badania endoskopowego z pobraniem do oceny histopatologicznej co najmniej 6 wycinków błony śluzowej z proksymalnej i dystalnej części przełyku, z potwierdzeniem EoE poprzez obecność równej lub większej od 15 liczby eozynofilii w dużym powiększeniu)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6507E3E4" w:rsidR="00F31A79" w:rsidRPr="00466A25" w:rsidRDefault="007D1551" w:rsidP="00DE00F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Pierwszy lek z kortykosteroidem do stosowania doustnego o działaniu miejscowym na przewód pokarmowy wykorzystywany w</w:t>
            </w:r>
            <w:r w:rsidR="007135A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leczeniu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eozynofilow</w:t>
            </w:r>
            <w:r w:rsidR="007135A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ego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zapaleni</w:t>
            </w:r>
            <w:r w:rsidR="007135A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przełyku</w:t>
            </w:r>
            <w:r w:rsidR="007135A8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 w:rsidR="00144B55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A326D" w:rsidRPr="00466A25" w14:paraId="6E8A1919" w14:textId="77777777" w:rsidTr="00180F5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7409B1E6" w:rsidR="00EA326D" w:rsidRPr="00466A25" w:rsidRDefault="004850DC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3289A113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On</w:t>
            </w:r>
            <w:r w:rsidR="000E649C"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</w:t>
            </w: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ozry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7899665D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cenobamat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2FF8EF87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Leczenie wspomagające napadów ogniskowych ulegających albo nieulegających wtórnemu uogólnieniu u dorosłych pacjentów z padaczką z brakiem kontroli napadów lub nietolerancją leczenia po zastosowaniu co najmniej jednej próby terapii dodanej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724" w14:textId="4821FCD9" w:rsidR="00EA326D" w:rsidRPr="00466A25" w:rsidRDefault="00CE73E2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Pierwszy lek przeciwpadaczkowy z cenobamatem – substancją czynną o podwójnym mechanizmie działania.</w:t>
            </w:r>
          </w:p>
        </w:tc>
      </w:tr>
      <w:tr w:rsidR="00EA326D" w:rsidRPr="00466A25" w14:paraId="0C276518" w14:textId="77777777" w:rsidTr="00180F5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7A4E02F8" w:rsidR="00EA326D" w:rsidRPr="00466A25" w:rsidRDefault="00C816A5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3</w:t>
            </w:r>
            <w:r w:rsidR="004850DC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4A9" w14:textId="4F5FCA0E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66A2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Suliqua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2237AEB1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466A2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 glargine + liksysenatyd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69128C0F" w:rsidR="00EA326D" w:rsidRPr="00466A25" w:rsidRDefault="00EA326D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Cukrzyca typu 2 u pacjentów leczonych co najmniej dwoma lekami hipoglikemizującymi, z HbA1c ≥ 7,5%, z otyłością definiowaną jako BMI ≥30 kg/m2 oraz bardzo wysokim ryzykiem sercowo-naczyniowym rozumianym jako: 1)potwierdzona choroba sercowo-naczyniowa, lub 2)uszkodzenie innych narządów objawiające się poprzez: białkomocz lub przerost lewej komory lub retinopatię, lub 3)obecność 2 lub więcej głównych czynników ryzyka spośród wymienionych poniżej: -wiek ≥ 55 lat dla mężczyzn, ≥60 lat dla kobiet, -dyslipidemia, -nadciśnienie tętnicze, -palenie tytoniu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64AF" w14:textId="0AB0EC3B" w:rsidR="00EA326D" w:rsidRPr="00466A25" w:rsidRDefault="00C4237C" w:rsidP="00EA326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Pierwszy lek refundowany w cukrzycy stanowiący połączenie analogu GLP-1 oraz insuliny glargin</w:t>
            </w:r>
            <w:r w:rsidR="00CE73E2"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466A2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6B996492" w14:textId="3AD207B9" w:rsidR="00466A25" w:rsidRDefault="00466A25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267F15CE" w14:textId="77777777" w:rsidR="00466A25" w:rsidRDefault="00466A25">
      <w:pPr>
        <w:suppressAutoHyphens w:val="0"/>
        <w:rPr>
          <w:rFonts w:ascii="Lato" w:hAnsi="Lato"/>
          <w:b/>
          <w:bCs/>
          <w:color w:val="00B0F0"/>
        </w:rPr>
      </w:pPr>
      <w:r>
        <w:rPr>
          <w:rFonts w:ascii="Lato" w:hAnsi="Lato"/>
          <w:b/>
          <w:bCs/>
          <w:color w:val="00B0F0"/>
        </w:rPr>
        <w:br w:type="page"/>
      </w:r>
    </w:p>
    <w:p w14:paraId="5150FFDD" w14:textId="77777777" w:rsidR="00466A25" w:rsidRPr="004D093B" w:rsidRDefault="00466A25" w:rsidP="00466A25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lastRenderedPageBreak/>
        <w:t>INFORMACJA DOTYCZĄCA WSKAZŃ DLA TRASTUZUMABU</w:t>
      </w:r>
    </w:p>
    <w:p w14:paraId="2B7496DB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  <w:r w:rsidRPr="0044465D">
        <w:rPr>
          <w:rFonts w:ascii="Lato" w:hAnsi="Lato"/>
        </w:rPr>
        <w:t xml:space="preserve">Zgodnie z obwieszczeniem Ministra Zdrowia z dnia 20 lutego 2023 r., w sprawie wykazu refundowanych leków, środków spożywczych specjalnego przeznaczenia żywieniowego oraz wyrobów medycznych na 1 marca 2023 r. </w:t>
      </w:r>
      <w:r w:rsidRPr="0044465D">
        <w:rPr>
          <w:rFonts w:ascii="Lato" w:hAnsi="Lato"/>
          <w:b/>
          <w:bCs/>
        </w:rPr>
        <w:t xml:space="preserve">trastuzumab </w:t>
      </w:r>
      <w:r w:rsidRPr="003F70BF">
        <w:rPr>
          <w:rFonts w:ascii="Lato" w:hAnsi="Lato"/>
          <w:b/>
          <w:bCs/>
          <w:u w:val="single"/>
        </w:rPr>
        <w:t xml:space="preserve">do podania dożylnego </w:t>
      </w:r>
      <w:r w:rsidRPr="0044465D">
        <w:rPr>
          <w:rFonts w:ascii="Lato" w:hAnsi="Lato"/>
          <w:b/>
          <w:bCs/>
        </w:rPr>
        <w:t>w leczeniu raka piersi został przeniesiony do katalogu chemioterapii (C.86.a.).</w:t>
      </w:r>
      <w:r w:rsidRPr="0044465D">
        <w:rPr>
          <w:rFonts w:ascii="Lato" w:hAnsi="Lato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714"/>
        <w:gridCol w:w="1766"/>
        <w:gridCol w:w="1708"/>
        <w:gridCol w:w="1439"/>
        <w:gridCol w:w="1359"/>
        <w:gridCol w:w="1520"/>
        <w:gridCol w:w="2198"/>
      </w:tblGrid>
      <w:tr w:rsidR="00466A25" w:rsidRPr="00194387" w14:paraId="5A1B653B" w14:textId="77777777" w:rsidTr="00061FF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2CC13AB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color w:val="FFFFFF"/>
                <w:sz w:val="20"/>
                <w:szCs w:val="20"/>
                <w:lang w:eastAsia="pl-PL"/>
              </w:rPr>
              <w:t>C. Leki, stosowane w ramach chemioterapii w całym zakresie zarejestrowanych wskazań i przeznaczeń oraz we wskazaniu określonym stanem klinicznym</w:t>
            </w:r>
          </w:p>
        </w:tc>
      </w:tr>
      <w:tr w:rsidR="00466A25" w:rsidRPr="00194387" w14:paraId="5C7D468A" w14:textId="77777777" w:rsidTr="00061FF6">
        <w:trPr>
          <w:trHeight w:val="389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0767AA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Nazwa</w:t>
            </w:r>
            <w:r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postać i dawka leku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F20DFC9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362BF7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GTIN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84165A4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Grupa limitowa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E52648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Urzędowa cena zbytu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A92F6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Cena hurtowa brutto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E4DC68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Wysokość limitu finansowania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E85122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Oznaczenie załącznika zawierającego zakres wskazań objętych refundacją</w:t>
            </w:r>
            <w:r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wg ICD 10 </w:t>
            </w:r>
          </w:p>
        </w:tc>
      </w:tr>
      <w:tr w:rsidR="00466A25" w:rsidRPr="00E94E6A" w14:paraId="173C1F32" w14:textId="77777777" w:rsidTr="00061FF6">
        <w:trPr>
          <w:trHeight w:val="598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705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Kanjinti, proszek do sporządzania koncentratu do przygotowania roztworu do infuzji, 150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151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fiolka po 20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CD9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08715131016982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44E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527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906,88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13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952,22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FB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952,22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6C2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59F3D27C" w14:textId="77777777" w:rsidTr="00061FF6">
        <w:trPr>
          <w:trHeight w:val="352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5E9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Kanjinti, proszek do sporządzania koncentratu do przygotowania roztworu do infuzji, 420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70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fiolka po 50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DDC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08715131016975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61E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BC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2539,25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285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2666,21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62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2666,21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35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035893DC" w14:textId="77777777" w:rsidTr="00061FF6">
        <w:trPr>
          <w:trHeight w:val="410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12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Ogivri, proszek do sporządzania koncentratu roztworu do infuzji, 150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FE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 proszku 15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E14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05901797710415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66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F7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1249,56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CC2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1312,04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79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952,22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9F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2880D737" w14:textId="77777777" w:rsidTr="00061FF6">
        <w:trPr>
          <w:trHeight w:val="711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FF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Ogivri, proszek do sporządzania koncentratu roztworu do infuzji, 420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48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 proszku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BDC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05901797710781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5C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912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2716,70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45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2852,54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E6A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2666,21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61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05F9E78A" w14:textId="77777777" w:rsidTr="00061FF6">
        <w:trPr>
          <w:trHeight w:val="564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3AE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Trazimera, proszek do sporządzania koncentratu roztworu do infuzji, 150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E15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 proszku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FD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05415062339176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0B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99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842,40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E65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884,52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F6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884,52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E0E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53ABFC02" w14:textId="77777777" w:rsidTr="00061FF6">
        <w:trPr>
          <w:trHeight w:val="403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48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Trazimera, proszek do sporządzania koncentratu roztworu do infuzji, 420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0A2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 proszku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7C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05415062346655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037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B0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3126,60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F65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3282,93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40F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2666,21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B6C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  <w:tr w:rsidR="00466A25" w:rsidRPr="00E94E6A" w14:paraId="42BEF56A" w14:textId="77777777" w:rsidTr="00061FF6">
        <w:trPr>
          <w:trHeight w:val="466"/>
          <w:jc w:val="center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76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Zercepac, proszek do sporządzania koncentratu roztworu do infuzji, 150 mg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26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B53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05055565766378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8C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EA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972,00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93D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1020,60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359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952,22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AE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&lt;1&gt;C.86a.; &lt;2&gt;C.86.b.</w:t>
            </w:r>
          </w:p>
        </w:tc>
      </w:tr>
    </w:tbl>
    <w:p w14:paraId="32D9A9B7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</w:p>
    <w:p w14:paraId="6350B2E3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  <w:r w:rsidRPr="0044465D">
        <w:rPr>
          <w:rFonts w:ascii="Lato" w:hAnsi="Lato"/>
        </w:rPr>
        <w:lastRenderedPageBreak/>
        <w:t>Trastuzumab do stosowania podskórnego (s.c.) pozostał dostępny dla pacjentów w ramach programu lekowego B.9.FM. Leczenie chorych na raka piersi (ICD-10: C50).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1745"/>
        <w:gridCol w:w="1803"/>
        <w:gridCol w:w="1660"/>
        <w:gridCol w:w="1408"/>
        <w:gridCol w:w="1497"/>
        <w:gridCol w:w="1505"/>
        <w:gridCol w:w="2158"/>
      </w:tblGrid>
      <w:tr w:rsidR="00466A25" w:rsidRPr="00194387" w14:paraId="4C9C6137" w14:textId="77777777" w:rsidTr="00061FF6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29EB8D67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color w:val="FFFFFF"/>
                <w:sz w:val="20"/>
                <w:szCs w:val="20"/>
                <w:lang w:eastAsia="pl-PL"/>
              </w:rPr>
              <w:t>B. Leki i środki spożywcze specjalnego przeznaczenia żywieniowego dostępne w ramach programu lekowego</w:t>
            </w:r>
          </w:p>
        </w:tc>
      </w:tr>
      <w:tr w:rsidR="00466A25" w:rsidRPr="00194387" w14:paraId="3A93E13F" w14:textId="77777777" w:rsidTr="00061FF6">
        <w:trPr>
          <w:trHeight w:val="558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4A48AF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Nazwa</w:t>
            </w:r>
            <w:r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postać i dawka leku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AD322EA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EF2D78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Numer GTIN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B032DA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Grupa limitowa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C9BC25E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Urzędowa cena zbytu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7C5C94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Cena hurtowa brutto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3F857BB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Wysokość limitu finansowania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4A8316" w14:textId="77777777" w:rsidR="00466A25" w:rsidRPr="00194387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</w:pP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>Oznaczenie załącznika zawierającego zakres wskazań objętych refundacją</w:t>
            </w:r>
            <w:r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94387">
              <w:rPr>
                <w:rFonts w:ascii="Lato" w:eastAsia="Times New Roman" w:hAnsi="Lato" w:cs="Calibri"/>
                <w:b/>
                <w:bCs/>
                <w:sz w:val="18"/>
                <w:szCs w:val="18"/>
                <w:lang w:eastAsia="pl-PL"/>
              </w:rPr>
              <w:t xml:space="preserve">wg ICD 10 </w:t>
            </w:r>
          </w:p>
        </w:tc>
      </w:tr>
      <w:tr w:rsidR="00466A25" w:rsidRPr="00E94E6A" w14:paraId="477CCF9F" w14:textId="77777777" w:rsidTr="00061FF6">
        <w:trPr>
          <w:trHeight w:val="840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A46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Herceptin, roztwór do wstrzykiwań, 600 mg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7D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 fiol. po 6 ml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032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05902768001037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920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1082.0, Trastuzumabum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E1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6925,50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718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7271,78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E9B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2786,98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6CF" w14:textId="77777777" w:rsidR="00466A25" w:rsidRPr="00E94E6A" w:rsidRDefault="00466A25" w:rsidP="00061FF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E94E6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B.9.FM.</w:t>
            </w:r>
          </w:p>
        </w:tc>
      </w:tr>
    </w:tbl>
    <w:p w14:paraId="1A35DA3C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</w:p>
    <w:p w14:paraId="1F01F09D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  <w:r w:rsidRPr="00012757">
        <w:rPr>
          <w:rFonts w:ascii="Lato" w:hAnsi="Lato"/>
        </w:rPr>
        <w:t>Wskazania refundacyjne</w:t>
      </w:r>
      <w:r w:rsidRPr="0044465D">
        <w:rPr>
          <w:rFonts w:ascii="Lato" w:hAnsi="Lato"/>
        </w:rPr>
        <w:t xml:space="preserve"> i populacja docelowa trastuzumabu dożylnego i podskórnego w zakresie leczenia raka piersi </w:t>
      </w:r>
      <w:r w:rsidRPr="0044465D">
        <w:rPr>
          <w:rFonts w:ascii="Lato" w:hAnsi="Lato"/>
          <w:b/>
          <w:bCs/>
          <w:u w:val="single"/>
        </w:rPr>
        <w:t>nie są tożsame</w:t>
      </w:r>
      <w:r w:rsidRPr="0044465D">
        <w:rPr>
          <w:rFonts w:ascii="Lato" w:hAnsi="Lato"/>
          <w:b/>
          <w:bCs/>
        </w:rPr>
        <w:t>.</w:t>
      </w:r>
    </w:p>
    <w:p w14:paraId="28786F15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  <w:r w:rsidRPr="0044465D">
        <w:rPr>
          <w:rFonts w:ascii="Lato" w:hAnsi="Lato"/>
        </w:rPr>
        <w:t xml:space="preserve">W przypadku leczenia </w:t>
      </w:r>
      <w:r w:rsidRPr="00194387">
        <w:rPr>
          <w:rFonts w:ascii="Lato" w:hAnsi="Lato"/>
          <w:b/>
          <w:bCs/>
        </w:rPr>
        <w:t>pertuzumabem w skojarzeniu z trastuzumabem</w:t>
      </w:r>
      <w:r w:rsidRPr="0044465D">
        <w:rPr>
          <w:rFonts w:ascii="Lato" w:hAnsi="Lato"/>
        </w:rPr>
        <w:t xml:space="preserve"> </w:t>
      </w:r>
      <w:r w:rsidRPr="00012757">
        <w:rPr>
          <w:rFonts w:ascii="Lato" w:hAnsi="Lato"/>
        </w:rPr>
        <w:t>wskazanie refundacyjne jest</w:t>
      </w:r>
      <w:r w:rsidRPr="0044465D">
        <w:rPr>
          <w:rFonts w:ascii="Lato" w:hAnsi="Lato"/>
        </w:rPr>
        <w:t xml:space="preserve"> zdefiniowane zapisami w programie lekowym</w:t>
      </w:r>
      <w:r>
        <w:rPr>
          <w:rFonts w:ascii="Lato" w:hAnsi="Lato"/>
        </w:rPr>
        <w:t xml:space="preserve"> </w:t>
      </w:r>
      <w:r w:rsidRPr="0044465D">
        <w:rPr>
          <w:rFonts w:ascii="Lato" w:hAnsi="Lato"/>
        </w:rPr>
        <w:t>niezależnie od formy leczenia wybranej przez lekarza w zakresie trastuzumabu, z tym że dla trastuzumabu dożylnego nie ma konieczności</w:t>
      </w:r>
      <w:r>
        <w:rPr>
          <w:rFonts w:ascii="Lato" w:hAnsi="Lato"/>
        </w:rPr>
        <w:t xml:space="preserve"> </w:t>
      </w:r>
      <w:r w:rsidRPr="0044465D">
        <w:rPr>
          <w:rFonts w:ascii="Lato" w:hAnsi="Lato"/>
        </w:rPr>
        <w:t xml:space="preserve">raportowania w elektronicznym systemie monitorowania programów lekowych SMPT. </w:t>
      </w:r>
    </w:p>
    <w:p w14:paraId="2F4A4D60" w14:textId="77777777" w:rsidR="00466A25" w:rsidRPr="0044465D" w:rsidRDefault="00466A25" w:rsidP="00466A25">
      <w:pPr>
        <w:spacing w:after="120" w:line="360" w:lineRule="auto"/>
        <w:rPr>
          <w:rFonts w:ascii="Lato" w:hAnsi="Lato"/>
        </w:rPr>
      </w:pPr>
      <w:r w:rsidRPr="00012757">
        <w:rPr>
          <w:rFonts w:ascii="Lato" w:hAnsi="Lato"/>
        </w:rPr>
        <w:t xml:space="preserve">Wskazania refundacyjne do leczenia </w:t>
      </w:r>
      <w:r w:rsidRPr="00194387">
        <w:rPr>
          <w:rFonts w:ascii="Lato" w:hAnsi="Lato"/>
          <w:b/>
          <w:bCs/>
        </w:rPr>
        <w:t>trastuzumabem w monoterapii oraz w skojarzeniu z hormonoterapią</w:t>
      </w:r>
      <w:r>
        <w:rPr>
          <w:rFonts w:ascii="Lato" w:hAnsi="Lato"/>
          <w:b/>
          <w:bCs/>
        </w:rPr>
        <w:t xml:space="preserve"> </w:t>
      </w:r>
      <w:r w:rsidRPr="00194387">
        <w:rPr>
          <w:rFonts w:ascii="Lato" w:hAnsi="Lato"/>
          <w:b/>
          <w:bCs/>
        </w:rPr>
        <w:t>lub chemioterapią</w:t>
      </w:r>
      <w:r>
        <w:rPr>
          <w:rFonts w:ascii="Lato" w:hAnsi="Lato"/>
        </w:rPr>
        <w:t xml:space="preserve"> </w:t>
      </w:r>
      <w:r w:rsidRPr="00012757">
        <w:rPr>
          <w:rFonts w:ascii="Lato" w:hAnsi="Lato"/>
        </w:rPr>
        <w:t>są rozbieżne w zależności od formy leczenia</w:t>
      </w:r>
      <w:r w:rsidRPr="0044465D">
        <w:rPr>
          <w:rFonts w:ascii="Lato" w:hAnsi="Lato"/>
        </w:rPr>
        <w:t xml:space="preserve">: </w:t>
      </w:r>
    </w:p>
    <w:p w14:paraId="5087200F" w14:textId="77777777" w:rsidR="00466A25" w:rsidRPr="00012757" w:rsidRDefault="00466A25" w:rsidP="00466A25">
      <w:pPr>
        <w:pStyle w:val="Akapitzlist"/>
        <w:numPr>
          <w:ilvl w:val="0"/>
          <w:numId w:val="23"/>
        </w:numPr>
        <w:suppressAutoHyphens w:val="0"/>
        <w:autoSpaceDN/>
        <w:spacing w:after="120" w:line="360" w:lineRule="auto"/>
        <w:contextualSpacing w:val="0"/>
        <w:textAlignment w:val="auto"/>
        <w:rPr>
          <w:rFonts w:ascii="Lato" w:hAnsi="Lato"/>
        </w:rPr>
      </w:pPr>
      <w:r w:rsidRPr="00012757">
        <w:rPr>
          <w:rFonts w:ascii="Lato" w:hAnsi="Lato"/>
        </w:rPr>
        <w:t>trastuzumabem podskórnym - wskazanie refundacyjne zdefiniowane jest zapisami treści programu lekowego (węższe wskazanie) - w przypadku takiej terapii konieczne jest raportowanie w SMP</w:t>
      </w:r>
      <w:r>
        <w:rPr>
          <w:rFonts w:ascii="Lato" w:hAnsi="Lato"/>
        </w:rPr>
        <w:t>T;</w:t>
      </w:r>
    </w:p>
    <w:p w14:paraId="6AE5C486" w14:textId="77777777" w:rsidR="00466A25" w:rsidRPr="00012757" w:rsidRDefault="00466A25" w:rsidP="00466A25">
      <w:pPr>
        <w:pStyle w:val="Akapitzlist"/>
        <w:numPr>
          <w:ilvl w:val="0"/>
          <w:numId w:val="23"/>
        </w:numPr>
        <w:suppressAutoHyphens w:val="0"/>
        <w:autoSpaceDN/>
        <w:spacing w:after="120" w:line="360" w:lineRule="auto"/>
        <w:contextualSpacing w:val="0"/>
        <w:textAlignment w:val="auto"/>
        <w:rPr>
          <w:rFonts w:ascii="Lato" w:hAnsi="Lato"/>
        </w:rPr>
      </w:pPr>
      <w:r w:rsidRPr="00012757">
        <w:rPr>
          <w:rFonts w:ascii="Lato" w:hAnsi="Lato"/>
        </w:rPr>
        <w:t>trastuzumabem dożylnym – wskazanie refundacyjne zdefiniowane jest zapisami załącznika katalogu chemioterapii C.86.a. (szersze wskazanie) – nie ma konieczności raportowania w SMPT.</w:t>
      </w:r>
    </w:p>
    <w:p w14:paraId="739F216B" w14:textId="491A0582" w:rsidR="009D10B8" w:rsidRPr="00466A25" w:rsidRDefault="00466A25" w:rsidP="00466A25">
      <w:pPr>
        <w:spacing w:after="120" w:line="360" w:lineRule="auto"/>
        <w:rPr>
          <w:rFonts w:ascii="Lato" w:hAnsi="Lato"/>
        </w:rPr>
      </w:pPr>
      <w:r w:rsidRPr="0044465D">
        <w:rPr>
          <w:rFonts w:ascii="Lato" w:hAnsi="Lato"/>
        </w:rPr>
        <w:t>Pacjenci, którzy rozpoczęli leczenie trastuzumabem dożylnym w ramach programu lekowego B.9.FM. Leczenie chorych na raka piersi (ICD-10: C50) mogą dokończyć leczenie poza programem w ramach katalogu chemioterapii</w:t>
      </w:r>
      <w:r>
        <w:rPr>
          <w:rFonts w:ascii="Lato" w:hAnsi="Lato"/>
        </w:rPr>
        <w:t>.</w:t>
      </w:r>
    </w:p>
    <w:sectPr w:rsidR="009D10B8" w:rsidRPr="00466A25" w:rsidSect="00536B7A">
      <w:headerReference w:type="first" r:id="rId11"/>
      <w:pgSz w:w="16838" w:h="11906" w:orient="landscape"/>
      <w:pgMar w:top="1417" w:right="1103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2E29" w14:textId="77777777" w:rsidR="00047038" w:rsidRDefault="00047038">
      <w:pPr>
        <w:spacing w:after="0" w:line="240" w:lineRule="auto"/>
      </w:pPr>
      <w:r>
        <w:separator/>
      </w:r>
    </w:p>
  </w:endnote>
  <w:endnote w:type="continuationSeparator" w:id="0">
    <w:p w14:paraId="17438C70" w14:textId="77777777" w:rsidR="00047038" w:rsidRDefault="0004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A562" w14:textId="77777777" w:rsidR="00047038" w:rsidRDefault="000470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0D7D4" w14:textId="77777777" w:rsidR="00047038" w:rsidRDefault="0004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5" w:name="_Hlk74147372"/>
    <w:bookmarkEnd w:id="5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5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5"/>
  </w:num>
  <w:num w:numId="2" w16cid:durableId="983047750">
    <w:abstractNumId w:val="3"/>
  </w:num>
  <w:num w:numId="3" w16cid:durableId="912206815">
    <w:abstractNumId w:val="6"/>
  </w:num>
  <w:num w:numId="4" w16cid:durableId="1919241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19"/>
  </w:num>
  <w:num w:numId="6" w16cid:durableId="1164782895">
    <w:abstractNumId w:val="4"/>
  </w:num>
  <w:num w:numId="7" w16cid:durableId="1764568987">
    <w:abstractNumId w:val="8"/>
  </w:num>
  <w:num w:numId="8" w16cid:durableId="1605840971">
    <w:abstractNumId w:val="9"/>
  </w:num>
  <w:num w:numId="9" w16cid:durableId="969629549">
    <w:abstractNumId w:val="17"/>
  </w:num>
  <w:num w:numId="10" w16cid:durableId="1576276737">
    <w:abstractNumId w:val="1"/>
  </w:num>
  <w:num w:numId="11" w16cid:durableId="409036424">
    <w:abstractNumId w:val="20"/>
  </w:num>
  <w:num w:numId="12" w16cid:durableId="1526747669">
    <w:abstractNumId w:val="2"/>
  </w:num>
  <w:num w:numId="13" w16cid:durableId="1746950255">
    <w:abstractNumId w:val="10"/>
  </w:num>
  <w:num w:numId="14" w16cid:durableId="329715522">
    <w:abstractNumId w:val="12"/>
  </w:num>
  <w:num w:numId="15" w16cid:durableId="1837842867">
    <w:abstractNumId w:val="11"/>
  </w:num>
  <w:num w:numId="16" w16cid:durableId="1970238000">
    <w:abstractNumId w:val="18"/>
  </w:num>
  <w:num w:numId="17" w16cid:durableId="485172914">
    <w:abstractNumId w:val="14"/>
  </w:num>
  <w:num w:numId="18" w16cid:durableId="338780148">
    <w:abstractNumId w:val="7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16"/>
  </w:num>
  <w:num w:numId="22" w16cid:durableId="1157845039">
    <w:abstractNumId w:val="15"/>
  </w:num>
  <w:num w:numId="23" w16cid:durableId="1830437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31E9F"/>
    <w:rsid w:val="00033ED5"/>
    <w:rsid w:val="0004009C"/>
    <w:rsid w:val="00047038"/>
    <w:rsid w:val="0005011B"/>
    <w:rsid w:val="00052E44"/>
    <w:rsid w:val="000702E4"/>
    <w:rsid w:val="00070A13"/>
    <w:rsid w:val="00070A89"/>
    <w:rsid w:val="0008118E"/>
    <w:rsid w:val="00086074"/>
    <w:rsid w:val="0009112E"/>
    <w:rsid w:val="00097B17"/>
    <w:rsid w:val="000A4576"/>
    <w:rsid w:val="000A688D"/>
    <w:rsid w:val="000A6B96"/>
    <w:rsid w:val="000B21F0"/>
    <w:rsid w:val="000B32C4"/>
    <w:rsid w:val="000B7075"/>
    <w:rsid w:val="000D02C0"/>
    <w:rsid w:val="000D2FED"/>
    <w:rsid w:val="000E3BBE"/>
    <w:rsid w:val="000E649C"/>
    <w:rsid w:val="000F077F"/>
    <w:rsid w:val="000F3ED2"/>
    <w:rsid w:val="000F5E24"/>
    <w:rsid w:val="001030B2"/>
    <w:rsid w:val="001204EA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A1A5B"/>
    <w:rsid w:val="001A7E82"/>
    <w:rsid w:val="001B0859"/>
    <w:rsid w:val="001B354B"/>
    <w:rsid w:val="001B7475"/>
    <w:rsid w:val="001D6485"/>
    <w:rsid w:val="001E2320"/>
    <w:rsid w:val="001E610A"/>
    <w:rsid w:val="001E721F"/>
    <w:rsid w:val="00205C55"/>
    <w:rsid w:val="00206C0B"/>
    <w:rsid w:val="00221A2A"/>
    <w:rsid w:val="00222885"/>
    <w:rsid w:val="002270E2"/>
    <w:rsid w:val="00230BB7"/>
    <w:rsid w:val="0024697E"/>
    <w:rsid w:val="00255E53"/>
    <w:rsid w:val="0027440E"/>
    <w:rsid w:val="00275115"/>
    <w:rsid w:val="00280311"/>
    <w:rsid w:val="00281BE7"/>
    <w:rsid w:val="00286651"/>
    <w:rsid w:val="00287196"/>
    <w:rsid w:val="0029287B"/>
    <w:rsid w:val="0029403F"/>
    <w:rsid w:val="002C0340"/>
    <w:rsid w:val="002C19DE"/>
    <w:rsid w:val="002D55B8"/>
    <w:rsid w:val="002D6ED9"/>
    <w:rsid w:val="002E46AC"/>
    <w:rsid w:val="002F0FB2"/>
    <w:rsid w:val="002F61E3"/>
    <w:rsid w:val="003051DF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A0F16"/>
    <w:rsid w:val="003A5B7D"/>
    <w:rsid w:val="003A6433"/>
    <w:rsid w:val="003D2AE2"/>
    <w:rsid w:val="003D71C6"/>
    <w:rsid w:val="003F072E"/>
    <w:rsid w:val="00404F9B"/>
    <w:rsid w:val="00411C64"/>
    <w:rsid w:val="004156E6"/>
    <w:rsid w:val="00415707"/>
    <w:rsid w:val="00416F70"/>
    <w:rsid w:val="0041703B"/>
    <w:rsid w:val="004403B4"/>
    <w:rsid w:val="00446466"/>
    <w:rsid w:val="00447CE9"/>
    <w:rsid w:val="00453B55"/>
    <w:rsid w:val="00457779"/>
    <w:rsid w:val="00466A25"/>
    <w:rsid w:val="00466FE8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2191"/>
    <w:rsid w:val="004D7DDC"/>
    <w:rsid w:val="004E4723"/>
    <w:rsid w:val="004F3FEF"/>
    <w:rsid w:val="005058F2"/>
    <w:rsid w:val="00512C38"/>
    <w:rsid w:val="005130EF"/>
    <w:rsid w:val="00536B7A"/>
    <w:rsid w:val="0055182D"/>
    <w:rsid w:val="0056748F"/>
    <w:rsid w:val="00574D83"/>
    <w:rsid w:val="005871C9"/>
    <w:rsid w:val="005B06B3"/>
    <w:rsid w:val="005B598A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70FE"/>
    <w:rsid w:val="006008CD"/>
    <w:rsid w:val="00633806"/>
    <w:rsid w:val="00633883"/>
    <w:rsid w:val="00634434"/>
    <w:rsid w:val="00636843"/>
    <w:rsid w:val="0064109C"/>
    <w:rsid w:val="0064487F"/>
    <w:rsid w:val="006648F3"/>
    <w:rsid w:val="00670C14"/>
    <w:rsid w:val="0068046C"/>
    <w:rsid w:val="00680B0E"/>
    <w:rsid w:val="00687B5F"/>
    <w:rsid w:val="00687E5A"/>
    <w:rsid w:val="006905E7"/>
    <w:rsid w:val="00692F96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7964"/>
    <w:rsid w:val="006F498A"/>
    <w:rsid w:val="006F5BEB"/>
    <w:rsid w:val="007135A8"/>
    <w:rsid w:val="007156F6"/>
    <w:rsid w:val="00715B91"/>
    <w:rsid w:val="007321D8"/>
    <w:rsid w:val="00733AF9"/>
    <w:rsid w:val="00734732"/>
    <w:rsid w:val="00740ABA"/>
    <w:rsid w:val="0074295D"/>
    <w:rsid w:val="007523F7"/>
    <w:rsid w:val="00755E27"/>
    <w:rsid w:val="0078723A"/>
    <w:rsid w:val="0078726B"/>
    <w:rsid w:val="007A4FB5"/>
    <w:rsid w:val="007B043E"/>
    <w:rsid w:val="007C4332"/>
    <w:rsid w:val="007C4C95"/>
    <w:rsid w:val="007D0493"/>
    <w:rsid w:val="007D1551"/>
    <w:rsid w:val="007D273D"/>
    <w:rsid w:val="007D6A3A"/>
    <w:rsid w:val="007D74E2"/>
    <w:rsid w:val="007F016E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727A"/>
    <w:rsid w:val="00896D35"/>
    <w:rsid w:val="008B00C4"/>
    <w:rsid w:val="008B43B0"/>
    <w:rsid w:val="008C0493"/>
    <w:rsid w:val="008C0E92"/>
    <w:rsid w:val="008D45C3"/>
    <w:rsid w:val="008E18D7"/>
    <w:rsid w:val="008E33C7"/>
    <w:rsid w:val="008F1D35"/>
    <w:rsid w:val="009066C7"/>
    <w:rsid w:val="0092216D"/>
    <w:rsid w:val="00933339"/>
    <w:rsid w:val="00953B84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F413F"/>
    <w:rsid w:val="009F550A"/>
    <w:rsid w:val="009F7497"/>
    <w:rsid w:val="00A01F60"/>
    <w:rsid w:val="00A118F0"/>
    <w:rsid w:val="00A159DA"/>
    <w:rsid w:val="00A22494"/>
    <w:rsid w:val="00A22A7B"/>
    <w:rsid w:val="00A242D8"/>
    <w:rsid w:val="00A434EB"/>
    <w:rsid w:val="00A5351C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4608"/>
    <w:rsid w:val="00AA6179"/>
    <w:rsid w:val="00AB1235"/>
    <w:rsid w:val="00AB2D5E"/>
    <w:rsid w:val="00AC0511"/>
    <w:rsid w:val="00AD08C5"/>
    <w:rsid w:val="00AE069A"/>
    <w:rsid w:val="00AE53A3"/>
    <w:rsid w:val="00AF1EBC"/>
    <w:rsid w:val="00B1467F"/>
    <w:rsid w:val="00B31928"/>
    <w:rsid w:val="00B326A9"/>
    <w:rsid w:val="00B45ED3"/>
    <w:rsid w:val="00B543E9"/>
    <w:rsid w:val="00B57127"/>
    <w:rsid w:val="00B76B2B"/>
    <w:rsid w:val="00B8251D"/>
    <w:rsid w:val="00B94288"/>
    <w:rsid w:val="00B9538B"/>
    <w:rsid w:val="00BA15A9"/>
    <w:rsid w:val="00BB30C0"/>
    <w:rsid w:val="00BB51F7"/>
    <w:rsid w:val="00BC376D"/>
    <w:rsid w:val="00BD18E8"/>
    <w:rsid w:val="00BD20BC"/>
    <w:rsid w:val="00BF76C4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C0463"/>
    <w:rsid w:val="00CC7F58"/>
    <w:rsid w:val="00CD47C3"/>
    <w:rsid w:val="00CE099F"/>
    <w:rsid w:val="00CE73E2"/>
    <w:rsid w:val="00CF402D"/>
    <w:rsid w:val="00CF5E4F"/>
    <w:rsid w:val="00CF7674"/>
    <w:rsid w:val="00D17D3E"/>
    <w:rsid w:val="00D44A5D"/>
    <w:rsid w:val="00D510E8"/>
    <w:rsid w:val="00D554A2"/>
    <w:rsid w:val="00D5628B"/>
    <w:rsid w:val="00D63F4F"/>
    <w:rsid w:val="00D6426A"/>
    <w:rsid w:val="00D66456"/>
    <w:rsid w:val="00D77CD0"/>
    <w:rsid w:val="00D9306F"/>
    <w:rsid w:val="00DB0B88"/>
    <w:rsid w:val="00DD18C6"/>
    <w:rsid w:val="00DD6D00"/>
    <w:rsid w:val="00DE00F0"/>
    <w:rsid w:val="00DE1894"/>
    <w:rsid w:val="00DE5079"/>
    <w:rsid w:val="00DF6B3A"/>
    <w:rsid w:val="00E10271"/>
    <w:rsid w:val="00E34DF7"/>
    <w:rsid w:val="00E35DF6"/>
    <w:rsid w:val="00E50D44"/>
    <w:rsid w:val="00E52765"/>
    <w:rsid w:val="00E64133"/>
    <w:rsid w:val="00E66456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B8F"/>
    <w:rsid w:val="00EC74BA"/>
    <w:rsid w:val="00ED15F0"/>
    <w:rsid w:val="00EE4BD7"/>
    <w:rsid w:val="00EF3551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CA2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  <w:style w:type="paragraph" w:styleId="Poprawka">
    <w:name w:val="Revision"/>
    <w:hidden/>
    <w:uiPriority w:val="99"/>
    <w:semiHidden/>
    <w:rsid w:val="00222885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2023 r. 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4A-4D3D-AD06-4CDD4E4E7F29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C4A-4D3D-AD06-4CDD4E4E7F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2023 r. - choroby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5D-443D-AEB0-5655E6EEEA7E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D5D-443D-AEB0-5655E6EEEA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+mn-lt"/>
              </a:rPr>
              <a:t>Cząsteczko-wskazania onkologiczne w 2023 r. (stan na marzec)</a:t>
            </a:r>
          </a:p>
        </c:rich>
      </c:tx>
      <c:layout>
        <c:manualLayout>
          <c:xMode val="edge"/>
          <c:yMode val="edge"/>
          <c:x val="0.16543795264104022"/>
          <c:y val="1.27751690403700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7072488635091184E-2"/>
          <c:y val="0.11015969942532694"/>
          <c:w val="0.91899205128081685"/>
          <c:h val="0.75697986731250444"/>
        </c:manualLayout>
      </c:layout>
      <c:barChart>
        <c:barDir val="col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marzec)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0697663922712641E-16"/>
                  <c:y val="6.49560756665199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E7-45D7-92D1-76906030C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('miesiące 2023'!$A$3,'miesiące 2023'!$A$9:$A$12)</c:f>
              <c:strCache>
                <c:ptCount val="5"/>
                <c:pt idx="0">
                  <c:v>Hematoonkologia</c:v>
                </c:pt>
                <c:pt idx="1">
                  <c:v>Nowotwory układu 
oddechowego</c:v>
                </c:pt>
                <c:pt idx="2">
                  <c:v>Nowotwory układu 
pokarmowego</c:v>
                </c:pt>
                <c:pt idx="3">
                  <c:v>Nowotwory układu 
urologicznego</c:v>
                </c:pt>
                <c:pt idx="4">
                  <c:v>Inne</c:v>
                </c:pt>
              </c:strCache>
              <c:extLst/>
            </c:strRef>
          </c:cat>
          <c:val>
            <c:numRef>
              <c:f>('miesiące 2023'!$B$3,'miesiące 2023'!$B$9:$B$12)</c:f>
              <c:numCache>
                <c:formatCode>General</c:formatCode>
                <c:ptCount val="5"/>
                <c:pt idx="0">
                  <c:v>14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4E7-45D7-92D1-76906030C4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751046271"/>
        <c:axId val="751054175"/>
      </c:barChart>
      <c:valAx>
        <c:axId val="751054175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latin typeface="+mn-lt"/>
              </a:rPr>
              <a:t>Cząsteczko-wskazania nieonkologiczne w 2023 r. (stan na marzec)</a:t>
            </a:r>
          </a:p>
        </c:rich>
      </c:tx>
      <c:layout>
        <c:manualLayout>
          <c:xMode val="edge"/>
          <c:yMode val="edge"/>
          <c:x val="0.13222438637139874"/>
          <c:y val="9.622323791195572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496571478431463E-2"/>
          <c:y val="0.12038536978912984"/>
          <c:w val="0.95950342852156856"/>
          <c:h val="0.77028444574089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marzec)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('miesiące 2023'!$A$22:$A$24,'miesiące 2023'!$A$26,'miesiące 2023'!$A$28,'miesiące 2023'!$A$30,'miesiące 2023'!$A$33)</c:f>
              <c:strCache>
                <c:ptCount val="7"/>
                <c:pt idx="0">
                  <c:v>Choroby metaboliczne</c:v>
                </c:pt>
                <c:pt idx="1">
                  <c:v>Dermatologia</c:v>
                </c:pt>
                <c:pt idx="2">
                  <c:v>Diabetologia</c:v>
                </c:pt>
                <c:pt idx="3">
                  <c:v>Gastroenterologia</c:v>
                </c:pt>
                <c:pt idx="4">
                  <c:v>Hematologia</c:v>
                </c:pt>
                <c:pt idx="5">
                  <c:v>Immunologia</c:v>
                </c:pt>
                <c:pt idx="6">
                  <c:v>Neurologia</c:v>
                </c:pt>
              </c:strCache>
              <c:extLst/>
            </c:strRef>
          </c:cat>
          <c:val>
            <c:numRef>
              <c:f>('miesiące 2023'!$B$22:$B$24,'miesiące 2023'!$B$26,'miesiące 2023'!$B$28,'miesiące 2023'!$B$30,'miesiące 2023'!$B$33)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BE2-412E-81DD-6707DD04D9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Calibri 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2449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5</cp:revision>
  <dcterms:created xsi:type="dcterms:W3CDTF">2023-02-21T07:54:00Z</dcterms:created>
  <dcterms:modified xsi:type="dcterms:W3CDTF">2023-04-14T11:06:00Z</dcterms:modified>
</cp:coreProperties>
</file>