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9BBA3" w14:textId="138D4A16" w:rsidR="007C4F82" w:rsidRPr="007C4F82" w:rsidRDefault="007C4F82" w:rsidP="007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</w:rPr>
      </w:pPr>
      <w:r w:rsidRPr="007C4F82">
        <w:rPr>
          <w:rFonts w:ascii="Times New Roman" w:eastAsiaTheme="minorHAnsi" w:hAnsi="Times New Roman"/>
          <w:color w:val="000000" w:themeColor="text1"/>
        </w:rPr>
        <w:t>Załącznik</w:t>
      </w:r>
      <w:r w:rsidR="00A44ABC">
        <w:rPr>
          <w:rFonts w:ascii="Times New Roman" w:eastAsiaTheme="minorHAnsi" w:hAnsi="Times New Roman"/>
          <w:color w:val="000000" w:themeColor="text1"/>
        </w:rPr>
        <w:t xml:space="preserve"> </w:t>
      </w:r>
      <w:r w:rsidRPr="007C4F82">
        <w:rPr>
          <w:rFonts w:ascii="Times New Roman" w:eastAsiaTheme="minorHAnsi" w:hAnsi="Times New Roman"/>
          <w:color w:val="000000" w:themeColor="text1"/>
        </w:rPr>
        <w:t>B.144.</w:t>
      </w:r>
    </w:p>
    <w:p w14:paraId="18A02892" w14:textId="77777777" w:rsidR="007C4F82" w:rsidRPr="007C4F82" w:rsidRDefault="007C4F82" w:rsidP="007C4F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</w:rPr>
      </w:pPr>
      <w:r w:rsidRPr="007C4F82">
        <w:rPr>
          <w:rFonts w:ascii="Times New Roman" w:eastAsiaTheme="minorHAnsi" w:hAnsi="Times New Roman"/>
          <w:color w:val="000000" w:themeColor="text1"/>
        </w:rPr>
        <w:fldChar w:fldCharType="begin"/>
      </w:r>
      <w:r w:rsidRPr="007C4F82">
        <w:rPr>
          <w:rFonts w:ascii="Times New Roman" w:eastAsiaTheme="minorHAnsi" w:hAnsi="Times New Roman"/>
          <w:color w:val="000000" w:themeColor="text1"/>
        </w:rPr>
        <w:instrText xml:space="preserve"> FILENAME   \* MERGEFORMAT </w:instrText>
      </w:r>
      <w:r w:rsidRPr="007C4F82">
        <w:rPr>
          <w:rFonts w:ascii="Times New Roman" w:eastAsiaTheme="minorHAnsi" w:hAnsi="Times New Roman"/>
          <w:color w:val="000000" w:themeColor="text1"/>
        </w:rPr>
        <w:fldChar w:fldCharType="end"/>
      </w:r>
    </w:p>
    <w:p w14:paraId="19FCFC45" w14:textId="50B786C7" w:rsidR="00697293" w:rsidRPr="007C4F82" w:rsidRDefault="00697293" w:rsidP="00697293">
      <w:pPr>
        <w:spacing w:after="24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PACJENTÓW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GUZAMI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LITYMI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FUZJĄ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GENU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RECEPTOROWEJ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KINAZY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TYROZYNOWEJ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DLA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NEUROTROFIN</w:t>
      </w:r>
      <w:r w:rsidR="00A44ABC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7C4F82">
        <w:rPr>
          <w:rFonts w:ascii="Times New Roman" w:eastAsia="Times New Roman" w:hAnsi="Times New Roman"/>
          <w:b/>
          <w:sz w:val="28"/>
          <w:szCs w:val="28"/>
          <w:lang w:eastAsia="pl-PL"/>
        </w:rPr>
        <w:t>(NTRK)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4"/>
      </w:tblGrid>
      <w:tr w:rsidR="00697293" w:rsidRPr="007C4F82" w14:paraId="0FA4646E" w14:textId="77777777" w:rsidTr="007C4F82">
        <w:trPr>
          <w:trHeight w:val="567"/>
          <w:jc w:val="center"/>
        </w:trPr>
        <w:tc>
          <w:tcPr>
            <w:tcW w:w="15390" w:type="dxa"/>
            <w:gridSpan w:val="3"/>
            <w:vAlign w:val="center"/>
          </w:tcPr>
          <w:p w14:paraId="19669665" w14:textId="19643529" w:rsidR="00697293" w:rsidRPr="007C4F82" w:rsidRDefault="00697293" w:rsidP="00122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C4F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8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697293" w:rsidRPr="00996EEE" w14:paraId="4490E1E0" w14:textId="77777777" w:rsidTr="007C4F82">
        <w:trPr>
          <w:trHeight w:val="567"/>
          <w:jc w:val="center"/>
        </w:trPr>
        <w:tc>
          <w:tcPr>
            <w:tcW w:w="5665" w:type="dxa"/>
            <w:vAlign w:val="center"/>
          </w:tcPr>
          <w:p w14:paraId="30AD8B3B" w14:textId="77777777" w:rsidR="00697293" w:rsidRPr="00996EEE" w:rsidRDefault="00697293" w:rsidP="00122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0CC323EA" w14:textId="7BCFF6F0" w:rsidR="00697293" w:rsidRPr="00996EEE" w:rsidRDefault="00697293" w:rsidP="00122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>W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14" w:type="dxa"/>
            <w:vAlign w:val="center"/>
          </w:tcPr>
          <w:p w14:paraId="35457471" w14:textId="50A80026" w:rsidR="00697293" w:rsidRPr="00996EEE" w:rsidRDefault="00697293" w:rsidP="00122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96EE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697293" w:rsidRPr="00996EEE" w14:paraId="309852AF" w14:textId="77777777" w:rsidTr="007C4F82">
        <w:trPr>
          <w:trHeight w:val="20"/>
          <w:jc w:val="center"/>
        </w:trPr>
        <w:tc>
          <w:tcPr>
            <w:tcW w:w="5665" w:type="dxa"/>
          </w:tcPr>
          <w:p w14:paraId="020500AA" w14:textId="34B135A7" w:rsidR="007C4F82" w:rsidRPr="00C33692" w:rsidRDefault="007C4F82" w:rsidP="0086350D">
            <w:pPr>
              <w:spacing w:before="120" w:after="60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W</w:t>
            </w:r>
            <w:r w:rsidR="00A44ABC"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programie</w:t>
            </w:r>
            <w:r w:rsidR="00A44ABC"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finansuje</w:t>
            </w:r>
            <w:r w:rsidR="00A44ABC"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się</w:t>
            </w:r>
            <w:r w:rsidR="00A44ABC"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leczenie</w:t>
            </w:r>
            <w:r w:rsidR="00A44ABC"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substancjami:</w:t>
            </w:r>
          </w:p>
          <w:p w14:paraId="14F71EA0" w14:textId="592493E5" w:rsidR="007C4F82" w:rsidRPr="00C33692" w:rsidRDefault="007C4F82" w:rsidP="0086350D">
            <w:pPr>
              <w:pStyle w:val="Akapitzlist"/>
              <w:numPr>
                <w:ilvl w:val="3"/>
                <w:numId w:val="6"/>
              </w:numPr>
              <w:spacing w:after="60"/>
              <w:contextualSpacing w:val="0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C33692">
              <w:rPr>
                <w:rFonts w:ascii="Times New Roman" w:eastAsiaTheme="minorHAnsi" w:hAnsi="Times New Roman"/>
                <w:i/>
                <w:iCs/>
                <w:kern w:val="2"/>
                <w:sz w:val="20"/>
                <w:szCs w:val="20"/>
                <w14:ligatures w14:val="standardContextual"/>
              </w:rPr>
              <w:t>entrektynib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,</w:t>
            </w:r>
          </w:p>
          <w:p w14:paraId="675EA1B0" w14:textId="76CE2F29" w:rsidR="007C4F82" w:rsidRPr="00C33692" w:rsidRDefault="007C4F82" w:rsidP="0086350D">
            <w:pPr>
              <w:pStyle w:val="Akapitzlist"/>
              <w:numPr>
                <w:ilvl w:val="3"/>
                <w:numId w:val="6"/>
              </w:numPr>
              <w:spacing w:after="60"/>
              <w:contextualSpacing w:val="0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C33692">
              <w:rPr>
                <w:rFonts w:ascii="Times New Roman" w:eastAsiaTheme="minorHAnsi" w:hAnsi="Times New Roman"/>
                <w:i/>
                <w:iCs/>
                <w:kern w:val="2"/>
                <w:sz w:val="20"/>
                <w:szCs w:val="20"/>
                <w14:ligatures w14:val="standardContextual"/>
              </w:rPr>
              <w:t>larotrektynib</w:t>
            </w:r>
            <w:r w:rsidRPr="00C33692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,</w:t>
            </w:r>
          </w:p>
          <w:p w14:paraId="7945D716" w14:textId="0E5C0F4A" w:rsidR="007C4F82" w:rsidRPr="00C33692" w:rsidRDefault="007C4F82" w:rsidP="0086350D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ze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wskazanymi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opisie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warunkami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A44ABC" w:rsidRPr="00C336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33692">
              <w:rPr>
                <w:rFonts w:ascii="Times New Roman" w:hAnsi="Times New Roman"/>
                <w:bCs/>
                <w:sz w:val="20"/>
                <w:szCs w:val="20"/>
              </w:rPr>
              <w:t>kryteriami.</w:t>
            </w:r>
          </w:p>
          <w:p w14:paraId="48C05029" w14:textId="77777777" w:rsidR="007C4F82" w:rsidRPr="00C33692" w:rsidRDefault="007C4F82" w:rsidP="0086350D">
            <w:pPr>
              <w:spacing w:after="60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</w:p>
          <w:p w14:paraId="05362B84" w14:textId="03EBD114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Kwalifikacja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świadczeniobiorców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do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programu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przeprowadzana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jest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przez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Zespół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Koordynacyjny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ds.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Leczenia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Pacjentów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Guzami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Litymi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Wykazującymi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Fuzję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Genu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NTRK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4524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(dalej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4524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jako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4524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Zespół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4524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Koordynacyjny)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,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powoływany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przez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Prezesa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Narodowego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Funduszu</w:t>
            </w:r>
            <w:r w:rsidR="00A44ABC"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Zdrowia.</w:t>
            </w:r>
          </w:p>
          <w:p w14:paraId="0A3011F7" w14:textId="77777777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712DEE3E" w14:textId="5E12A6B2" w:rsidR="00697293" w:rsidRPr="00A44ABC" w:rsidRDefault="00697293" w:rsidP="0086350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0A19C59A" w14:textId="2A3A2DD4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rozpoznanie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cytologiczne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nowotworu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litego;</w:t>
            </w:r>
          </w:p>
          <w:p w14:paraId="19BE48D7" w14:textId="02451673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fuzji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genu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receptorowej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kinazy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tyrozynowej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dla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neurotrofin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(NTRK)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potwierdzona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wykorzystaniem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zwalidowanego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sekwencjonowania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kolejnej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generacji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(NGS,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next-generation</w:t>
            </w:r>
            <w:r w:rsidR="00A44AB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sequencing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wykonywanego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posiadającym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aktualny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certyfikat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europejskiego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kontroli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jakości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dla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testu;</w:t>
            </w:r>
          </w:p>
          <w:p w14:paraId="33FD13CF" w14:textId="7841043F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nowotwór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stadium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miejscowo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zaawansowanym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przerzutowym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nowotwór,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resekcja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chirurgiczna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prawdopodobnie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doprowadzi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poważnych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niekorzystnych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następstw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zdrowotnych;</w:t>
            </w:r>
          </w:p>
          <w:p w14:paraId="5D0CCBCB" w14:textId="3DD0D1A0" w:rsidR="00037FC8" w:rsidRPr="00C33692" w:rsidRDefault="00037FC8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A44ABC"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wcześniejszego</w:t>
            </w:r>
            <w:r w:rsidR="00A44ABC"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inhibitorem</w:t>
            </w:r>
            <w:r w:rsidR="00A44ABC"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NTRK;</w:t>
            </w:r>
            <w:r w:rsidR="00A44ABC" w:rsidRPr="00C3369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0EEDAC6B" w14:textId="75C11189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entrektynibu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EFC2B89" w14:textId="2FA52970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wyczerpanie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terapeutyczne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dla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potwierdzono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korzyści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wskazaniu,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ustalone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dokumentacji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Koordynacyjny;</w:t>
            </w:r>
          </w:p>
          <w:p w14:paraId="3B1EF61F" w14:textId="426EFCC2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obecność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zmierzenia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celu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obiektywnej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systemu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RECIST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1.1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RANO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nowotworów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OUN)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obecność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policzalnych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niemierzalnych;</w:t>
            </w:r>
          </w:p>
          <w:p w14:paraId="2DD4C473" w14:textId="4EACC715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sprawności:</w:t>
            </w:r>
          </w:p>
          <w:p w14:paraId="56814AAA" w14:textId="02E46090" w:rsidR="00697293" w:rsidRPr="00A44ABC" w:rsidRDefault="00697293" w:rsidP="0086350D">
            <w:pPr>
              <w:numPr>
                <w:ilvl w:val="4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dorośli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lat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0-1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ECOG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równoważny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Karnofsky’ego,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91A4243" w14:textId="561F1B3F" w:rsidR="00697293" w:rsidRPr="00A44ABC" w:rsidRDefault="00697293" w:rsidP="0086350D">
            <w:pPr>
              <w:numPr>
                <w:ilvl w:val="4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poniżej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r.ż.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Lansky’ego;</w:t>
            </w:r>
          </w:p>
          <w:p w14:paraId="3F6CCA66" w14:textId="164BEC37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wydolność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narządowa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zapisami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ChPL;</w:t>
            </w:r>
          </w:p>
          <w:p w14:paraId="4B9D7E86" w14:textId="6F968B62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nieobecność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schorzeń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współistniejących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stanowiących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przeciwskazanie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stwierdzonych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oparciu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ChPL;</w:t>
            </w:r>
          </w:p>
          <w:p w14:paraId="740BC1DA" w14:textId="4DA39E38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wykluczenie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piersią.</w:t>
            </w:r>
          </w:p>
          <w:p w14:paraId="0218CCF9" w14:textId="63B9D69D" w:rsidR="00697293" w:rsidRPr="00A44ABC" w:rsidRDefault="00697293" w:rsidP="0086350D">
            <w:p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Powyższe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spełnione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łącznie.</w:t>
            </w:r>
          </w:p>
          <w:p w14:paraId="0C7C1AD7" w14:textId="77777777" w:rsidR="00697293" w:rsidRPr="00A44ABC" w:rsidRDefault="00697293" w:rsidP="0086350D">
            <w:p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01E6E4C" w14:textId="0DF89B65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Ponadto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kwalifikowani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również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wymagający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którzy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ramach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sposobu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finansowania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wyjątkiem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trwających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warunkiem,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chwili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lekowego.</w:t>
            </w:r>
          </w:p>
          <w:p w14:paraId="7A7A08F4" w14:textId="77777777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6B661CE" w14:textId="6F2B0178" w:rsidR="00697293" w:rsidRPr="00A44ABC" w:rsidRDefault="00697293" w:rsidP="0086350D">
            <w:pPr>
              <w:numPr>
                <w:ilvl w:val="0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DD2DFF3" w14:textId="3EC5DDC6" w:rsidR="00697293" w:rsidRPr="00A44ABC" w:rsidRDefault="00697293" w:rsidP="0086350D">
            <w:p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podjęcia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wyłączenia.</w:t>
            </w:r>
          </w:p>
          <w:p w14:paraId="6DE62506" w14:textId="77777777" w:rsidR="00697293" w:rsidRPr="00A44ABC" w:rsidRDefault="00697293" w:rsidP="0086350D">
            <w:p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127366A" w14:textId="30DE9FCE" w:rsidR="00697293" w:rsidRPr="00A44ABC" w:rsidRDefault="00697293" w:rsidP="0086350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bookmarkStart w:id="0" w:name="_Hlk120612698"/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zakończenia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udziału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programie</w:t>
            </w:r>
            <w:bookmarkEnd w:id="0"/>
          </w:p>
          <w:p w14:paraId="485F5540" w14:textId="584CE9AA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potwierdzonej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przedmiotowym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(jeśli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uwagi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miarodajna)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obrazowym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RECIST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1.1.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RANO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OUN);</w:t>
            </w:r>
          </w:p>
          <w:p w14:paraId="0C5662CD" w14:textId="7F31C3EB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przynajmniej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będącego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zagrożeniem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klasyfikacji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CTC-AE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nawracającej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nieakceptowalnej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klasyfikacji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CTC-AE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(wznowienie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ustąpieniu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nasilenia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klasyfikacji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CTC-AE)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zapisami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ChPL;</w:t>
            </w:r>
          </w:p>
          <w:p w14:paraId="6919112F" w14:textId="1B12D5F5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chorób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stanów,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dalsze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01B5398E" w14:textId="1E9727F4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4D01"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entrektynib/</w:t>
            </w:r>
            <w:r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larotrektynib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pomocniczą;</w:t>
            </w:r>
          </w:p>
          <w:p w14:paraId="206DAB45" w14:textId="063C0D63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obniżenie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sprawności:</w:t>
            </w:r>
          </w:p>
          <w:p w14:paraId="2A502FC4" w14:textId="045E9FBA" w:rsidR="00697293" w:rsidRPr="00A44ABC" w:rsidRDefault="00697293" w:rsidP="0086350D">
            <w:pPr>
              <w:numPr>
                <w:ilvl w:val="4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ECOG,</w:t>
            </w:r>
          </w:p>
          <w:p w14:paraId="6145376F" w14:textId="6777033B" w:rsidR="00697293" w:rsidRPr="00A44ABC" w:rsidRDefault="00697293" w:rsidP="0086350D">
            <w:pPr>
              <w:numPr>
                <w:ilvl w:val="4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Karnofsky’ego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Lansky’ego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poniżej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50;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76C973C" w14:textId="3F323C04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piersią;</w:t>
            </w:r>
          </w:p>
          <w:p w14:paraId="10F67F5D" w14:textId="0DEBB5CA" w:rsidR="00697293" w:rsidRPr="00A44ABC" w:rsidRDefault="00697293" w:rsidP="0086350D">
            <w:pPr>
              <w:numPr>
                <w:ilvl w:val="3"/>
                <w:numId w:val="8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współpracy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nieprzestrzeganie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zaleceń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lekarskich,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zwłaszcza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okresowych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oceniających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bezpieczeństwo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620EA"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entrektynibem</w:t>
            </w:r>
            <w:r w:rsid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434D01"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/</w:t>
            </w:r>
            <w:r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larotrektynibem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strony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prawnych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opiekunów.</w:t>
            </w:r>
          </w:p>
          <w:p w14:paraId="5BF2A094" w14:textId="00142752" w:rsidR="00A075DC" w:rsidRPr="00A44ABC" w:rsidRDefault="00A075DC" w:rsidP="0086350D">
            <w:p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0607280F" w14:textId="77777777" w:rsidR="00697293" w:rsidRPr="00A44ABC" w:rsidRDefault="00697293" w:rsidP="0086350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5B987634" w14:textId="4C8956A0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Sposób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podawania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oraz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ewentualne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czasowe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wstrzymania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leczenia,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prowadzone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zgodnie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aktualnymi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Charakterystykami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Produktu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Leczniczego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(ChPL)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przyjętą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praktyką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kliniczną.</w:t>
            </w:r>
          </w:p>
          <w:p w14:paraId="1B369A73" w14:textId="472BDCB8" w:rsidR="00C620EA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Dopuszczalne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jest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zmniejszenie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wymienionych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poniżej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dawek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zgodnie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aktualną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ChPL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poszczególnych</w:t>
            </w:r>
            <w:r w:rsid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leków.</w:t>
            </w:r>
          </w:p>
          <w:p w14:paraId="3F597A0E" w14:textId="77777777" w:rsidR="00C620EA" w:rsidRPr="00A44ABC" w:rsidRDefault="00C620EA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  <w:p w14:paraId="27D34A9C" w14:textId="3A663DF4" w:rsidR="00C620EA" w:rsidRPr="00A44ABC" w:rsidRDefault="00C620EA" w:rsidP="0086350D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Entrektynib</w:t>
            </w:r>
          </w:p>
          <w:p w14:paraId="6FE1FAB7" w14:textId="37F72535" w:rsidR="00C620EA" w:rsidRPr="00A44ABC" w:rsidRDefault="00C620EA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entrektynibu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dorosłych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dobę.</w:t>
            </w:r>
          </w:p>
          <w:p w14:paraId="5F4DC432" w14:textId="461E500A" w:rsidR="00C620EA" w:rsidRPr="00A44ABC" w:rsidRDefault="00C620EA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entrektynibu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młodzieży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mg/m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dawkę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dobową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powierzchni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ciała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1,50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dawkę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dobową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powierzchni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ciała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1,51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dobę.</w:t>
            </w:r>
          </w:p>
          <w:p w14:paraId="3B830F3E" w14:textId="77777777" w:rsidR="00A075DC" w:rsidRPr="00A44ABC" w:rsidRDefault="00A075DC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7CCFAD9" w14:textId="5F028D61" w:rsidR="00697293" w:rsidRPr="00A44ABC" w:rsidRDefault="00697293" w:rsidP="0086350D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Larotrektynib</w:t>
            </w:r>
          </w:p>
          <w:p w14:paraId="5DC00D75" w14:textId="02F16158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Zalecana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larotrektynibu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dorosłych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dobę.</w:t>
            </w:r>
          </w:p>
          <w:p w14:paraId="2BD11BEF" w14:textId="791EB138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620EA" w:rsidRPr="00A44AB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larotrektynibu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młodzieży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mg/m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dawkę.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0297399" w14:textId="77777777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2020B7F" w14:textId="48E9D8AD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14" w:type="dxa"/>
          </w:tcPr>
          <w:p w14:paraId="637FE399" w14:textId="3C81EBFA" w:rsidR="00697293" w:rsidRPr="00A44ABC" w:rsidRDefault="00697293" w:rsidP="0086350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Badania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kwalifikowaniu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3C4B43F7" w14:textId="7E1E7F20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histologiczne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cytologiczne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potwierdzenie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nowotworu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litego;</w:t>
            </w:r>
          </w:p>
          <w:p w14:paraId="2E7B3D56" w14:textId="6F8DEB9D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potwierdzenie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fuzji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genu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NTRK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materiale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tkankowym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uzyskanym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nowotworu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wyniku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zwalidowanego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zastosowaniem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molekularnych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metod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diagnostycznych;</w:t>
            </w:r>
          </w:p>
          <w:p w14:paraId="48ECE794" w14:textId="3D41E519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rozmazem;</w:t>
            </w:r>
          </w:p>
          <w:p w14:paraId="437D02B7" w14:textId="110A05DC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kreatyniny;</w:t>
            </w:r>
          </w:p>
          <w:p w14:paraId="2DDDFA2D" w14:textId="246F29C3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bilirubiny;</w:t>
            </w:r>
          </w:p>
          <w:p w14:paraId="37D36611" w14:textId="2B203BD8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aminotransferazy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alaninowej;</w:t>
            </w:r>
          </w:p>
          <w:p w14:paraId="43FF6C39" w14:textId="14D67C30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aminotransferazy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asparaginianowej;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8E79C93" w14:textId="2FFEE25E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ciążowy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kobiet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rozrodczym;</w:t>
            </w:r>
          </w:p>
          <w:p w14:paraId="286E9363" w14:textId="6E29D82C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elektrokardiografia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(EKG);</w:t>
            </w:r>
          </w:p>
          <w:p w14:paraId="35190A97" w14:textId="55A84BB1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TK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MR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zależności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klinicznej;</w:t>
            </w:r>
          </w:p>
          <w:p w14:paraId="1CB82397" w14:textId="78E358A7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inne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zależności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klinicznej.</w:t>
            </w:r>
          </w:p>
          <w:p w14:paraId="5F3A1E70" w14:textId="77777777" w:rsidR="00697293" w:rsidRPr="00A44ABC" w:rsidRDefault="00697293" w:rsidP="0086350D">
            <w:pPr>
              <w:tabs>
                <w:tab w:val="left" w:pos="-4253"/>
              </w:tabs>
              <w:suppressAutoHyphens/>
              <w:spacing w:after="60"/>
              <w:ind w:left="7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  <w:p w14:paraId="53AE8C92" w14:textId="1A967352" w:rsidR="00697293" w:rsidRPr="00A44ABC" w:rsidRDefault="00697293" w:rsidP="0086350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celu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bezpieczeństwa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6A53ADBB" w14:textId="146BDDB7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rozmazem;</w:t>
            </w:r>
          </w:p>
          <w:p w14:paraId="273CBFF8" w14:textId="409206AF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kinazy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fosfokreatynowej;</w:t>
            </w:r>
          </w:p>
          <w:p w14:paraId="609D492F" w14:textId="1F9F7B30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kreatyniny;</w:t>
            </w:r>
          </w:p>
          <w:p w14:paraId="0D0D83D8" w14:textId="10334048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bilirubiny;</w:t>
            </w:r>
          </w:p>
          <w:p w14:paraId="5A879AEE" w14:textId="3FE7FC19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aminotransferazy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alaninowej;</w:t>
            </w:r>
          </w:p>
          <w:p w14:paraId="1F4F95C6" w14:textId="360CE78C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aminotransferazy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asparaginianowej;</w:t>
            </w:r>
          </w:p>
          <w:p w14:paraId="4B318354" w14:textId="4AB5D1C9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EKG.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5880269" w14:textId="2B8113D5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wyjątkiem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EKG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klinicznych.</w:t>
            </w:r>
          </w:p>
          <w:p w14:paraId="0DD14845" w14:textId="77777777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0CE358A" w14:textId="3E5CE404" w:rsidR="00697293" w:rsidRPr="00A44ABC" w:rsidRDefault="00697293" w:rsidP="0086350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celu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monitorowania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skuteczności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71E8CAFE" w14:textId="28736F7E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TK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MR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zależności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klinicznej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AC066A4" w14:textId="6441216D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inne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konieczne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oceny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zmian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według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kryteriów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RECIST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1.1.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(lub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RANO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przerzutów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OUN)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zależności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klinicznej.</w:t>
            </w:r>
          </w:p>
          <w:p w14:paraId="122E5881" w14:textId="0E7DF76E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wykorzystaniem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identycznej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wykorzystanej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podczas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kwalifikowania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70605D0" w14:textId="37FA9555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uzasadnionych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przypadkach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terminie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zgodnym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(powód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uzasadnionej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terminu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powinien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odnotowany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dokumentacji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medycznej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pacjenta).</w:t>
            </w:r>
          </w:p>
          <w:p w14:paraId="5D19B1D6" w14:textId="448867D0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grupie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uzyskujących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korzyść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kliniczną,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tj.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odpowiedź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obiektywną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stabilizację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częstotliwość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wykonywania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obrazowych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zostać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ustalona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DC83E34" w14:textId="4B9DC342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ww.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celu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skuteczności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dla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wskaźniki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tym: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4607141A" w14:textId="61443A20" w:rsidR="00697293" w:rsidRPr="00A44ABC" w:rsidRDefault="00697293" w:rsidP="0086350D">
            <w:pPr>
              <w:numPr>
                <w:ilvl w:val="5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całkowitą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(CR)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częściową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odpowiedź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leczenie,</w:t>
            </w:r>
          </w:p>
          <w:p w14:paraId="189B00AA" w14:textId="0B4F949F" w:rsidR="00697293" w:rsidRPr="00A44ABC" w:rsidRDefault="00697293" w:rsidP="0086350D">
            <w:pPr>
              <w:numPr>
                <w:ilvl w:val="5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stabilizację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(SD)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progresję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(PD),</w:t>
            </w:r>
          </w:p>
          <w:p w14:paraId="0D753DB9" w14:textId="7B1B94CF" w:rsidR="00697293" w:rsidRPr="00A44ABC" w:rsidRDefault="00697293" w:rsidP="0086350D">
            <w:pPr>
              <w:numPr>
                <w:ilvl w:val="5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przeżycie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(OS)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(PFS).</w:t>
            </w:r>
          </w:p>
          <w:p w14:paraId="65CD8C04" w14:textId="6CC408E7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gromadzone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SMPT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analizowane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Koordynacyjny,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podsumowuje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wyniki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lekowym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koniec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każdego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roku.</w:t>
            </w:r>
            <w:r w:rsid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9815CEF" w14:textId="77777777" w:rsidR="00697293" w:rsidRPr="00A44ABC" w:rsidRDefault="00697293" w:rsidP="0086350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2D6EA62" w14:textId="2519FFA2" w:rsidR="00697293" w:rsidRPr="00A44ABC" w:rsidRDefault="00697293" w:rsidP="0086350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</w:t>
            </w:r>
            <w:r w:rsid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59EA75DC" w14:textId="2AE1EF05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gromadzenie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dokumentacji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medycznej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dotyczących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monitorowania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każdorazowe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przedstawianie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żądanie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kontrolerów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Narodowego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Funduszu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Zdrowia;</w:t>
            </w:r>
          </w:p>
          <w:p w14:paraId="12B864F9" w14:textId="38795DDA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uzupełnienie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zawartych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elektronicznym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monitorowania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programów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lekowych,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przekazywanie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dotyczących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wskaźników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skuteczności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zawartych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pkt.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3,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dostępnym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pomocą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aplikacji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internetowej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udostępnionej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częstotliwością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zgodną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zakończenie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47065516" w14:textId="57F45417" w:rsidR="00697293" w:rsidRPr="00A44ABC" w:rsidRDefault="00697293" w:rsidP="0086350D">
            <w:pPr>
              <w:numPr>
                <w:ilvl w:val="3"/>
                <w:numId w:val="10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przekazywanie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informacji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sprawozdawczo-rozliczeniowych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(informacje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przekazuje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formie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papierowej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formie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elektronicznej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wymaganiami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opublikowanymi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NFZ).</w:t>
            </w:r>
          </w:p>
          <w:p w14:paraId="58FB0269" w14:textId="77777777" w:rsidR="00697293" w:rsidRPr="00A44ABC" w:rsidRDefault="00697293" w:rsidP="0086350D">
            <w:pPr>
              <w:tabs>
                <w:tab w:val="left" w:pos="-4253"/>
              </w:tabs>
              <w:suppressAutoHyphens/>
              <w:spacing w:after="60"/>
              <w:ind w:left="22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2EEE601" w14:textId="77777777" w:rsidR="00037FC8" w:rsidRPr="00F30E39" w:rsidRDefault="00037FC8">
      <w:pPr>
        <w:rPr>
          <w:rFonts w:ascii="Lato" w:hAnsi="Lato"/>
        </w:rPr>
      </w:pPr>
    </w:p>
    <w:sectPr w:rsidR="00037FC8" w:rsidRPr="00F30E39" w:rsidSect="007C4F82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A72"/>
    <w:multiLevelType w:val="hybridMultilevel"/>
    <w:tmpl w:val="C09EE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B73CE"/>
    <w:multiLevelType w:val="hybridMultilevel"/>
    <w:tmpl w:val="FACC2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1575B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E07445C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4A3B79C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4AF27A76"/>
    <w:multiLevelType w:val="multilevel"/>
    <w:tmpl w:val="BE262A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2F36303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6E6D2667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718C680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75C555BE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588071267">
    <w:abstractNumId w:val="7"/>
  </w:num>
  <w:num w:numId="2" w16cid:durableId="2064720122">
    <w:abstractNumId w:val="6"/>
  </w:num>
  <w:num w:numId="3" w16cid:durableId="1019500680">
    <w:abstractNumId w:val="2"/>
  </w:num>
  <w:num w:numId="4" w16cid:durableId="835614782">
    <w:abstractNumId w:val="1"/>
  </w:num>
  <w:num w:numId="5" w16cid:durableId="57048282">
    <w:abstractNumId w:val="0"/>
  </w:num>
  <w:num w:numId="6" w16cid:durableId="99372380">
    <w:abstractNumId w:val="9"/>
  </w:num>
  <w:num w:numId="7" w16cid:durableId="434248422">
    <w:abstractNumId w:val="5"/>
  </w:num>
  <w:num w:numId="8" w16cid:durableId="799686476">
    <w:abstractNumId w:val="8"/>
  </w:num>
  <w:num w:numId="9" w16cid:durableId="1011444480">
    <w:abstractNumId w:val="4"/>
  </w:num>
  <w:num w:numId="10" w16cid:durableId="989212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293"/>
    <w:rsid w:val="00037FC8"/>
    <w:rsid w:val="00434D01"/>
    <w:rsid w:val="004A2DD1"/>
    <w:rsid w:val="004D291F"/>
    <w:rsid w:val="00697293"/>
    <w:rsid w:val="007510F2"/>
    <w:rsid w:val="007C4F82"/>
    <w:rsid w:val="00826C22"/>
    <w:rsid w:val="0086350D"/>
    <w:rsid w:val="009A574B"/>
    <w:rsid w:val="00A075DC"/>
    <w:rsid w:val="00A44ABC"/>
    <w:rsid w:val="00A4524C"/>
    <w:rsid w:val="00A60041"/>
    <w:rsid w:val="00AA5E03"/>
    <w:rsid w:val="00C33692"/>
    <w:rsid w:val="00C620EA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46EAE"/>
  <w15:chartTrackingRefBased/>
  <w15:docId w15:val="{E082104C-4249-4563-BD31-7FBD1AFD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29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A4524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A4524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44A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A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ABC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A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ABC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1200</Words>
  <Characters>7204</Characters>
  <Application>Microsoft Office Word</Application>
  <DocSecurity>4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Królak-Buzakowska Joanna</cp:lastModifiedBy>
  <cp:revision>2</cp:revision>
  <dcterms:created xsi:type="dcterms:W3CDTF">2023-09-27T11:49:00Z</dcterms:created>
  <dcterms:modified xsi:type="dcterms:W3CDTF">2023-09-27T11:49:00Z</dcterms:modified>
</cp:coreProperties>
</file>