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6FB1" w14:textId="77777777" w:rsidR="003934E2" w:rsidRPr="003934E2" w:rsidRDefault="003934E2" w:rsidP="003934E2">
      <w:pPr>
        <w:pStyle w:val="OZNPROJEKTUwskazaniedatylubwersjiprojektu"/>
      </w:pPr>
      <w:bookmarkStart w:id="0" w:name="_GoBack"/>
      <w:bookmarkEnd w:id="0"/>
      <w:r w:rsidRPr="003934E2">
        <w:t xml:space="preserve">Projekt z dnia </w:t>
      </w:r>
      <w:r w:rsidR="004915FA">
        <w:t>1</w:t>
      </w:r>
      <w:r w:rsidR="004E1F00">
        <w:t>4</w:t>
      </w:r>
      <w:r w:rsidRPr="003934E2">
        <w:t>.12.2020 r.</w:t>
      </w:r>
    </w:p>
    <w:p w14:paraId="06379133" w14:textId="77777777" w:rsidR="000860F7" w:rsidRDefault="000860F7" w:rsidP="000860F7"/>
    <w:p w14:paraId="1CCA1857" w14:textId="77777777" w:rsidR="003934E2" w:rsidRPr="00D37F74" w:rsidRDefault="003934E2" w:rsidP="003934E2">
      <w:pPr>
        <w:pStyle w:val="OZNRODZAKTUtznustawalubrozporzdzenieiorganwydajcy"/>
        <w:rPr>
          <w:rStyle w:val="IGindeksgrny"/>
        </w:rPr>
      </w:pPr>
      <w:r w:rsidRPr="00616A45">
        <w:t xml:space="preserve">ROZPORZĄDZENIE </w:t>
      </w:r>
      <w:r>
        <w:br/>
      </w:r>
      <w:r w:rsidRPr="00616A45">
        <w:t xml:space="preserve">MINISTRA </w:t>
      </w:r>
      <w:r>
        <w:t>ROZWOJU, PRACY I TECHNOLOGII</w:t>
      </w:r>
      <w:r w:rsidR="004A5C1A" w:rsidRPr="00713E66">
        <w:rPr>
          <w:rStyle w:val="IGPindeksgrnyipogrubienie"/>
        </w:rPr>
        <w:footnoteReference w:id="1"/>
      </w:r>
      <w:r w:rsidR="004A5C1A" w:rsidRPr="00713E66">
        <w:rPr>
          <w:rStyle w:val="IGPindeksgrnyipogrubienie"/>
        </w:rPr>
        <w:t>)</w:t>
      </w:r>
    </w:p>
    <w:p w14:paraId="1014732B" w14:textId="77777777" w:rsidR="003934E2" w:rsidRDefault="003934E2" w:rsidP="003934E2">
      <w:pPr>
        <w:pStyle w:val="DATAAKTUdatauchwalenialubwydaniaaktu"/>
      </w:pPr>
      <w:r w:rsidRPr="00616A45">
        <w:t xml:space="preserve"> z dnia </w:t>
      </w:r>
      <w:r w:rsidR="004915FA">
        <w:t>……………..</w:t>
      </w:r>
      <w:r w:rsidRPr="00616A45">
        <w:t xml:space="preserve"> r. </w:t>
      </w:r>
    </w:p>
    <w:p w14:paraId="7B92FD97" w14:textId="77777777" w:rsidR="003934E2" w:rsidRDefault="003934E2" w:rsidP="000860F7">
      <w:pPr>
        <w:pStyle w:val="TYTUAKTUprzedmiotregulacjiustawylubrozporzdzenia"/>
      </w:pPr>
      <w:r>
        <w:t xml:space="preserve">zmieniające rozporządzenie </w:t>
      </w:r>
      <w:r w:rsidR="0073687F" w:rsidRPr="0073687F">
        <w:t xml:space="preserve">w sprawie standardów technicznych wykonywania geodezyjnych pomiarów sytuacyjnych i wysokościowych oraz opracowywania </w:t>
      </w:r>
      <w:r w:rsidR="004A5C1A" w:rsidRPr="000860F7">
        <w:br/>
      </w:r>
      <w:r w:rsidR="0073687F" w:rsidRPr="0073687F">
        <w:t xml:space="preserve">i przekazywania wyników tych pomiarów do państwowego zasobu geodezyjnego </w:t>
      </w:r>
      <w:r w:rsidR="004A5C1A">
        <w:br/>
      </w:r>
      <w:r w:rsidR="0073687F" w:rsidRPr="0073687F">
        <w:t>i kartograficznego</w:t>
      </w:r>
    </w:p>
    <w:p w14:paraId="51177E8E" w14:textId="77777777" w:rsidR="0073687F" w:rsidRDefault="0073687F" w:rsidP="0073687F">
      <w:pPr>
        <w:pStyle w:val="NIEARTTEKSTtekstnieartykuowanynppodstprawnarozplubpreambua"/>
      </w:pPr>
      <w:r w:rsidRPr="00616A45">
        <w:t>Na podstawie art. </w:t>
      </w:r>
      <w:r>
        <w:t>19 ust. 1 pkt 11</w:t>
      </w:r>
      <w:r w:rsidRPr="00616A45">
        <w:t xml:space="preserve"> ustawy z dnia 17 maja 1989 r. – Prawo geodezyjne i kartograficzne (Dz. U. z </w:t>
      </w:r>
      <w:r>
        <w:t>2020</w:t>
      </w:r>
      <w:r w:rsidRPr="00616A45">
        <w:t> r. poz. </w:t>
      </w:r>
      <w:r>
        <w:t>2052</w:t>
      </w:r>
      <w:r w:rsidRPr="00616A45">
        <w:t xml:space="preserve">) zarządza się, co następuje: </w:t>
      </w:r>
    </w:p>
    <w:p w14:paraId="0D5EF703" w14:textId="77777777" w:rsidR="00A33164" w:rsidRDefault="0073687F" w:rsidP="00A33164">
      <w:pPr>
        <w:pStyle w:val="ARTartustawynprozporzdzenia"/>
      </w:pPr>
      <w:r w:rsidRPr="0007026D">
        <w:t>§ 1. </w:t>
      </w:r>
      <w:r>
        <w:tab/>
      </w:r>
      <w:r w:rsidRPr="0007026D">
        <w:t xml:space="preserve">W </w:t>
      </w:r>
      <w:r>
        <w:t xml:space="preserve">rozporządzeniu </w:t>
      </w:r>
      <w:r w:rsidRPr="0073687F">
        <w:t>Ministra Rozwoju z dnia 18 sierpnia 2020 r.</w:t>
      </w:r>
      <w:r>
        <w:t xml:space="preserve"> </w:t>
      </w:r>
      <w:r w:rsidRPr="0073687F">
        <w:t xml:space="preserve">w sprawie standardów technicznych wykonywania geodezyjnych pomiarów sytuacyjnych i wysokościowych oraz opracowywania i </w:t>
      </w:r>
      <w:r w:rsidRPr="00A33164">
        <w:t>przekazywania wyników tych pomiarów do państwowego zasobu geodezyjnego i kartograficznego (Dz.</w:t>
      </w:r>
      <w:r w:rsidR="00A33164" w:rsidRPr="00A33164">
        <w:t xml:space="preserve"> </w:t>
      </w:r>
      <w:r w:rsidRPr="00A33164">
        <w:t>U. poz. 1429)</w:t>
      </w:r>
      <w:r w:rsidR="00A33164" w:rsidRPr="00A33164">
        <w:t xml:space="preserve"> </w:t>
      </w:r>
      <w:r w:rsidRPr="00A33164">
        <w:tab/>
      </w:r>
      <w:r w:rsidR="000860F7">
        <w:t>wprowadza się następujące zmiany</w:t>
      </w:r>
      <w:r w:rsidR="00A33164">
        <w:t>:</w:t>
      </w:r>
    </w:p>
    <w:p w14:paraId="0F36F75F" w14:textId="77777777" w:rsidR="000860F7" w:rsidRPr="000860F7" w:rsidRDefault="000860F7" w:rsidP="000860F7">
      <w:pPr>
        <w:pStyle w:val="PKTpunkt"/>
      </w:pPr>
      <w:r>
        <w:t>1)</w:t>
      </w:r>
      <w:r w:rsidRPr="000860F7">
        <w:t xml:space="preserve"> </w:t>
      </w:r>
      <w:r>
        <w:t xml:space="preserve">w </w:t>
      </w:r>
      <w:r w:rsidRPr="000860F7">
        <w:t>§ 24 ust. 3 otrzymuje brzmienie:</w:t>
      </w:r>
    </w:p>
    <w:p w14:paraId="4ABCC3B7" w14:textId="77777777" w:rsidR="000860F7" w:rsidRPr="000860F7" w:rsidRDefault="000860F7" w:rsidP="000860F7">
      <w:pPr>
        <w:pStyle w:val="ZUSTzmustartykuempunktem"/>
      </w:pPr>
      <w:r w:rsidRPr="000860F7">
        <w:t>„3. Dokumenty, o których mowa w ust. 1, podpisuje kierownik prac geodezyjnych podpisem własnoręcznym, a w przypadku sporządzenia opracowań w postaci elektronicznej opatruje je kwalifikowanym podpisem elektronicznym albo podpisem osobistym.</w:t>
      </w:r>
      <w:r w:rsidR="004915FA" w:rsidRPr="000860F7">
        <w:t>”;</w:t>
      </w:r>
    </w:p>
    <w:p w14:paraId="46AD12E8" w14:textId="77777777" w:rsidR="000860F7" w:rsidRPr="000860F7" w:rsidRDefault="000860F7" w:rsidP="000860F7">
      <w:pPr>
        <w:pStyle w:val="PKTpunkt"/>
      </w:pPr>
      <w:r>
        <w:t xml:space="preserve">2) w </w:t>
      </w:r>
      <w:r w:rsidRPr="000860F7">
        <w:t>§ 30 ust. 3 otrzymuje brzmienie:</w:t>
      </w:r>
    </w:p>
    <w:p w14:paraId="78BB166F" w14:textId="77777777" w:rsidR="000860F7" w:rsidRPr="000860F7" w:rsidRDefault="000860F7" w:rsidP="000860F7">
      <w:pPr>
        <w:pStyle w:val="ZUSTzmustartykuempunktem"/>
      </w:pPr>
      <w:r w:rsidRPr="000860F7">
        <w:t>„3. Mapę do celów projektowych podpisuje kierownik prac geodezyjnych podpisem własnoręcznym, a w przypadku sporządzenia mapy do celów projektowych w postaci elektronicznej opatruje ją kwalifikowanym podpisem elektronicznym albo podpisem osobistym.”;</w:t>
      </w:r>
    </w:p>
    <w:p w14:paraId="3C589D74" w14:textId="77777777" w:rsidR="000860F7" w:rsidRPr="000860F7" w:rsidRDefault="000860F7" w:rsidP="000860F7">
      <w:pPr>
        <w:pStyle w:val="PKTpunkt"/>
      </w:pPr>
      <w:r>
        <w:t xml:space="preserve">3) </w:t>
      </w:r>
      <w:r w:rsidRPr="000860F7">
        <w:t>w § 31 ust. 1 otrzymuje brzmienie:</w:t>
      </w:r>
    </w:p>
    <w:p w14:paraId="2E9D522B" w14:textId="77777777" w:rsidR="000860F7" w:rsidRPr="000860F7" w:rsidRDefault="000860F7" w:rsidP="000860F7">
      <w:pPr>
        <w:pStyle w:val="ZUSTzmustartykuempunktem"/>
      </w:pPr>
      <w:r w:rsidRPr="000860F7">
        <w:t xml:space="preserve">„1. W przypadku gdy w zamierzeniu budowlanym przewiduje się usytuowanie: </w:t>
      </w:r>
    </w:p>
    <w:p w14:paraId="64660C18" w14:textId="77777777" w:rsidR="000860F7" w:rsidRPr="000860F7" w:rsidRDefault="000860F7" w:rsidP="000860F7">
      <w:pPr>
        <w:pStyle w:val="ZLITwPKTzmlitwpktartykuempunktem"/>
      </w:pPr>
      <w:r w:rsidRPr="00155C22">
        <w:lastRenderedPageBreak/>
        <w:t>1)</w:t>
      </w:r>
      <w:r>
        <w:tab/>
      </w:r>
      <w:r w:rsidRPr="00155C22">
        <w:t xml:space="preserve">budynków w odległości mniejszej lub równej 4 m lub </w:t>
      </w:r>
    </w:p>
    <w:p w14:paraId="39EAD1B5" w14:textId="77777777" w:rsidR="000860F7" w:rsidRPr="000860F7" w:rsidRDefault="000860F7" w:rsidP="000860F7">
      <w:pPr>
        <w:pStyle w:val="ZLITwPKTzmlitwpktartykuempunktem"/>
      </w:pPr>
      <w:r w:rsidRPr="00155C22">
        <w:t>2)</w:t>
      </w:r>
      <w:r>
        <w:tab/>
      </w:r>
      <w:r w:rsidRPr="00155C22">
        <w:t xml:space="preserve">innych obiektów budowlanych, z wyłączeniem obiektów liniowych, w odległości mniejszej lub równej 3 m </w:t>
      </w:r>
    </w:p>
    <w:p w14:paraId="007BD032" w14:textId="77777777" w:rsidR="000860F7" w:rsidRPr="000860F7" w:rsidRDefault="000860F7" w:rsidP="000860F7">
      <w:pPr>
        <w:pStyle w:val="ZCZWSPLITwPKTzmczciwsplitwpktartykuempunktem"/>
      </w:pPr>
      <w:r w:rsidRPr="000860F7">
        <w:t>- od granicy nieruchomości, a w zasobie brak jest danych określających położenie punktów granicznych tej granicy z dokładnością właściwą dla szczegółów terenowych I grupy, wykonawca określa położenie</w:t>
      </w:r>
      <w:r w:rsidR="004915FA">
        <w:t xml:space="preserve"> tych punktów w drodze pomiaru.</w:t>
      </w:r>
      <w:r w:rsidR="004915FA" w:rsidRPr="000860F7">
        <w:t>”;</w:t>
      </w:r>
    </w:p>
    <w:p w14:paraId="28EEAD90" w14:textId="77777777" w:rsidR="000860F7" w:rsidRPr="000860F7" w:rsidRDefault="000860F7" w:rsidP="000860F7">
      <w:pPr>
        <w:pStyle w:val="PKTpunkt"/>
      </w:pPr>
      <w:r>
        <w:t xml:space="preserve">4) w </w:t>
      </w:r>
      <w:r w:rsidRPr="000860F7">
        <w:t>§ 35 ust. 2 otrzymuje brzmienie:</w:t>
      </w:r>
    </w:p>
    <w:p w14:paraId="678524E9" w14:textId="77777777" w:rsidR="000860F7" w:rsidRPr="000860F7" w:rsidRDefault="000860F7" w:rsidP="004915FA">
      <w:pPr>
        <w:pStyle w:val="ZUSTzmustartykuempunktem"/>
      </w:pPr>
      <w:r w:rsidRPr="000860F7">
        <w:t>„2. Operat techniczny sporządza się w postaci elektronicznej w formacie pliku PDF podpisanego przez kierownika prac geodezyjnych kwalifikowanym podpisem elektronicznym albo podpisem osobistym.”;</w:t>
      </w:r>
    </w:p>
    <w:p w14:paraId="79E5DB71" w14:textId="77777777" w:rsidR="000860F7" w:rsidRPr="000860F7" w:rsidRDefault="000860F7" w:rsidP="000860F7">
      <w:pPr>
        <w:pStyle w:val="PKTpunkt"/>
      </w:pPr>
      <w:r>
        <w:t xml:space="preserve">5) w </w:t>
      </w:r>
      <w:r w:rsidRPr="000860F7">
        <w:t>§ 36 pkt 4 otrzymuj</w:t>
      </w:r>
      <w:r w:rsidR="004915FA">
        <w:t>e</w:t>
      </w:r>
      <w:r w:rsidRPr="000860F7">
        <w:t xml:space="preserve"> brzmienie:</w:t>
      </w:r>
    </w:p>
    <w:p w14:paraId="022069A7" w14:textId="77777777" w:rsidR="000860F7" w:rsidRPr="000860F7" w:rsidRDefault="000860F7" w:rsidP="004915FA">
      <w:pPr>
        <w:pStyle w:val="ZPKTzmpktartykuempunktem"/>
      </w:pPr>
      <w:r>
        <w:t xml:space="preserve">„4) </w:t>
      </w:r>
      <w:r w:rsidR="004915FA">
        <w:tab/>
      </w:r>
      <w:r w:rsidRPr="000860F7">
        <w:t>mapę porównania z terenem i szkice polowe jeżeli wykonywany był pomiar;</w:t>
      </w:r>
      <w:r w:rsidR="004915FA" w:rsidRPr="000860F7">
        <w:t>”;</w:t>
      </w:r>
    </w:p>
    <w:p w14:paraId="3081D8DA" w14:textId="77777777" w:rsidR="000860F7" w:rsidRPr="000860F7" w:rsidRDefault="000860F7" w:rsidP="000860F7">
      <w:pPr>
        <w:pStyle w:val="PKTpunkt"/>
      </w:pPr>
      <w:r>
        <w:t xml:space="preserve">6) w </w:t>
      </w:r>
      <w:r w:rsidRPr="000860F7">
        <w:t>§ 40 ust. 3 otrzymuje brzmienie:</w:t>
      </w:r>
    </w:p>
    <w:p w14:paraId="0068EAFC" w14:textId="77777777" w:rsidR="000860F7" w:rsidRPr="000860F7" w:rsidRDefault="000860F7" w:rsidP="004915FA">
      <w:pPr>
        <w:pStyle w:val="ZUSTzmustartykuempunktem"/>
      </w:pPr>
      <w:r w:rsidRPr="000860F7">
        <w:t>„3. Przepisu ust. 2 nie stosuje się w przypadku, gdy zmiana współrzędnych położenia punków granicznych jest wynikiem dostosowania danych z materiałów zasobu do obowiązującego układu współrzędnych płaskich prostokątnych.”</w:t>
      </w:r>
      <w:r w:rsidR="004E1F00">
        <w:t>.</w:t>
      </w:r>
    </w:p>
    <w:p w14:paraId="540B6A1C" w14:textId="77777777" w:rsidR="004E1F00" w:rsidRPr="004E1F00" w:rsidRDefault="000E3402" w:rsidP="004E1F00">
      <w:pPr>
        <w:pStyle w:val="ARTartustawynprozporzdzenia"/>
      </w:pPr>
      <w:r w:rsidRPr="004E1F00">
        <w:t>§</w:t>
      </w:r>
      <w:r w:rsidR="004E1F00" w:rsidRPr="004E1F00">
        <w:t xml:space="preserve"> 2.</w:t>
      </w:r>
      <w:r w:rsidRPr="004E1F00">
        <w:t xml:space="preserve"> </w:t>
      </w:r>
      <w:r w:rsidR="004E1F00" w:rsidRPr="004E1F00">
        <w:t>Dokumentację geodezyjną podpisaną podpisem zaufanym i przekazaną do państwowego zasobu geodezyjnego i kartograficznego przed wejściem w życie niniejszego rozporządzenia, uznaje się za podpisaną zgodnie z przepisami niniejszego rozporządzenia.</w:t>
      </w:r>
    </w:p>
    <w:p w14:paraId="54F2A696" w14:textId="77777777" w:rsidR="000E3402" w:rsidRPr="00737F6A" w:rsidRDefault="004915FA" w:rsidP="004E1F00">
      <w:pPr>
        <w:pStyle w:val="ARTartustawynprozporzdzenia"/>
      </w:pPr>
      <w:r w:rsidRPr="00616A45">
        <w:t>§</w:t>
      </w:r>
      <w:r>
        <w:t xml:space="preserve"> 3. </w:t>
      </w:r>
      <w:r w:rsidR="000E3402" w:rsidRPr="00616A45">
        <w:t>Rozporządzenie wchodzi w </w:t>
      </w:r>
      <w:r w:rsidR="00D37F74" w:rsidRPr="00D37F74">
        <w:t xml:space="preserve">życie </w:t>
      </w:r>
      <w:r w:rsidR="000860F7">
        <w:t>po upływie 14 dni od dnia ogłoszenia</w:t>
      </w:r>
      <w:r w:rsidR="00D37F74" w:rsidRPr="00D37F74">
        <w:t>.</w:t>
      </w:r>
    </w:p>
    <w:p w14:paraId="7BEDBEBA" w14:textId="77777777" w:rsidR="000E3402" w:rsidRDefault="000E3402" w:rsidP="0073687F">
      <w:pPr>
        <w:pStyle w:val="LITlitera"/>
      </w:pPr>
    </w:p>
    <w:p w14:paraId="6ABAD789" w14:textId="77777777" w:rsidR="0073687F" w:rsidRPr="0073687F" w:rsidRDefault="0073687F" w:rsidP="0073687F">
      <w:pPr>
        <w:pStyle w:val="ARTartustawynprozporzdzenia"/>
      </w:pPr>
    </w:p>
    <w:p w14:paraId="1CEB8740" w14:textId="77777777" w:rsidR="00261A16" w:rsidRDefault="00D37F74" w:rsidP="00D37F74">
      <w:pPr>
        <w:pStyle w:val="NAZORGWYDnazwaorganuwydajcegoprojektowanyakt"/>
      </w:pPr>
      <w:r>
        <w:t xml:space="preserve">Minister Rozwoju, Pracy </w:t>
      </w:r>
      <w:r w:rsidR="00143E81">
        <w:br/>
      </w:r>
      <w:r>
        <w:t>i Technologii</w:t>
      </w:r>
    </w:p>
    <w:p w14:paraId="12B06BFC" w14:textId="2F9547D2" w:rsidR="00143E81" w:rsidRDefault="00143E81" w:rsidP="00D37F74">
      <w:pPr>
        <w:pStyle w:val="NAZORGWYDnazwaorganuwydajcegoprojektowanyakt"/>
      </w:pPr>
      <w:r>
        <w:t>Jarosław Gowin</w:t>
      </w:r>
    </w:p>
    <w:p w14:paraId="0BFE2670" w14:textId="77777777" w:rsidR="004661DA" w:rsidRPr="00F636EC" w:rsidRDefault="004661DA" w:rsidP="004661DA">
      <w:pPr>
        <w:pStyle w:val="OZNPARAFYADNOTACJE"/>
      </w:pPr>
      <w:r w:rsidRPr="00F636EC">
        <w:t>ZA ZGODNOŚĆ POD WZGLĘDEM PRAWNYM,</w:t>
      </w:r>
    </w:p>
    <w:p w14:paraId="3015594D" w14:textId="77777777" w:rsidR="004661DA" w:rsidRPr="00F636EC" w:rsidRDefault="004661DA" w:rsidP="004661DA">
      <w:pPr>
        <w:pStyle w:val="OZNPARAFYADNOTACJE"/>
      </w:pPr>
      <w:r w:rsidRPr="00F636EC">
        <w:t xml:space="preserve">LEGISLACYJNYM I REDAKCYJNYM </w:t>
      </w:r>
    </w:p>
    <w:p w14:paraId="3E0FA4CE" w14:textId="77777777" w:rsidR="004661DA" w:rsidRDefault="004661DA" w:rsidP="004661DA">
      <w:pPr>
        <w:pStyle w:val="OZNPARAFYADNOTACJE"/>
      </w:pPr>
    </w:p>
    <w:p w14:paraId="793257C3" w14:textId="77777777" w:rsidR="004661DA" w:rsidRPr="000D4277" w:rsidRDefault="004661DA" w:rsidP="004661DA">
      <w:pPr>
        <w:pStyle w:val="OZNPARAFYADNOTACJE"/>
      </w:pPr>
      <w:r w:rsidRPr="000D4277">
        <w:t>Aneta Mijal</w:t>
      </w:r>
    </w:p>
    <w:p w14:paraId="1B5DC762" w14:textId="77777777" w:rsidR="004661DA" w:rsidRDefault="004661DA" w:rsidP="004661DA">
      <w:pPr>
        <w:pStyle w:val="OZNPARAFYADNOTACJE"/>
      </w:pPr>
      <w:r w:rsidRPr="000D4277">
        <w:t>Zastępca Dyrektora Departamentu Prawnego</w:t>
      </w:r>
    </w:p>
    <w:p w14:paraId="68A4D7CD" w14:textId="77777777" w:rsidR="004661DA" w:rsidRDefault="004661DA" w:rsidP="004661DA">
      <w:pPr>
        <w:pStyle w:val="OZNPARAFYADNOTACJE"/>
      </w:pPr>
      <w:r w:rsidRPr="00B04D38">
        <w:t>w Ministerstwie Rozwoju, Pracy i Technologii</w:t>
      </w:r>
    </w:p>
    <w:p w14:paraId="41924C61" w14:textId="044534A7" w:rsidR="004661DA" w:rsidRPr="00737F6A" w:rsidRDefault="004661DA" w:rsidP="004661DA">
      <w:pPr>
        <w:pStyle w:val="OZNPARAFYADNOTACJE"/>
      </w:pPr>
      <w:r>
        <w:t>/podpisano elektronicznie/</w:t>
      </w:r>
      <w:r w:rsidRPr="00F636EC">
        <w:t xml:space="preserve"> </w:t>
      </w:r>
    </w:p>
    <w:sectPr w:rsidR="004661DA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3F35" w14:textId="77777777" w:rsidR="00A86B87" w:rsidRDefault="00A86B87">
      <w:r>
        <w:separator/>
      </w:r>
    </w:p>
  </w:endnote>
  <w:endnote w:type="continuationSeparator" w:id="0">
    <w:p w14:paraId="39AC6955" w14:textId="77777777" w:rsidR="00A86B87" w:rsidRDefault="00A8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3648" w14:textId="77777777" w:rsidR="00A86B87" w:rsidRDefault="00A86B87">
      <w:r>
        <w:separator/>
      </w:r>
    </w:p>
  </w:footnote>
  <w:footnote w:type="continuationSeparator" w:id="0">
    <w:p w14:paraId="2F9FA446" w14:textId="77777777" w:rsidR="00A86B87" w:rsidRDefault="00A86B87">
      <w:r>
        <w:continuationSeparator/>
      </w:r>
    </w:p>
  </w:footnote>
  <w:footnote w:id="1">
    <w:p w14:paraId="6F3CE0CF" w14:textId="77777777" w:rsidR="004A5C1A" w:rsidRPr="00143E81" w:rsidRDefault="004A5C1A" w:rsidP="00143E81">
      <w:pPr>
        <w:pStyle w:val="ODNONIKtreodnonika"/>
      </w:pPr>
      <w:r w:rsidRPr="000860F7">
        <w:rPr>
          <w:rStyle w:val="Odwoanieprzypisudolnego"/>
          <w:rFonts w:cs="Arial"/>
          <w:vertAlign w:val="baseline"/>
        </w:rPr>
        <w:footnoteRef/>
      </w:r>
      <w:r w:rsidRPr="000860F7">
        <w:rPr>
          <w:rStyle w:val="IGindeksgrny"/>
          <w:vertAlign w:val="baseline"/>
        </w:rPr>
        <w:t>)</w:t>
      </w:r>
      <w:r w:rsidRPr="00143E81">
        <w:t xml:space="preserve"> </w:t>
      </w:r>
      <w:r w:rsidRPr="00143E81">
        <w:tab/>
        <w:t xml:space="preserve">Minister Rozwoju, Pracy i Technologii kieruje działem administracji rządowej – budownictwo, planowanie </w:t>
      </w:r>
      <w:r w:rsidR="00143E81" w:rsidRPr="00143E81">
        <w:br/>
      </w:r>
      <w:r w:rsidRPr="00143E81">
        <w:t>i zagospodarowanie przestrzenne oraz mieszkalnictwo, na podstawie § 1 ust. 2 pkt 1 rozporządzenia Prezesa Rady Ministrów z dnia 6 października 2020 r. w sprawie szczegółowego zakresu działania Ministra Rozwoju, Pracy i Technologii (Dz. U. poz. 1718).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CD9B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F352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621506D"/>
    <w:multiLevelType w:val="hybridMultilevel"/>
    <w:tmpl w:val="C4966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5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5F4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0F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402"/>
    <w:rsid w:val="000E3694"/>
    <w:rsid w:val="000E490F"/>
    <w:rsid w:val="000E6241"/>
    <w:rsid w:val="000F2BE3"/>
    <w:rsid w:val="000F3D0D"/>
    <w:rsid w:val="000F6ED4"/>
    <w:rsid w:val="000F7657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3E8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1B1E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4E2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352F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B55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1DA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5FA"/>
    <w:rsid w:val="00491EDF"/>
    <w:rsid w:val="00492A3F"/>
    <w:rsid w:val="00494F62"/>
    <w:rsid w:val="004A2001"/>
    <w:rsid w:val="004A3590"/>
    <w:rsid w:val="004A5C1A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F00"/>
    <w:rsid w:val="004E37E5"/>
    <w:rsid w:val="004E3FDB"/>
    <w:rsid w:val="004F1F4A"/>
    <w:rsid w:val="004F296D"/>
    <w:rsid w:val="004F404E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6A64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87F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0628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2F8D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164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6B87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28C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86C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7F74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7D4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A5D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770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14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semiHidden="0" w:uiPriority="0" w:unhideWhenUsed="0"/>
    <w:lsdException w:name="Table Web 3" w:semiHidden="0" w:uiPriority="0" w:unhideWhenUsed="0"/>
    <w:lsdException w:name="Balloon Text" w:locked="0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860F7"/>
    <w:pPr>
      <w:widowControl/>
      <w:autoSpaceDE/>
      <w:autoSpaceDN/>
      <w:adjustRightInd/>
      <w:spacing w:after="5" w:line="254" w:lineRule="auto"/>
      <w:ind w:left="720" w:right="1545" w:hanging="10"/>
      <w:contextualSpacing/>
      <w:jc w:val="both"/>
    </w:pPr>
    <w:rPr>
      <w:rFonts w:eastAsia="Times New Roman" w:cs="Times New Roman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semiHidden="0" w:uiPriority="0" w:unhideWhenUsed="0"/>
    <w:lsdException w:name="Table Web 3" w:semiHidden="0" w:uiPriority="0" w:unhideWhenUsed="0"/>
    <w:lsdException w:name="Balloon Text" w:locked="0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860F7"/>
    <w:pPr>
      <w:widowControl/>
      <w:autoSpaceDE/>
      <w:autoSpaceDN/>
      <w:adjustRightInd/>
      <w:spacing w:after="5" w:line="254" w:lineRule="auto"/>
      <w:ind w:left="720" w:right="1545" w:hanging="10"/>
      <w:contextualSpacing/>
      <w:jc w:val="both"/>
    </w:pPr>
    <w:rPr>
      <w:rFonts w:eastAsia="Times New Roman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damska\AppData\Local\Temp\Temp1_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1CA2B7-8ECA-47FB-8BA0-E64C99F2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Aneta Adamska</dc:creator>
  <cp:lastModifiedBy>Aneta Adamska</cp:lastModifiedBy>
  <cp:revision>2</cp:revision>
  <cp:lastPrinted>2012-04-23T06:39:00Z</cp:lastPrinted>
  <dcterms:created xsi:type="dcterms:W3CDTF">2020-12-23T07:42:00Z</dcterms:created>
  <dcterms:modified xsi:type="dcterms:W3CDTF">2020-12-23T07:42:00Z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