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Default="00DB5B61" w:rsidP="00DB5B61">
      <w:pPr>
        <w:spacing w:after="67" w:line="259" w:lineRule="auto"/>
        <w:ind w:left="-101" w:firstLine="0"/>
        <w:jc w:val="center"/>
        <w:rPr>
          <w:color w:val="auto"/>
          <w:sz w:val="32"/>
          <w:szCs w:val="32"/>
        </w:rPr>
      </w:pPr>
      <w:r w:rsidRPr="00DB5B61">
        <w:rPr>
          <w:color w:val="auto"/>
          <w:sz w:val="32"/>
          <w:szCs w:val="32"/>
        </w:rPr>
        <w:t>Skarb Państwa – Państwowe Gospodarstwo Leśne Lasy Państwowe Nadleśnictwo Kalisz</w:t>
      </w:r>
    </w:p>
    <w:p w:rsidR="00A56A75" w:rsidRPr="00DB5B61" w:rsidRDefault="00A56A75" w:rsidP="00DB5B61">
      <w:pPr>
        <w:spacing w:after="67" w:line="259" w:lineRule="auto"/>
        <w:ind w:left="-101" w:firstLine="0"/>
        <w:jc w:val="center"/>
        <w:rPr>
          <w:color w:val="auto"/>
          <w:sz w:val="32"/>
          <w:szCs w:val="32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DB5B61" w:rsidP="00385114">
      <w:pPr>
        <w:spacing w:after="67" w:line="259" w:lineRule="auto"/>
        <w:ind w:left="851" w:hanging="952"/>
        <w:rPr>
          <w:color w:val="385623" w:themeColor="accent6" w:themeShade="80"/>
        </w:rPr>
      </w:pPr>
      <w:r w:rsidRPr="00DB5B61">
        <w:rPr>
          <w:color w:val="auto"/>
          <w:sz w:val="24"/>
          <w:szCs w:val="24"/>
        </w:rPr>
        <w:t xml:space="preserve">Dotyczy: </w:t>
      </w:r>
      <w:r w:rsidR="002622D5" w:rsidRPr="002622D5">
        <w:rPr>
          <w:color w:val="auto"/>
          <w:sz w:val="24"/>
          <w:szCs w:val="24"/>
        </w:rPr>
        <w:t>"Wykonanie usługi dodatkowego pozyskania i zrywki drewna na terenie Nadleśnictwa Kalisz w 2022 r</w:t>
      </w:r>
      <w:r w:rsidR="002622D5">
        <w:rPr>
          <w:color w:val="auto"/>
          <w:sz w:val="24"/>
          <w:szCs w:val="24"/>
        </w:rPr>
        <w:t>.</w:t>
      </w:r>
      <w:r w:rsidR="00385114">
        <w:rPr>
          <w:color w:val="auto"/>
          <w:sz w:val="24"/>
          <w:szCs w:val="24"/>
        </w:rPr>
        <w:t>’’</w:t>
      </w:r>
    </w:p>
    <w:p w:rsidR="00A3204C" w:rsidRDefault="00C25D91" w:rsidP="00DB5B61">
      <w:pPr>
        <w:spacing w:after="67" w:line="259" w:lineRule="auto"/>
        <w:ind w:left="-101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Znak sprawy </w:t>
      </w:r>
      <w:r w:rsidR="002622D5" w:rsidRPr="002622D5">
        <w:rPr>
          <w:color w:val="auto"/>
          <w:sz w:val="24"/>
          <w:szCs w:val="24"/>
        </w:rPr>
        <w:t>ZG.7610.8.2022</w:t>
      </w:r>
    </w:p>
    <w:p w:rsidR="00A56A75" w:rsidRDefault="00A56A75" w:rsidP="00DB5B61">
      <w:pPr>
        <w:spacing w:after="67" w:line="259" w:lineRule="auto"/>
        <w:ind w:left="-101" w:firstLine="0"/>
        <w:jc w:val="center"/>
        <w:rPr>
          <w:color w:val="auto"/>
          <w:sz w:val="24"/>
          <w:szCs w:val="24"/>
        </w:rPr>
      </w:pPr>
    </w:p>
    <w:p w:rsidR="00DB5B61" w:rsidRDefault="00DB5B61" w:rsidP="00DB5B61">
      <w:pPr>
        <w:spacing w:after="67" w:line="259" w:lineRule="auto"/>
        <w:ind w:left="-101" w:firstLine="0"/>
        <w:jc w:val="center"/>
        <w:rPr>
          <w:color w:val="auto"/>
          <w:sz w:val="24"/>
          <w:szCs w:val="24"/>
        </w:rPr>
      </w:pPr>
    </w:p>
    <w:p w:rsidR="00DB5B61" w:rsidRPr="00C25D91" w:rsidRDefault="00385114" w:rsidP="00DB5B61">
      <w:pPr>
        <w:spacing w:after="67" w:line="259" w:lineRule="auto"/>
        <w:ind w:left="-101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Zamawiający, Nadleśnictwo Kalisz </w:t>
      </w:r>
      <w:r w:rsidR="00C25D91">
        <w:rPr>
          <w:color w:val="auto"/>
          <w:sz w:val="24"/>
          <w:szCs w:val="24"/>
        </w:rPr>
        <w:t xml:space="preserve">informuję, że kwota jaką zamawiający zamierza przeznaczyć na sfinansowanie zamówienia  wynosi </w:t>
      </w:r>
      <w:r w:rsidR="002622D5">
        <w:rPr>
          <w:b/>
          <w:color w:val="auto"/>
          <w:sz w:val="24"/>
          <w:szCs w:val="24"/>
        </w:rPr>
        <w:t>51036,48</w:t>
      </w:r>
      <w:bookmarkStart w:id="0" w:name="_GoBack"/>
      <w:bookmarkEnd w:id="0"/>
      <w:r w:rsidR="00DB5B61" w:rsidRPr="00C25D91">
        <w:rPr>
          <w:b/>
          <w:color w:val="auto"/>
          <w:sz w:val="24"/>
          <w:szCs w:val="24"/>
        </w:rPr>
        <w:t xml:space="preserve"> </w:t>
      </w:r>
      <w:r w:rsidR="00C25D91" w:rsidRPr="00C25D91">
        <w:rPr>
          <w:b/>
          <w:color w:val="auto"/>
          <w:sz w:val="24"/>
          <w:szCs w:val="24"/>
        </w:rPr>
        <w:t xml:space="preserve">zł </w:t>
      </w:r>
      <w:r w:rsidR="00C25D91" w:rsidRPr="00C25D91">
        <w:rPr>
          <w:b/>
          <w:color w:val="auto"/>
          <w:sz w:val="24"/>
          <w:szCs w:val="24"/>
          <w:u w:val="single"/>
        </w:rPr>
        <w:t>brutto</w:t>
      </w:r>
      <w:r w:rsidR="00C25D91">
        <w:rPr>
          <w:color w:val="auto"/>
          <w:sz w:val="24"/>
          <w:szCs w:val="24"/>
          <w:u w:val="single"/>
        </w:rPr>
        <w:t>.</w:t>
      </w:r>
      <w:r w:rsidR="00C25D91">
        <w:rPr>
          <w:color w:val="auto"/>
          <w:sz w:val="24"/>
          <w:szCs w:val="24"/>
        </w:rPr>
        <w:t xml:space="preserve"> </w:t>
      </w:r>
    </w:p>
    <w:p w:rsidR="004823FE" w:rsidRDefault="004823FE" w:rsidP="00DB5B61">
      <w:pPr>
        <w:spacing w:after="67" w:line="259" w:lineRule="auto"/>
        <w:ind w:left="-101" w:firstLine="0"/>
        <w:rPr>
          <w:color w:val="auto"/>
          <w:sz w:val="24"/>
          <w:szCs w:val="24"/>
        </w:rPr>
      </w:pPr>
    </w:p>
    <w:p w:rsidR="004823FE" w:rsidRPr="00A3204C" w:rsidRDefault="004823FE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57306D" w:rsidRDefault="0057306D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57306D" w:rsidRDefault="0057306D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57306D" w:rsidRDefault="0057306D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56A75" w:rsidRDefault="00A56A75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57306D" w:rsidRPr="00A3204C" w:rsidRDefault="0057306D">
      <w:pPr>
        <w:spacing w:after="67" w:line="259" w:lineRule="auto"/>
        <w:ind w:left="-101" w:firstLine="0"/>
        <w:rPr>
          <w:color w:val="385623" w:themeColor="accent6" w:themeShade="80"/>
        </w:rPr>
      </w:pPr>
    </w:p>
    <w:p w:rsidR="00A3204C" w:rsidRPr="00A3204C" w:rsidRDefault="00A3204C" w:rsidP="00DB5B61">
      <w:pPr>
        <w:spacing w:after="67" w:line="259" w:lineRule="auto"/>
        <w:ind w:firstLine="0"/>
        <w:rPr>
          <w:color w:val="385623" w:themeColor="accent6" w:themeShade="80"/>
        </w:rPr>
      </w:pPr>
    </w:p>
    <w:p w:rsidR="00A3204C" w:rsidRPr="00A3204C" w:rsidRDefault="00A3204C">
      <w:pPr>
        <w:spacing w:after="67" w:line="259" w:lineRule="auto"/>
        <w:ind w:left="-101" w:firstLine="0"/>
        <w:rPr>
          <w:color w:val="385623" w:themeColor="accent6" w:themeShade="80"/>
        </w:rPr>
      </w:pPr>
    </w:p>
    <w:sectPr w:rsidR="00A3204C" w:rsidRPr="00A3204C">
      <w:footerReference w:type="default" r:id="rId7"/>
      <w:pgSz w:w="11905" w:h="16837"/>
      <w:pgMar w:top="1440" w:right="907" w:bottom="1387" w:left="16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53" w:rsidRDefault="00F03753" w:rsidP="00A56A75">
      <w:pPr>
        <w:spacing w:line="240" w:lineRule="auto"/>
      </w:pPr>
      <w:r>
        <w:separator/>
      </w:r>
    </w:p>
  </w:endnote>
  <w:endnote w:type="continuationSeparator" w:id="0">
    <w:p w:rsidR="00F03753" w:rsidRDefault="00F03753" w:rsidP="00A56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75" w:rsidRPr="00A3204C" w:rsidRDefault="00A56A75" w:rsidP="00A56A75">
    <w:pPr>
      <w:spacing w:after="67" w:line="259" w:lineRule="auto"/>
      <w:ind w:left="-101" w:firstLine="0"/>
      <w:rPr>
        <w:color w:val="385623" w:themeColor="accent6" w:themeShade="80"/>
      </w:rPr>
    </w:pPr>
    <w:r w:rsidRPr="00A3204C">
      <w:rPr>
        <w:noProof/>
        <w:color w:val="385623" w:themeColor="accent6" w:themeShade="80"/>
        <w:sz w:val="22"/>
      </w:rPr>
      <mc:AlternateContent>
        <mc:Choice Requires="wpg">
          <w:drawing>
            <wp:inline distT="0" distB="0" distL="0" distR="0" wp14:anchorId="55A21825" wp14:editId="46852479">
              <wp:extent cx="5858847" cy="9146"/>
              <wp:effectExtent l="0" t="0" r="0" b="0"/>
              <wp:docPr id="628" name="Group 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8847" cy="9146"/>
                        <a:chOff x="0" y="0"/>
                        <a:chExt cx="5858847" cy="9146"/>
                      </a:xfrm>
                    </wpg:grpSpPr>
                    <wps:wsp>
                      <wps:cNvPr id="627" name="Shape 627"/>
                      <wps:cNvSpPr/>
                      <wps:spPr>
                        <a:xfrm>
                          <a:off x="0" y="0"/>
                          <a:ext cx="5858847" cy="91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8847" h="9146">
                              <a:moveTo>
                                <a:pt x="0" y="4573"/>
                              </a:moveTo>
                              <a:lnTo>
                                <a:pt x="5858847" y="4573"/>
                              </a:lnTo>
                            </a:path>
                          </a:pathLst>
                        </a:custGeom>
                        <a:noFill/>
                        <a:ln w="9146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628" o:spid="_x0000_s1026" style="width:461.35pt;height:.7pt;mso-position-horizontal-relative:char;mso-position-vertical-relative:line" coordsize="585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">
              <v:shape id="Shape 627" o:spid="_x0000_s1027" style="position:absolute;width:58588;height:91;visibility:visible;mso-wrap-style:square;v-text-anchor:top" coordsize="5858847,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zBsUA&#10;AADcAAAADwAAAGRycy9kb3ducmV2LnhtbESPQWsCMRSE74X+h/AK3mpWD1u7NYotiIIHce2lt8fm&#10;uVncvIRN1F1/fSMUehxm5htmvuxtK67Uhcaxgsk4A0FcOd1wreD7uH6dgQgRWWPrmBQMFGC5eH6a&#10;Y6HdjQ90LWMtEoRDgQpMjL6QMlSGLIax88TJO7nOYkyyq6Xu8JbgtpXTLMulxYbTgkFPX4aqc3mx&#10;Cs6f+8GWu4nx99y/D5v68LObGaVGL/3qA0SkPv6H/9pbrSCfvsHj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HMGxQAAANwAAAAPAAAAAAAAAAAAAAAAAJgCAABkcnMv&#10;ZG93bnJldi54bWxQSwUGAAAAAAQABAD1AAAAigMAAAAA&#10;" path="m,4573r5858847,e" filled="f" strokeweight=".25406mm">
                <v:stroke miterlimit="1" joinstyle="miter"/>
                <v:path arrowok="t" textboxrect="0,0,5858847,9146"/>
              </v:shape>
              <w10:anchorlock/>
            </v:group>
          </w:pict>
        </mc:Fallback>
      </mc:AlternateContent>
    </w:r>
  </w:p>
  <w:p w:rsidR="00A56A75" w:rsidRPr="00A3204C" w:rsidRDefault="00A56A75" w:rsidP="00A56A75">
    <w:pPr>
      <w:rPr>
        <w:color w:val="385623" w:themeColor="accent6" w:themeShade="80"/>
      </w:rPr>
    </w:pPr>
    <w:r w:rsidRPr="00A3204C">
      <w:rPr>
        <w:noProof/>
        <w:color w:val="385623" w:themeColor="accent6" w:themeShade="80"/>
      </w:rPr>
      <w:drawing>
        <wp:anchor distT="0" distB="0" distL="114300" distR="114300" simplePos="0" relativeHeight="251659264" behindDoc="0" locked="0" layoutInCell="1" allowOverlap="0" wp14:anchorId="7CD51869" wp14:editId="161667E9">
          <wp:simplePos x="0" y="0"/>
          <wp:positionH relativeFrom="page">
            <wp:posOffset>1103487</wp:posOffset>
          </wp:positionH>
          <wp:positionV relativeFrom="page">
            <wp:posOffset>298768</wp:posOffset>
          </wp:positionV>
          <wp:extent cx="5764349" cy="594487"/>
          <wp:effectExtent l="0" t="0" r="0" b="0"/>
          <wp:wrapTopAndBottom/>
          <wp:docPr id="1" name="Picture 6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" name="Picture 6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4349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04C">
      <w:rPr>
        <w:color w:val="385623" w:themeColor="accent6" w:themeShade="80"/>
      </w:rPr>
      <w:t xml:space="preserve">Lasy Państwowe Nadleśnictwo Kalisz z/s w Szałe, ul. Kaliska 195, 62-860 Opatówek </w:t>
    </w:r>
  </w:p>
  <w:p w:rsidR="00A56A75" w:rsidRPr="00A3204C" w:rsidRDefault="00A56A75" w:rsidP="00A56A75">
    <w:pPr>
      <w:rPr>
        <w:color w:val="385623" w:themeColor="accent6" w:themeShade="80"/>
      </w:rPr>
    </w:pPr>
    <w:r w:rsidRPr="00A3204C">
      <w:rPr>
        <w:color w:val="385623" w:themeColor="accent6" w:themeShade="80"/>
      </w:rPr>
      <w:t xml:space="preserve">tel.: +48 62 766 44 40, fax: +48 62 764 44 46, e-mail: kalisz@poznan.lasy.gov.pl         </w:t>
    </w:r>
    <w:r w:rsidRPr="00A3204C">
      <w:rPr>
        <w:color w:val="385623" w:themeColor="accent6" w:themeShade="80"/>
        <w:sz w:val="24"/>
        <w:szCs w:val="24"/>
      </w:rPr>
      <w:t>www.kalisz.poznan.lasyagov.pl</w:t>
    </w:r>
  </w:p>
  <w:p w:rsidR="00A56A75" w:rsidRDefault="00A56A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53" w:rsidRDefault="00F03753" w:rsidP="00A56A75">
      <w:pPr>
        <w:spacing w:line="240" w:lineRule="auto"/>
      </w:pPr>
      <w:r>
        <w:separator/>
      </w:r>
    </w:p>
  </w:footnote>
  <w:footnote w:type="continuationSeparator" w:id="0">
    <w:p w:rsidR="00F03753" w:rsidRDefault="00F03753" w:rsidP="00A56A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6"/>
    <w:rsid w:val="00180F66"/>
    <w:rsid w:val="002622D5"/>
    <w:rsid w:val="00385114"/>
    <w:rsid w:val="003C1039"/>
    <w:rsid w:val="004823FE"/>
    <w:rsid w:val="0057306D"/>
    <w:rsid w:val="00682ED2"/>
    <w:rsid w:val="00A3204C"/>
    <w:rsid w:val="00A56A75"/>
    <w:rsid w:val="00C25D91"/>
    <w:rsid w:val="00DB5556"/>
    <w:rsid w:val="00DB5B61"/>
    <w:rsid w:val="00EF46BF"/>
    <w:rsid w:val="00EF7637"/>
    <w:rsid w:val="00F03753"/>
    <w:rsid w:val="00F0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16" w:lineRule="auto"/>
      <w:ind w:firstLine="10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75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A56A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75"/>
    <w:rPr>
      <w:rFonts w:ascii="Calibri" w:eastAsia="Calibri" w:hAnsi="Calibri" w:cs="Calibri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16" w:lineRule="auto"/>
      <w:ind w:firstLine="10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75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A56A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75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Skopiński</dc:creator>
  <cp:keywords/>
  <cp:lastModifiedBy>Sławomir Skopiński - Nadleśnictwo Chojna</cp:lastModifiedBy>
  <cp:revision>10</cp:revision>
  <cp:lastPrinted>2022-07-08T05:39:00Z</cp:lastPrinted>
  <dcterms:created xsi:type="dcterms:W3CDTF">2021-11-16T07:57:00Z</dcterms:created>
  <dcterms:modified xsi:type="dcterms:W3CDTF">2022-10-03T08:05:00Z</dcterms:modified>
</cp:coreProperties>
</file>