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ayout w:type="fixed"/>
        <w:tblLook w:val="04A0" w:firstRow="1" w:lastRow="0" w:firstColumn="1" w:lastColumn="0" w:noHBand="0" w:noVBand="1"/>
      </w:tblPr>
      <w:tblGrid>
        <w:gridCol w:w="750"/>
        <w:gridCol w:w="12"/>
        <w:gridCol w:w="1166"/>
        <w:gridCol w:w="1328"/>
        <w:gridCol w:w="5386"/>
        <w:gridCol w:w="5352"/>
      </w:tblGrid>
      <w:tr w:rsidR="00C2523C" w:rsidRPr="00C2523C" w14:paraId="298C84E7" w14:textId="77777777" w:rsidTr="00D679FB">
        <w:trPr>
          <w:trHeight w:val="425"/>
        </w:trPr>
        <w:tc>
          <w:tcPr>
            <w:tcW w:w="762" w:type="dxa"/>
            <w:gridSpan w:val="2"/>
          </w:tcPr>
          <w:p w14:paraId="178BC78E" w14:textId="3FA9F517" w:rsidR="00EF641D" w:rsidRPr="00C2523C" w:rsidRDefault="00EF641D" w:rsidP="000F12B9">
            <w:pPr>
              <w:rPr>
                <w:rFonts w:cstheme="minorHAnsi"/>
                <w:sz w:val="24"/>
                <w:szCs w:val="24"/>
              </w:rPr>
            </w:pPr>
            <w:bookmarkStart w:id="0" w:name="_GoBack"/>
            <w:bookmarkEnd w:id="0"/>
            <w:r w:rsidRPr="00C2523C">
              <w:rPr>
                <w:rFonts w:cstheme="minorHAnsi"/>
                <w:sz w:val="24"/>
                <w:szCs w:val="24"/>
              </w:rPr>
              <w:t>Lp.</w:t>
            </w:r>
          </w:p>
        </w:tc>
        <w:tc>
          <w:tcPr>
            <w:tcW w:w="1166" w:type="dxa"/>
          </w:tcPr>
          <w:p w14:paraId="687355F2" w14:textId="3E857F06" w:rsidR="00EF641D" w:rsidRPr="00C2523C" w:rsidRDefault="00EF641D" w:rsidP="00E8209D">
            <w:pPr>
              <w:rPr>
                <w:rFonts w:cstheme="minorHAnsi"/>
                <w:sz w:val="24"/>
                <w:szCs w:val="24"/>
              </w:rPr>
            </w:pPr>
            <w:r w:rsidRPr="00C2523C">
              <w:rPr>
                <w:rFonts w:cstheme="minorHAnsi"/>
                <w:sz w:val="24"/>
                <w:szCs w:val="24"/>
              </w:rPr>
              <w:t>Instytucja</w:t>
            </w:r>
          </w:p>
        </w:tc>
        <w:tc>
          <w:tcPr>
            <w:tcW w:w="1328" w:type="dxa"/>
          </w:tcPr>
          <w:p w14:paraId="3E2554CA" w14:textId="038CE17D" w:rsidR="00EF641D" w:rsidRPr="00C2523C" w:rsidRDefault="00EF641D" w:rsidP="00E8209D">
            <w:pPr>
              <w:rPr>
                <w:rFonts w:cstheme="minorHAnsi"/>
                <w:sz w:val="24"/>
                <w:szCs w:val="24"/>
              </w:rPr>
            </w:pPr>
            <w:r w:rsidRPr="00C2523C">
              <w:rPr>
                <w:rFonts w:cstheme="minorHAnsi"/>
                <w:sz w:val="24"/>
                <w:szCs w:val="24"/>
              </w:rPr>
              <w:t>Jednostka redakcyjna</w:t>
            </w:r>
          </w:p>
        </w:tc>
        <w:tc>
          <w:tcPr>
            <w:tcW w:w="5386" w:type="dxa"/>
          </w:tcPr>
          <w:p w14:paraId="2BB50A12" w14:textId="534FF98C" w:rsidR="00EF641D" w:rsidRPr="00C2523C" w:rsidRDefault="00EF641D" w:rsidP="00E8209D">
            <w:pPr>
              <w:rPr>
                <w:rFonts w:cstheme="minorHAnsi"/>
                <w:sz w:val="24"/>
                <w:szCs w:val="24"/>
              </w:rPr>
            </w:pPr>
            <w:r w:rsidRPr="00C2523C">
              <w:rPr>
                <w:rFonts w:cstheme="minorHAnsi"/>
                <w:sz w:val="24"/>
                <w:szCs w:val="24"/>
              </w:rPr>
              <w:t>Treść uwagi</w:t>
            </w:r>
          </w:p>
        </w:tc>
        <w:tc>
          <w:tcPr>
            <w:tcW w:w="5352" w:type="dxa"/>
          </w:tcPr>
          <w:p w14:paraId="5B501041" w14:textId="1F71ECB4" w:rsidR="00EF641D" w:rsidRPr="00C2523C" w:rsidRDefault="00EF641D" w:rsidP="00E8209D">
            <w:pPr>
              <w:rPr>
                <w:rFonts w:cstheme="minorHAnsi"/>
                <w:sz w:val="24"/>
                <w:szCs w:val="24"/>
              </w:rPr>
            </w:pPr>
            <w:r w:rsidRPr="00C2523C">
              <w:rPr>
                <w:rFonts w:cstheme="minorHAnsi"/>
                <w:sz w:val="24"/>
                <w:szCs w:val="24"/>
              </w:rPr>
              <w:t>Odniesienie</w:t>
            </w:r>
          </w:p>
        </w:tc>
      </w:tr>
      <w:tr w:rsidR="00C2523C" w:rsidRPr="00C2523C" w14:paraId="690D80DE" w14:textId="77777777" w:rsidTr="00D679FB">
        <w:tc>
          <w:tcPr>
            <w:tcW w:w="750" w:type="dxa"/>
          </w:tcPr>
          <w:p w14:paraId="77725128" w14:textId="7CF956AA" w:rsidR="0041244E" w:rsidRPr="00C2523C" w:rsidRDefault="0041244E"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77A06DAE" w14:textId="086A9AE5" w:rsidR="0041244E" w:rsidRPr="00C2523C" w:rsidRDefault="0041244E" w:rsidP="00277373">
            <w:pPr>
              <w:rPr>
                <w:rFonts w:cstheme="minorHAnsi"/>
                <w:sz w:val="24"/>
                <w:szCs w:val="24"/>
              </w:rPr>
            </w:pPr>
            <w:r w:rsidRPr="00C2523C">
              <w:rPr>
                <w:rFonts w:cstheme="minorHAnsi"/>
                <w:sz w:val="24"/>
                <w:szCs w:val="24"/>
              </w:rPr>
              <w:t>RCL</w:t>
            </w:r>
          </w:p>
        </w:tc>
        <w:tc>
          <w:tcPr>
            <w:tcW w:w="1328" w:type="dxa"/>
          </w:tcPr>
          <w:p w14:paraId="609C99AE" w14:textId="0CBCD1C9" w:rsidR="0041244E" w:rsidRPr="00C2523C" w:rsidRDefault="0041244E" w:rsidP="00277373">
            <w:pPr>
              <w:rPr>
                <w:rFonts w:cstheme="minorHAnsi"/>
                <w:sz w:val="24"/>
                <w:szCs w:val="24"/>
              </w:rPr>
            </w:pPr>
            <w:r w:rsidRPr="00C2523C">
              <w:rPr>
                <w:rFonts w:cstheme="minorHAnsi"/>
                <w:sz w:val="24"/>
                <w:szCs w:val="24"/>
              </w:rPr>
              <w:t>Art. 10</w:t>
            </w:r>
          </w:p>
        </w:tc>
        <w:tc>
          <w:tcPr>
            <w:tcW w:w="5386" w:type="dxa"/>
          </w:tcPr>
          <w:p w14:paraId="3A3BB65A" w14:textId="48B3F5B7"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14) zgodnie z art. 10 ust. 1 projektu operatorzy mogą zawrzeć z Prezesem UKE</w:t>
            </w:r>
            <w:r w:rsidR="00793716" w:rsidRPr="00C2523C">
              <w:rPr>
                <w:rFonts w:cstheme="minorHAnsi"/>
                <w:sz w:val="24"/>
                <w:szCs w:val="24"/>
              </w:rPr>
              <w:t xml:space="preserve"> </w:t>
            </w:r>
            <w:r w:rsidRPr="00C2523C">
              <w:rPr>
                <w:rFonts w:cstheme="minorHAnsi"/>
                <w:sz w:val="24"/>
                <w:szCs w:val="24"/>
              </w:rPr>
              <w:t>porozumienie określające środki organizacyjne i techniczne, które będą stosowali przy</w:t>
            </w:r>
            <w:r w:rsidR="00604E53" w:rsidRPr="00C2523C">
              <w:rPr>
                <w:rFonts w:cstheme="minorHAnsi"/>
                <w:sz w:val="24"/>
                <w:szCs w:val="24"/>
              </w:rPr>
              <w:t xml:space="preserve"> </w:t>
            </w:r>
            <w:r w:rsidRPr="00C2523C">
              <w:rPr>
                <w:rFonts w:cstheme="minorHAnsi"/>
                <w:sz w:val="24"/>
                <w:szCs w:val="24"/>
              </w:rPr>
              <w:t>realizacji obowiązków, o których mowa w art. 8. Zauważenia jednak wymaga, że obowiązek,</w:t>
            </w:r>
            <w:r w:rsidR="00AC54D9">
              <w:rPr>
                <w:rFonts w:cstheme="minorHAnsi"/>
                <w:sz w:val="24"/>
                <w:szCs w:val="24"/>
              </w:rPr>
              <w:t xml:space="preserve"> </w:t>
            </w:r>
            <w:r w:rsidRPr="00C2523C">
              <w:rPr>
                <w:rFonts w:cstheme="minorHAnsi"/>
                <w:sz w:val="24"/>
                <w:szCs w:val="24"/>
              </w:rPr>
              <w:t>o którym mowa w art. 8 dotyczy przedsiębiorców telekomunikacyjnych, w tym zakresie</w:t>
            </w:r>
            <w:r w:rsidR="00604E53" w:rsidRPr="00C2523C">
              <w:rPr>
                <w:rFonts w:cstheme="minorHAnsi"/>
                <w:sz w:val="24"/>
                <w:szCs w:val="24"/>
              </w:rPr>
              <w:t xml:space="preserve"> </w:t>
            </w:r>
            <w:r w:rsidRPr="00C2523C">
              <w:rPr>
                <w:rFonts w:cstheme="minorHAnsi"/>
                <w:sz w:val="24"/>
                <w:szCs w:val="24"/>
              </w:rPr>
              <w:t>wskazany przepis wymaga więc korekty. Odnosząc się jednocześnie do kwestii samych</w:t>
            </w:r>
            <w:r w:rsidR="00604E53" w:rsidRPr="00C2523C">
              <w:rPr>
                <w:rFonts w:cstheme="minorHAnsi"/>
                <w:sz w:val="24"/>
                <w:szCs w:val="24"/>
              </w:rPr>
              <w:t xml:space="preserve"> </w:t>
            </w:r>
            <w:r w:rsidRPr="00C2523C">
              <w:rPr>
                <w:rFonts w:cstheme="minorHAnsi"/>
                <w:sz w:val="24"/>
                <w:szCs w:val="24"/>
              </w:rPr>
              <w:t>porozumień:</w:t>
            </w:r>
          </w:p>
          <w:p w14:paraId="6E911ED0" w14:textId="5576460E"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a) projektowaną regulację należy uzupełnić o niezbędne minimalne elementy</w:t>
            </w:r>
            <w:r w:rsidR="00604E53" w:rsidRPr="00C2523C">
              <w:rPr>
                <w:rFonts w:cstheme="minorHAnsi"/>
                <w:sz w:val="24"/>
                <w:szCs w:val="24"/>
              </w:rPr>
              <w:t xml:space="preserve"> </w:t>
            </w:r>
            <w:r w:rsidRPr="00C2523C">
              <w:rPr>
                <w:rFonts w:cstheme="minorHAnsi"/>
                <w:sz w:val="24"/>
                <w:szCs w:val="24"/>
              </w:rPr>
              <w:t>porozumienia, które miałyby zastosowanie do wszystkich operatorów/przedsiębiorców</w:t>
            </w:r>
            <w:r w:rsidR="00604E53" w:rsidRPr="00C2523C">
              <w:rPr>
                <w:rFonts w:cstheme="minorHAnsi"/>
                <w:sz w:val="24"/>
                <w:szCs w:val="24"/>
              </w:rPr>
              <w:t xml:space="preserve"> </w:t>
            </w:r>
            <w:r w:rsidRPr="00C2523C">
              <w:rPr>
                <w:rFonts w:cstheme="minorHAnsi"/>
                <w:sz w:val="24"/>
                <w:szCs w:val="24"/>
              </w:rPr>
              <w:t>telekomunikacyjnych zawierających porozumienie,</w:t>
            </w:r>
          </w:p>
          <w:p w14:paraId="5D4CA258" w14:textId="356A7754" w:rsidR="0041244E" w:rsidRPr="00C2523C" w:rsidRDefault="0041244E" w:rsidP="0041244E">
            <w:pPr>
              <w:autoSpaceDE w:val="0"/>
              <w:autoSpaceDN w:val="0"/>
              <w:adjustRightInd w:val="0"/>
              <w:rPr>
                <w:rFonts w:cstheme="minorHAnsi"/>
                <w:sz w:val="24"/>
                <w:szCs w:val="24"/>
              </w:rPr>
            </w:pPr>
            <w:r w:rsidRPr="00C2523C">
              <w:rPr>
                <w:rFonts w:cstheme="minorHAnsi"/>
                <w:sz w:val="24"/>
                <w:szCs w:val="24"/>
              </w:rPr>
              <w:t>b) wyjaśnienia wymaga, jakie jeszcze, oprócz blokowania numeru i ukrywania</w:t>
            </w:r>
            <w:r w:rsidR="00604E53" w:rsidRPr="00C2523C">
              <w:rPr>
                <w:rFonts w:cstheme="minorHAnsi"/>
                <w:sz w:val="24"/>
                <w:szCs w:val="24"/>
              </w:rPr>
              <w:t xml:space="preserve"> </w:t>
            </w:r>
            <w:r w:rsidRPr="00C2523C">
              <w:rPr>
                <w:rFonts w:cstheme="minorHAnsi"/>
                <w:sz w:val="24"/>
                <w:szCs w:val="24"/>
              </w:rPr>
              <w:t>identyfikacji numeru, usługi telekomunikacyjne będące skutkiem wprowadzonych środków</w:t>
            </w:r>
          </w:p>
          <w:p w14:paraId="72C09095" w14:textId="5672F4DB" w:rsidR="0041244E" w:rsidRPr="00C2523C" w:rsidRDefault="0041244E" w:rsidP="002F0E46">
            <w:pPr>
              <w:autoSpaceDE w:val="0"/>
              <w:autoSpaceDN w:val="0"/>
              <w:adjustRightInd w:val="0"/>
              <w:rPr>
                <w:rFonts w:cstheme="minorHAnsi"/>
                <w:sz w:val="24"/>
                <w:szCs w:val="24"/>
              </w:rPr>
            </w:pPr>
            <w:r w:rsidRPr="00C2523C">
              <w:rPr>
                <w:rFonts w:cstheme="minorHAnsi"/>
                <w:sz w:val="24"/>
                <w:szCs w:val="24"/>
              </w:rPr>
              <w:t>technicznych i organizacyjnych, o których mowa w art. 10 ust. 1 (wskazany przepis odsyła</w:t>
            </w:r>
            <w:r w:rsidR="00604E53" w:rsidRPr="00C2523C">
              <w:rPr>
                <w:rFonts w:cstheme="minorHAnsi"/>
                <w:sz w:val="24"/>
                <w:szCs w:val="24"/>
              </w:rPr>
              <w:t xml:space="preserve"> </w:t>
            </w:r>
            <w:r w:rsidRPr="00C2523C">
              <w:rPr>
                <w:rFonts w:cstheme="minorHAnsi"/>
                <w:sz w:val="24"/>
                <w:szCs w:val="24"/>
              </w:rPr>
              <w:t>w tym zakresie do art. 8 projektu) będzie świadczyć operator, za których niewykonanie bądź</w:t>
            </w:r>
            <w:r w:rsidR="00604E53" w:rsidRPr="00C2523C">
              <w:rPr>
                <w:rFonts w:cstheme="minorHAnsi"/>
                <w:sz w:val="24"/>
                <w:szCs w:val="24"/>
              </w:rPr>
              <w:t xml:space="preserve"> </w:t>
            </w:r>
            <w:r w:rsidRPr="00C2523C">
              <w:rPr>
                <w:rFonts w:cstheme="minorHAnsi"/>
                <w:sz w:val="24"/>
                <w:szCs w:val="24"/>
              </w:rPr>
              <w:t>nienależyte wykonanie, w przypadku poprawnego wykonywania porozumienia, nie poniesie</w:t>
            </w:r>
            <w:r w:rsidR="00604E53" w:rsidRPr="00C2523C">
              <w:rPr>
                <w:rFonts w:cstheme="minorHAnsi"/>
                <w:sz w:val="24"/>
                <w:szCs w:val="24"/>
              </w:rPr>
              <w:t xml:space="preserve"> </w:t>
            </w:r>
            <w:r w:rsidRPr="00C2523C">
              <w:rPr>
                <w:rFonts w:cstheme="minorHAnsi"/>
                <w:sz w:val="24"/>
                <w:szCs w:val="24"/>
              </w:rPr>
              <w:t>on odpowiedzialności;</w:t>
            </w:r>
          </w:p>
        </w:tc>
        <w:tc>
          <w:tcPr>
            <w:tcW w:w="5352" w:type="dxa"/>
          </w:tcPr>
          <w:p w14:paraId="52BDC43F" w14:textId="1384908D" w:rsidR="00604E53" w:rsidRPr="00C2523C" w:rsidRDefault="00604E53" w:rsidP="00277373">
            <w:pPr>
              <w:rPr>
                <w:rFonts w:cstheme="minorHAnsi"/>
                <w:b/>
                <w:sz w:val="24"/>
                <w:szCs w:val="24"/>
              </w:rPr>
            </w:pPr>
            <w:r w:rsidRPr="00C2523C">
              <w:rPr>
                <w:rFonts w:cstheme="minorHAnsi"/>
                <w:b/>
                <w:sz w:val="24"/>
                <w:szCs w:val="24"/>
              </w:rPr>
              <w:t>Uwaga nieuwzględniona co do doregulowania porozumienia antyspo</w:t>
            </w:r>
            <w:r w:rsidR="0012385F" w:rsidRPr="00C2523C">
              <w:rPr>
                <w:rFonts w:cstheme="minorHAnsi"/>
                <w:b/>
                <w:sz w:val="24"/>
                <w:szCs w:val="24"/>
              </w:rPr>
              <w:t>o</w:t>
            </w:r>
            <w:r w:rsidRPr="00C2523C">
              <w:rPr>
                <w:rFonts w:cstheme="minorHAnsi"/>
                <w:b/>
                <w:sz w:val="24"/>
                <w:szCs w:val="24"/>
              </w:rPr>
              <w:t>fing’owego</w:t>
            </w:r>
          </w:p>
          <w:p w14:paraId="63A6842C" w14:textId="58E07BC1" w:rsidR="00604E53" w:rsidRPr="00C2523C" w:rsidRDefault="00F6523D">
            <w:pPr>
              <w:rPr>
                <w:rFonts w:cstheme="minorHAnsi"/>
                <w:sz w:val="24"/>
                <w:szCs w:val="24"/>
              </w:rPr>
            </w:pPr>
            <w:r>
              <w:rPr>
                <w:rFonts w:cstheme="minorHAnsi"/>
                <w:sz w:val="24"/>
                <w:szCs w:val="24"/>
              </w:rPr>
              <w:t xml:space="preserve">Z </w:t>
            </w:r>
            <w:r w:rsidR="00604E53" w:rsidRPr="00C2523C">
              <w:rPr>
                <w:rFonts w:cstheme="minorHAnsi"/>
                <w:sz w:val="24"/>
                <w:szCs w:val="24"/>
              </w:rPr>
              <w:t xml:space="preserve">projektowanych przepisów wynikają m.in.: strony porozumienia, jego przedmiot wraz z celem jego zawarcia, kontrola porozumienia oraz szczególne skutki jest zawarcia i stosowania. Reasumując, minimalne elementy porozumienia są już określone </w:t>
            </w:r>
            <w:r>
              <w:rPr>
                <w:rFonts w:cstheme="minorHAnsi"/>
                <w:sz w:val="24"/>
                <w:szCs w:val="24"/>
              </w:rPr>
              <w:t>na poziomie ustawowym</w:t>
            </w:r>
            <w:r w:rsidR="00604E53" w:rsidRPr="00C2523C">
              <w:rPr>
                <w:rFonts w:cstheme="minorHAnsi"/>
                <w:sz w:val="24"/>
                <w:szCs w:val="24"/>
              </w:rPr>
              <w:t>.</w:t>
            </w:r>
            <w:r w:rsidR="009B5E41" w:rsidRPr="00C2523C">
              <w:rPr>
                <w:rFonts w:cstheme="minorHAnsi"/>
                <w:sz w:val="24"/>
                <w:szCs w:val="24"/>
              </w:rPr>
              <w:t xml:space="preserve"> Z kolei środki organizacyjne i techniczne jakie</w:t>
            </w:r>
            <w:r w:rsidR="00BF72A3" w:rsidRPr="00C2523C">
              <w:rPr>
                <w:rFonts w:cstheme="minorHAnsi"/>
                <w:sz w:val="24"/>
                <w:szCs w:val="24"/>
              </w:rPr>
              <w:t xml:space="preserve"> </w:t>
            </w:r>
            <w:r w:rsidR="009B5E41" w:rsidRPr="00C2523C">
              <w:rPr>
                <w:rFonts w:cstheme="minorHAnsi"/>
                <w:sz w:val="24"/>
                <w:szCs w:val="24"/>
              </w:rPr>
              <w:t xml:space="preserve">będą stosowali przedsiębiorcy są kwestią zbyt szczegółową by </w:t>
            </w:r>
            <w:r>
              <w:rPr>
                <w:rFonts w:cstheme="minorHAnsi"/>
                <w:sz w:val="24"/>
                <w:szCs w:val="24"/>
              </w:rPr>
              <w:t>została ona</w:t>
            </w:r>
            <w:r w:rsidR="009B5E41" w:rsidRPr="00C2523C">
              <w:rPr>
                <w:rFonts w:cstheme="minorHAnsi"/>
                <w:sz w:val="24"/>
                <w:szCs w:val="24"/>
              </w:rPr>
              <w:t xml:space="preserve"> uregulowana na poziomie ustawowym. Z tego powodu te kwestie będą ujęte w samym porozumieniu.</w:t>
            </w:r>
          </w:p>
          <w:p w14:paraId="7E0BB79F" w14:textId="77777777" w:rsidR="00604E53" w:rsidRPr="00C2523C" w:rsidRDefault="00604E53">
            <w:pPr>
              <w:rPr>
                <w:rFonts w:cstheme="minorHAnsi"/>
                <w:sz w:val="24"/>
                <w:szCs w:val="24"/>
              </w:rPr>
            </w:pPr>
          </w:p>
          <w:p w14:paraId="6077A54E" w14:textId="37B7BBEC" w:rsidR="0041244E" w:rsidRPr="00C2523C" w:rsidRDefault="0041244E">
            <w:pPr>
              <w:rPr>
                <w:rFonts w:cstheme="minorHAnsi"/>
                <w:b/>
                <w:sz w:val="24"/>
                <w:szCs w:val="24"/>
              </w:rPr>
            </w:pPr>
          </w:p>
        </w:tc>
      </w:tr>
      <w:tr w:rsidR="00C2523C" w:rsidRPr="00C2523C" w14:paraId="61284E7A" w14:textId="77777777" w:rsidTr="00D679FB">
        <w:tc>
          <w:tcPr>
            <w:tcW w:w="750" w:type="dxa"/>
          </w:tcPr>
          <w:p w14:paraId="6BC50D19" w14:textId="0FA10795" w:rsidR="0041244E" w:rsidRPr="00C2523C" w:rsidRDefault="0041244E"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01946EB3" w14:textId="0B1B93DA" w:rsidR="0041244E" w:rsidRPr="00C2523C" w:rsidRDefault="0041244E" w:rsidP="00277373">
            <w:pPr>
              <w:rPr>
                <w:rFonts w:cstheme="minorHAnsi"/>
                <w:sz w:val="24"/>
                <w:szCs w:val="24"/>
              </w:rPr>
            </w:pPr>
            <w:r w:rsidRPr="00C2523C">
              <w:rPr>
                <w:rFonts w:cstheme="minorHAnsi"/>
                <w:sz w:val="24"/>
                <w:szCs w:val="24"/>
              </w:rPr>
              <w:t>RCL</w:t>
            </w:r>
          </w:p>
        </w:tc>
        <w:tc>
          <w:tcPr>
            <w:tcW w:w="1328" w:type="dxa"/>
          </w:tcPr>
          <w:p w14:paraId="36676AD2" w14:textId="609263D2" w:rsidR="0041244E" w:rsidRPr="00C2523C" w:rsidRDefault="0041244E" w:rsidP="00277373">
            <w:pPr>
              <w:rPr>
                <w:rFonts w:cstheme="minorHAnsi"/>
                <w:sz w:val="24"/>
                <w:szCs w:val="24"/>
              </w:rPr>
            </w:pPr>
            <w:r w:rsidRPr="00C2523C">
              <w:rPr>
                <w:rFonts w:cstheme="minorHAnsi"/>
                <w:sz w:val="24"/>
                <w:szCs w:val="24"/>
              </w:rPr>
              <w:t>Art. 11</w:t>
            </w:r>
          </w:p>
        </w:tc>
        <w:tc>
          <w:tcPr>
            <w:tcW w:w="5386" w:type="dxa"/>
          </w:tcPr>
          <w:p w14:paraId="3879D10F" w14:textId="67307A6C" w:rsidR="0041244E" w:rsidRPr="00C2523C" w:rsidRDefault="0041244E" w:rsidP="00847111">
            <w:pPr>
              <w:autoSpaceDE w:val="0"/>
              <w:autoSpaceDN w:val="0"/>
              <w:adjustRightInd w:val="0"/>
              <w:rPr>
                <w:rFonts w:cstheme="minorHAnsi"/>
                <w:sz w:val="24"/>
                <w:szCs w:val="24"/>
              </w:rPr>
            </w:pPr>
            <w:r w:rsidRPr="00C2523C">
              <w:rPr>
                <w:rFonts w:cstheme="minorHAnsi"/>
                <w:sz w:val="24"/>
                <w:szCs w:val="24"/>
              </w:rPr>
              <w:t>w przypadku projektowanego art. 11 należy podkreślić, że przewidywane jako</w:t>
            </w:r>
            <w:r w:rsidR="00DE5070" w:rsidRPr="00C2523C">
              <w:rPr>
                <w:rFonts w:cstheme="minorHAnsi"/>
                <w:sz w:val="24"/>
                <w:szCs w:val="24"/>
              </w:rPr>
              <w:t xml:space="preserve"> </w:t>
            </w:r>
            <w:r w:rsidRPr="00C2523C">
              <w:rPr>
                <w:rFonts w:cstheme="minorHAnsi"/>
                <w:sz w:val="24"/>
                <w:szCs w:val="24"/>
              </w:rPr>
              <w:t xml:space="preserve">zawartość projektowanego porozumienia zasady zgłaszania </w:t>
            </w:r>
            <w:r w:rsidRPr="00C2523C">
              <w:rPr>
                <w:rFonts w:cstheme="minorHAnsi"/>
                <w:sz w:val="24"/>
                <w:szCs w:val="24"/>
              </w:rPr>
              <w:lastRenderedPageBreak/>
              <w:t>domen, wpisywania i oraz</w:t>
            </w:r>
            <w:r w:rsidR="00DE5070" w:rsidRPr="00C2523C">
              <w:rPr>
                <w:rFonts w:cstheme="minorHAnsi"/>
                <w:sz w:val="24"/>
                <w:szCs w:val="24"/>
              </w:rPr>
              <w:t xml:space="preserve"> </w:t>
            </w:r>
            <w:r w:rsidRPr="00C2523C">
              <w:rPr>
                <w:rFonts w:cstheme="minorHAnsi"/>
                <w:sz w:val="24"/>
                <w:szCs w:val="24"/>
              </w:rPr>
              <w:t>usuwania tych domen z listy ostrzeżeń (o których mowa w ust. 5) stanowią materię rangi</w:t>
            </w:r>
            <w:r w:rsidR="00DE5070" w:rsidRPr="00C2523C">
              <w:rPr>
                <w:rFonts w:cstheme="minorHAnsi"/>
                <w:sz w:val="24"/>
                <w:szCs w:val="24"/>
              </w:rPr>
              <w:t xml:space="preserve"> </w:t>
            </w:r>
            <w:r w:rsidRPr="00C2523C">
              <w:rPr>
                <w:rFonts w:cstheme="minorHAnsi"/>
                <w:sz w:val="24"/>
                <w:szCs w:val="24"/>
              </w:rPr>
              <w:t>ustawowej i powinny zostać określone przepisami ustawy, podobnie jak Projektodawca to</w:t>
            </w:r>
            <w:r w:rsidR="00DE5070" w:rsidRPr="00C2523C">
              <w:rPr>
                <w:rFonts w:cstheme="minorHAnsi"/>
                <w:sz w:val="24"/>
                <w:szCs w:val="24"/>
              </w:rPr>
              <w:t xml:space="preserve"> </w:t>
            </w:r>
            <w:r w:rsidRPr="00C2523C">
              <w:rPr>
                <w:rFonts w:cstheme="minorHAnsi"/>
                <w:sz w:val="24"/>
                <w:szCs w:val="24"/>
              </w:rPr>
              <w:t>uczynił w przypadku art. 4-6 dla nadużycia, o którym mowa w art. 3 ust. 1 pkt 2. Powyższe</w:t>
            </w:r>
            <w:r w:rsidR="00DE5070" w:rsidRPr="00C2523C">
              <w:rPr>
                <w:rFonts w:cstheme="minorHAnsi"/>
                <w:sz w:val="24"/>
                <w:szCs w:val="24"/>
              </w:rPr>
              <w:t xml:space="preserve"> </w:t>
            </w:r>
            <w:r w:rsidRPr="00C2523C">
              <w:rPr>
                <w:rFonts w:cstheme="minorHAnsi"/>
                <w:sz w:val="24"/>
                <w:szCs w:val="24"/>
              </w:rPr>
              <w:t>dotyczy także prowadzenia jawnej listy, o której mowa w art. 11 ust. 1 projektu oraz zadań</w:t>
            </w:r>
            <w:r w:rsidR="00DE5070" w:rsidRPr="00C2523C">
              <w:rPr>
                <w:rFonts w:cstheme="minorHAnsi"/>
                <w:sz w:val="24"/>
                <w:szCs w:val="24"/>
              </w:rPr>
              <w:t xml:space="preserve"> </w:t>
            </w:r>
            <w:r w:rsidRPr="00C2523C">
              <w:rPr>
                <w:rFonts w:cstheme="minorHAnsi"/>
                <w:sz w:val="24"/>
                <w:szCs w:val="24"/>
              </w:rPr>
              <w:t>i kompetencji poszczególnych organów odpowiedzialnych za zwalczanie nadużyć,</w:t>
            </w:r>
            <w:r w:rsidR="00DE5070" w:rsidRPr="00C2523C">
              <w:rPr>
                <w:rFonts w:cstheme="minorHAnsi"/>
                <w:sz w:val="24"/>
                <w:szCs w:val="24"/>
              </w:rPr>
              <w:t xml:space="preserve"> </w:t>
            </w:r>
            <w:r w:rsidRPr="00C2523C">
              <w:rPr>
                <w:rFonts w:cstheme="minorHAnsi"/>
                <w:sz w:val="24"/>
                <w:szCs w:val="24"/>
              </w:rPr>
              <w:t>a wskazanych obecnie jako strony porozumienia w art. 11 ust. 4. Ewentualne doprecyzowania</w:t>
            </w:r>
            <w:r w:rsidR="00DE5070" w:rsidRPr="00C2523C">
              <w:rPr>
                <w:rFonts w:cstheme="minorHAnsi"/>
                <w:sz w:val="24"/>
                <w:szCs w:val="24"/>
              </w:rPr>
              <w:t xml:space="preserve"> </w:t>
            </w:r>
            <w:r w:rsidRPr="00C2523C">
              <w:rPr>
                <w:rFonts w:cstheme="minorHAnsi"/>
                <w:sz w:val="24"/>
                <w:szCs w:val="24"/>
              </w:rPr>
              <w:t>przepisów ustawowych powinny zostać uregulowane w przepisach wykonawczych do</w:t>
            </w:r>
            <w:r w:rsidR="00DE5070" w:rsidRPr="00C2523C">
              <w:rPr>
                <w:rFonts w:cstheme="minorHAnsi"/>
                <w:sz w:val="24"/>
                <w:szCs w:val="24"/>
              </w:rPr>
              <w:t xml:space="preserve"> </w:t>
            </w:r>
            <w:r w:rsidRPr="00C2523C">
              <w:rPr>
                <w:rFonts w:cstheme="minorHAnsi"/>
                <w:sz w:val="24"/>
                <w:szCs w:val="24"/>
              </w:rPr>
              <w:t>ustawy. Takie rozwiązanie pozwoli na rezygnację z regulowania tej materii w drodze</w:t>
            </w:r>
            <w:r w:rsidR="00DE5070" w:rsidRPr="00C2523C">
              <w:rPr>
                <w:rFonts w:cstheme="minorHAnsi"/>
                <w:sz w:val="24"/>
                <w:szCs w:val="24"/>
              </w:rPr>
              <w:t xml:space="preserve"> </w:t>
            </w:r>
            <w:r w:rsidRPr="00C2523C">
              <w:rPr>
                <w:rFonts w:cstheme="minorHAnsi"/>
                <w:sz w:val="24"/>
                <w:szCs w:val="24"/>
              </w:rPr>
              <w:t>porozumienia i rezygnację z regulacji dostosowujących zawartych w art. 22 projektu. Ponadto</w:t>
            </w:r>
            <w:r w:rsidR="00DE5070" w:rsidRPr="00C2523C">
              <w:rPr>
                <w:rFonts w:cstheme="minorHAnsi"/>
                <w:sz w:val="24"/>
                <w:szCs w:val="24"/>
              </w:rPr>
              <w:t xml:space="preserve"> </w:t>
            </w:r>
            <w:r w:rsidRPr="00C2523C">
              <w:rPr>
                <w:rFonts w:cstheme="minorHAnsi"/>
                <w:sz w:val="24"/>
                <w:szCs w:val="24"/>
              </w:rPr>
              <w:t>wskazać należy, że projektowana regulacja nie określa procedury odwoławczej od decyzji</w:t>
            </w:r>
            <w:r w:rsidR="00DE5070" w:rsidRPr="00C2523C">
              <w:rPr>
                <w:rFonts w:cstheme="minorHAnsi"/>
                <w:sz w:val="24"/>
                <w:szCs w:val="24"/>
              </w:rPr>
              <w:t xml:space="preserve"> </w:t>
            </w:r>
            <w:r w:rsidRPr="00C2523C">
              <w:rPr>
                <w:rFonts w:cstheme="minorHAnsi"/>
                <w:sz w:val="24"/>
                <w:szCs w:val="24"/>
              </w:rPr>
              <w:t>o wpisaniu na listę ostrzeżeń, co wymaga uzupełnienia.</w:t>
            </w:r>
          </w:p>
        </w:tc>
        <w:tc>
          <w:tcPr>
            <w:tcW w:w="5352" w:type="dxa"/>
          </w:tcPr>
          <w:p w14:paraId="5B909964" w14:textId="26623BDB" w:rsidR="00515523" w:rsidRPr="00C2523C" w:rsidRDefault="00BD6F16">
            <w:pPr>
              <w:rPr>
                <w:rFonts w:cstheme="minorHAnsi"/>
                <w:sz w:val="24"/>
                <w:szCs w:val="24"/>
              </w:rPr>
            </w:pPr>
            <w:r w:rsidRPr="00C2523C">
              <w:rPr>
                <w:rFonts w:cstheme="minorHAnsi"/>
                <w:b/>
                <w:sz w:val="24"/>
                <w:szCs w:val="24"/>
              </w:rPr>
              <w:lastRenderedPageBreak/>
              <w:t>Uwaga nieuwzględniona</w:t>
            </w:r>
          </w:p>
          <w:p w14:paraId="65273BBF" w14:textId="12565715" w:rsidR="00BD6F16" w:rsidRPr="00C2523C" w:rsidRDefault="00BD6F16">
            <w:pPr>
              <w:rPr>
                <w:rFonts w:cstheme="minorHAnsi"/>
                <w:sz w:val="24"/>
                <w:szCs w:val="24"/>
              </w:rPr>
            </w:pPr>
            <w:r w:rsidRPr="00C2523C">
              <w:rPr>
                <w:rFonts w:cstheme="minorHAnsi"/>
                <w:sz w:val="24"/>
                <w:szCs w:val="24"/>
              </w:rPr>
              <w:t>Minimalne elementy porozumienia są już określone w projektowanych przepisach rangi ustawowej.</w:t>
            </w:r>
          </w:p>
          <w:p w14:paraId="3455F86D" w14:textId="7777461B" w:rsidR="0041244E" w:rsidRPr="00C2523C" w:rsidRDefault="00BD6F16">
            <w:pPr>
              <w:rPr>
                <w:rFonts w:cstheme="minorHAnsi"/>
                <w:sz w:val="24"/>
                <w:szCs w:val="24"/>
              </w:rPr>
            </w:pPr>
            <w:r w:rsidRPr="00C2523C">
              <w:rPr>
                <w:rFonts w:cstheme="minorHAnsi"/>
                <w:sz w:val="24"/>
                <w:szCs w:val="24"/>
              </w:rPr>
              <w:lastRenderedPageBreak/>
              <w:t>Porozumienie w zakresie prowadzenia i utrzymywania jawnej listy ostrzeżeń dotyczących domen internetowych, które służą do wyłudzeń danych i środków finansowych użytkowników internetu oraz uniemożliwienia dostępu do tych stron jako środek o charakterze samoregulacji funkcjonuje bardzo dobrze, z korzyścią dla użytkowników. Praktyka potwierdza to, że to rozwiązanie jest właściwe w stosunku do</w:t>
            </w:r>
            <w:r w:rsidR="00BF72A3" w:rsidRPr="00C2523C">
              <w:rPr>
                <w:rFonts w:cstheme="minorHAnsi"/>
                <w:sz w:val="24"/>
                <w:szCs w:val="24"/>
              </w:rPr>
              <w:t xml:space="preserve"> </w:t>
            </w:r>
            <w:r w:rsidRPr="00C2523C">
              <w:rPr>
                <w:rFonts w:cstheme="minorHAnsi"/>
                <w:sz w:val="24"/>
                <w:szCs w:val="24"/>
              </w:rPr>
              <w:t>„oszukańczych” domen. Lista ostrzeżeń jest jawna i</w:t>
            </w:r>
            <w:r w:rsidR="00F6523D">
              <w:rPr>
                <w:rFonts w:cstheme="minorHAnsi"/>
                <w:sz w:val="24"/>
                <w:szCs w:val="24"/>
              </w:rPr>
              <w:t> </w:t>
            </w:r>
            <w:r w:rsidRPr="00C2523C">
              <w:rPr>
                <w:rFonts w:cstheme="minorHAnsi"/>
                <w:sz w:val="24"/>
                <w:szCs w:val="24"/>
              </w:rPr>
              <w:t xml:space="preserve">spełnia wymogi transparentności. Jednocześnie funkcjonowanie listy wiąże się z uprawnieniem (a nie obowiązkiem) zablokowania dostępu do stron www. wpisanych na listę. </w:t>
            </w:r>
          </w:p>
        </w:tc>
      </w:tr>
      <w:tr w:rsidR="00C2523C" w:rsidRPr="00C2523C" w14:paraId="25242E40" w14:textId="77777777" w:rsidTr="00D679FB">
        <w:tc>
          <w:tcPr>
            <w:tcW w:w="750" w:type="dxa"/>
          </w:tcPr>
          <w:p w14:paraId="01231832" w14:textId="6F49483A" w:rsidR="00EF641D" w:rsidRPr="00C2523C" w:rsidRDefault="00EF641D"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3A63DA35" w14:textId="29394AC4" w:rsidR="00EF641D" w:rsidRPr="00C2523C" w:rsidRDefault="00EF641D" w:rsidP="00277373">
            <w:pPr>
              <w:rPr>
                <w:rFonts w:cstheme="minorHAnsi"/>
                <w:sz w:val="24"/>
                <w:szCs w:val="24"/>
              </w:rPr>
            </w:pPr>
            <w:r w:rsidRPr="00C2523C">
              <w:rPr>
                <w:rFonts w:cstheme="minorHAnsi"/>
                <w:sz w:val="24"/>
                <w:szCs w:val="24"/>
              </w:rPr>
              <w:t>MON</w:t>
            </w:r>
          </w:p>
        </w:tc>
        <w:tc>
          <w:tcPr>
            <w:tcW w:w="1328" w:type="dxa"/>
          </w:tcPr>
          <w:p w14:paraId="0A490173" w14:textId="2F70CE00" w:rsidR="00EF641D" w:rsidRPr="00C2523C" w:rsidRDefault="00EF641D" w:rsidP="00277373">
            <w:pPr>
              <w:rPr>
                <w:rFonts w:cstheme="minorHAnsi"/>
                <w:sz w:val="24"/>
                <w:szCs w:val="24"/>
              </w:rPr>
            </w:pPr>
            <w:r w:rsidRPr="00C2523C">
              <w:rPr>
                <w:rFonts w:cstheme="minorHAnsi"/>
                <w:sz w:val="24"/>
                <w:szCs w:val="24"/>
              </w:rPr>
              <w:t>Art. 12</w:t>
            </w:r>
          </w:p>
        </w:tc>
        <w:tc>
          <w:tcPr>
            <w:tcW w:w="5386" w:type="dxa"/>
          </w:tcPr>
          <w:p w14:paraId="7142EF32" w14:textId="03394B09" w:rsidR="00EF641D" w:rsidRPr="00C2523C" w:rsidRDefault="00EF641D" w:rsidP="002F0E46">
            <w:pPr>
              <w:numPr>
                <w:ilvl w:val="0"/>
                <w:numId w:val="10"/>
              </w:numPr>
              <w:rPr>
                <w:rFonts w:cstheme="minorHAnsi"/>
                <w:sz w:val="24"/>
                <w:szCs w:val="24"/>
              </w:rPr>
            </w:pPr>
            <w:r w:rsidRPr="00C2523C">
              <w:rPr>
                <w:rFonts w:cstheme="minorHAnsi"/>
                <w:sz w:val="24"/>
                <w:szCs w:val="24"/>
              </w:rPr>
              <w:t xml:space="preserve">W </w:t>
            </w:r>
            <w:r w:rsidRPr="00C2523C">
              <w:rPr>
                <w:rFonts w:cstheme="minorHAnsi"/>
                <w:b/>
                <w:sz w:val="24"/>
                <w:szCs w:val="24"/>
              </w:rPr>
              <w:t>art. 12</w:t>
            </w:r>
            <w:r w:rsidRPr="00C2523C">
              <w:rPr>
                <w:rFonts w:cstheme="minorHAnsi"/>
                <w:sz w:val="24"/>
                <w:szCs w:val="24"/>
              </w:rPr>
              <w:t xml:space="preserve"> proponuje się dodać ust. 5 i 6 w brzmieniu: </w:t>
            </w:r>
          </w:p>
          <w:p w14:paraId="2FDF4647" w14:textId="77777777" w:rsidR="00EF641D" w:rsidRPr="00C2523C" w:rsidRDefault="00EF641D" w:rsidP="00EF641D">
            <w:pPr>
              <w:rPr>
                <w:rFonts w:cstheme="minorHAnsi"/>
                <w:i/>
                <w:sz w:val="24"/>
                <w:szCs w:val="24"/>
              </w:rPr>
            </w:pPr>
            <w:r w:rsidRPr="00C2523C">
              <w:rPr>
                <w:rFonts w:cstheme="minorHAnsi"/>
                <w:i/>
                <w:sz w:val="24"/>
                <w:szCs w:val="24"/>
              </w:rPr>
              <w:t>„5. Dostawca poczty elektronicznej, o którym mowa w ust. 1, ma obowiązek przechowywania, przez okres nie krótszy niż 90 dni, rejestrów logowań do obsługiwanych przez siebie skrzynek poczty elektronicznej, zawierających co najmniej datę, godzinę uszczegółowioną do 1 sekundy, adres IP oraz port przypisany użytkownikowi w trakcie połączenia przez przedsiębiorcę telekomunikacyjnego.</w:t>
            </w:r>
          </w:p>
          <w:p w14:paraId="366ADA4B" w14:textId="48003784" w:rsidR="00EF641D" w:rsidRPr="00C2523C" w:rsidRDefault="00EF641D" w:rsidP="00EF641D">
            <w:pPr>
              <w:rPr>
                <w:rFonts w:cstheme="minorHAnsi"/>
                <w:i/>
                <w:sz w:val="24"/>
                <w:szCs w:val="24"/>
              </w:rPr>
            </w:pPr>
            <w:r w:rsidRPr="00C2523C">
              <w:rPr>
                <w:rFonts w:cstheme="minorHAnsi"/>
                <w:i/>
                <w:sz w:val="24"/>
                <w:szCs w:val="24"/>
              </w:rPr>
              <w:lastRenderedPageBreak/>
              <w:t>6. Dostawca poczty elektronicznej nieodpłatnie udostępnia dane, o których mowa w ust. 5, organom państwa uprawnionym na podstawie odrębnych przepisów, na potrzeby prowadzonych przez nie postępowań.”.</w:t>
            </w:r>
          </w:p>
          <w:p w14:paraId="3C453980" w14:textId="3A8CE114" w:rsidR="00EF641D" w:rsidRPr="00C2523C" w:rsidRDefault="00EF641D" w:rsidP="00EF641D">
            <w:pPr>
              <w:rPr>
                <w:rFonts w:cstheme="minorHAnsi"/>
                <w:sz w:val="24"/>
                <w:szCs w:val="24"/>
              </w:rPr>
            </w:pPr>
            <w:r w:rsidRPr="00C2523C">
              <w:rPr>
                <w:rFonts w:cstheme="minorHAnsi"/>
                <w:sz w:val="24"/>
                <w:szCs w:val="24"/>
              </w:rPr>
              <w:t>4.</w:t>
            </w:r>
            <w:r w:rsidRPr="00C2523C">
              <w:rPr>
                <w:rFonts w:cstheme="minorHAnsi"/>
                <w:sz w:val="24"/>
                <w:szCs w:val="24"/>
              </w:rPr>
              <w:tab/>
              <w:t>Jednocześnie, w konsekwencji przyjęcia proponowanych zmian, zasadnym wydaje się rozważenie wprowadzenia regulacji mających na celu wzmocnienie skuteczności pozyskiwania danych, o których mowa w art. 12 ust. 5, przez organ państwowy, np. przez wprowadzenie kontroli Prezesa UKE na zasadach analogicznych jak w art. 12 ust. 3 projektu.</w:t>
            </w:r>
          </w:p>
          <w:p w14:paraId="54DB2E5E" w14:textId="77777777" w:rsidR="00EF641D" w:rsidRPr="00C2523C" w:rsidRDefault="00EF641D" w:rsidP="00EF641D">
            <w:pPr>
              <w:rPr>
                <w:rFonts w:cstheme="minorHAnsi"/>
                <w:sz w:val="24"/>
                <w:szCs w:val="24"/>
              </w:rPr>
            </w:pPr>
          </w:p>
          <w:p w14:paraId="03DAF065" w14:textId="77777777" w:rsidR="00515523" w:rsidRPr="00C2523C" w:rsidRDefault="00EF641D" w:rsidP="002F0E46">
            <w:pPr>
              <w:autoSpaceDE w:val="0"/>
              <w:autoSpaceDN w:val="0"/>
              <w:adjustRightInd w:val="0"/>
              <w:jc w:val="both"/>
              <w:rPr>
                <w:rFonts w:eastAsia="Calibri" w:cstheme="minorHAnsi"/>
                <w:sz w:val="24"/>
                <w:szCs w:val="24"/>
              </w:rPr>
            </w:pPr>
            <w:r w:rsidRPr="00C2523C">
              <w:rPr>
                <w:rFonts w:eastAsia="Calibri" w:cstheme="minorHAnsi"/>
                <w:sz w:val="24"/>
                <w:szCs w:val="24"/>
              </w:rPr>
              <w:t xml:space="preserve">W związku z dynamicznym rozwojem nowych technologii oraz coraz bardziej kreatywnymi sposobami wykorzystywania ich przez osoby popełniające czyny zabronione, organy ścigania muszą niejednokrotnie sięgać po dane związane z użytkowaniem poczty elektronicznej. </w:t>
            </w:r>
          </w:p>
          <w:p w14:paraId="23B6E4E5" w14:textId="64BECFE1" w:rsidR="00EF641D" w:rsidRPr="00C2523C" w:rsidRDefault="00EF641D" w:rsidP="002F0E46">
            <w:pPr>
              <w:autoSpaceDE w:val="0"/>
              <w:autoSpaceDN w:val="0"/>
              <w:adjustRightInd w:val="0"/>
              <w:jc w:val="both"/>
              <w:rPr>
                <w:rFonts w:cstheme="minorHAnsi"/>
                <w:sz w:val="24"/>
                <w:szCs w:val="24"/>
              </w:rPr>
            </w:pPr>
            <w:r w:rsidRPr="00C2523C">
              <w:rPr>
                <w:rFonts w:eastAsia="Calibri" w:cstheme="minorHAnsi"/>
                <w:sz w:val="24"/>
                <w:szCs w:val="24"/>
              </w:rPr>
              <w:t xml:space="preserve">Z uwagi na brak obecnie przepisów nakładających na dostawców poczty elektronicznej obowiązek gromadzenia danych na temat adresów IP wraz z portami przypisanymi przez właściwego przedsiębiorcę telekomunikacyjnego w czasie logowań, znacznie utrudnione jest ściganie sprawców przestępstw wykorzystujących pocztę elektroniczną do popełniania czynów zabronionych. Wynika to z faktu wykorzystania przez większość przedsiębiorców telekomunikacyjnych technologii CGNAT i NAT w </w:t>
            </w:r>
            <w:r w:rsidRPr="00C2523C">
              <w:rPr>
                <w:rFonts w:eastAsia="Calibri" w:cstheme="minorHAnsi"/>
                <w:sz w:val="24"/>
                <w:szCs w:val="24"/>
              </w:rPr>
              <w:lastRenderedPageBreak/>
              <w:t>przypadku przydzielania abonentom adresów IPv4. W praktyce oznacza to przypisanie jednego adresu publicznego bardzo dużej liczbie abonentów w tym samym czasie, co bardzo utrudnia, a często uniemożliwia ustalenie urządzenia końcowego, które korzystało z danego adresu IP. Z uwagi na brak możliwości nakazania przedsiębiorcom telekomunikacyjnym wykorzystywania jedynie adresów IPv6, które rozwiązują ten problem – proponowane zmiany są zasadne. Wprowadzenie wyżej wymienionych przepisów nie spowoduje powstania po stronie dostawców poczty elektronicznej znacznych kosztów, jest również w pełni wykonalne z technicznego punktu widzenia, a przechowywanie wymienionych w proponowanym ust. 5 danych jest niezbędne do sprawnego ścigania sprawców przestępstw.</w:t>
            </w:r>
          </w:p>
        </w:tc>
        <w:tc>
          <w:tcPr>
            <w:tcW w:w="5352" w:type="dxa"/>
          </w:tcPr>
          <w:p w14:paraId="7D538E8F" w14:textId="77F0301C" w:rsidR="00EF641D" w:rsidRPr="00C2523C" w:rsidRDefault="748EAEA8" w:rsidP="00277373">
            <w:r w:rsidRPr="00C2523C">
              <w:rPr>
                <w:rFonts w:ascii="Calibri" w:eastAsia="Calibri" w:hAnsi="Calibri" w:cs="Calibri"/>
                <w:b/>
                <w:bCs/>
                <w:sz w:val="24"/>
                <w:szCs w:val="24"/>
              </w:rPr>
              <w:lastRenderedPageBreak/>
              <w:t xml:space="preserve">Uwaga </w:t>
            </w:r>
            <w:r w:rsidR="002D0851" w:rsidRPr="00C2523C">
              <w:rPr>
                <w:rFonts w:ascii="Calibri" w:eastAsia="Calibri" w:hAnsi="Calibri" w:cs="Calibri"/>
                <w:b/>
                <w:bCs/>
                <w:sz w:val="24"/>
                <w:szCs w:val="24"/>
              </w:rPr>
              <w:t>nieuwzględniona</w:t>
            </w:r>
            <w:r w:rsidRPr="00C2523C">
              <w:rPr>
                <w:rFonts w:ascii="Calibri" w:eastAsia="Calibri" w:hAnsi="Calibri" w:cs="Calibri"/>
                <w:sz w:val="24"/>
                <w:szCs w:val="24"/>
              </w:rPr>
              <w:t xml:space="preserve"> </w:t>
            </w:r>
          </w:p>
          <w:p w14:paraId="29D66C92" w14:textId="30230CD6" w:rsidR="00EF641D" w:rsidRPr="00C2523C" w:rsidRDefault="748EAEA8" w:rsidP="002D0851">
            <w:pPr>
              <w:rPr>
                <w:rFonts w:ascii="Calibri" w:eastAsia="Calibri" w:hAnsi="Calibri" w:cs="Calibri"/>
                <w:sz w:val="24"/>
                <w:szCs w:val="24"/>
              </w:rPr>
            </w:pPr>
            <w:r w:rsidRPr="00C2523C">
              <w:rPr>
                <w:rFonts w:ascii="Calibri" w:eastAsia="Calibri" w:hAnsi="Calibri" w:cs="Calibri"/>
                <w:sz w:val="24"/>
                <w:szCs w:val="24"/>
              </w:rPr>
              <w:t xml:space="preserve">Należy wskazać, że celem przepisu jest uregulowanie obowiązków z zakresu bezpieczeństwa poczty elektronicznej, stosowania mechanizmów uwierzytelnienia poczty elektronicznej. Nie jest celem ustawy wprowadzanie obowiązków retencyjnych, które wykraczają poza kwestie walki z nadużyciami w komunikacji elektronicznej. Mają szersze, systemowe skutki dla </w:t>
            </w:r>
            <w:r w:rsidRPr="00C2523C">
              <w:rPr>
                <w:rFonts w:ascii="Calibri" w:eastAsia="Calibri" w:hAnsi="Calibri" w:cs="Calibri"/>
                <w:sz w:val="24"/>
                <w:szCs w:val="24"/>
              </w:rPr>
              <w:lastRenderedPageBreak/>
              <w:t>różnego rodzaju postępowań prowadzonych przez służby.</w:t>
            </w:r>
          </w:p>
          <w:p w14:paraId="6CD8A579" w14:textId="650FBF84" w:rsidR="00EF641D" w:rsidRPr="00C2523C" w:rsidRDefault="748EAEA8" w:rsidP="002F0E46">
            <w:pPr>
              <w:jc w:val="both"/>
              <w:rPr>
                <w:rFonts w:ascii="Calibri" w:eastAsia="Calibri" w:hAnsi="Calibri" w:cs="Calibri"/>
                <w:sz w:val="24"/>
                <w:szCs w:val="24"/>
              </w:rPr>
            </w:pPr>
            <w:r w:rsidRPr="00C2523C">
              <w:rPr>
                <w:rFonts w:ascii="Calibri" w:eastAsia="Calibri" w:hAnsi="Calibri" w:cs="Calibri"/>
                <w:sz w:val="24"/>
                <w:szCs w:val="24"/>
              </w:rPr>
              <w:t xml:space="preserve"> </w:t>
            </w:r>
          </w:p>
          <w:p w14:paraId="30E52E31" w14:textId="5472A18D" w:rsidR="00EF641D" w:rsidRPr="00C2523C" w:rsidRDefault="748EAEA8" w:rsidP="002D0851">
            <w:pPr>
              <w:rPr>
                <w:rFonts w:ascii="Calibri" w:eastAsia="Calibri" w:hAnsi="Calibri" w:cs="Calibri"/>
                <w:sz w:val="24"/>
                <w:szCs w:val="24"/>
              </w:rPr>
            </w:pPr>
            <w:r w:rsidRPr="00C2523C">
              <w:rPr>
                <w:rFonts w:ascii="Calibri" w:eastAsia="Calibri" w:hAnsi="Calibri" w:cs="Calibri"/>
                <w:sz w:val="24"/>
                <w:szCs w:val="24"/>
              </w:rPr>
              <w:t>Dostawcy usług poczty elektronicznej kwalifikują się do kategorii dostawców usług komunikacji interpersonalnej niewykorzystujących numerów („NICS”) (które zostaną uregulowane</w:t>
            </w:r>
            <w:r w:rsidR="006433AE" w:rsidRPr="00C2523C">
              <w:rPr>
                <w:rFonts w:ascii="Calibri" w:eastAsia="Calibri" w:hAnsi="Calibri" w:cs="Calibri"/>
                <w:sz w:val="24"/>
                <w:szCs w:val="24"/>
              </w:rPr>
              <w:t xml:space="preserve"> w PKE) </w:t>
            </w:r>
            <w:r w:rsidRPr="00C2523C">
              <w:rPr>
                <w:rFonts w:ascii="Calibri" w:eastAsia="Calibri" w:hAnsi="Calibri" w:cs="Calibri"/>
                <w:sz w:val="24"/>
                <w:szCs w:val="24"/>
              </w:rPr>
              <w:t xml:space="preserve">a także usług świadczonych drogą elektroniczną. Należy wskazać, że ta kategoria podmiotów nie jest również w PKE objęta przepisami retencyjnymi. Dyrektywa ustanawiająca Europejski Kodeks Łączności Elektronicznej wyłącza tę kategorię podmiotów (dostawców NICS) z obowiązków związanych z ogólnym zezwoleniem, tj. nie podlegają wpisowi do rejestru przedsiębiorców telekomunikacyjnych. Brak jest zatem oficjalnych danych tych podmiotów. Egzekwowanie stosowania przepisów mogłoby być znacząco utrudnione, gdyż często przedsiębiorcy Ci mają siedziby za granicą. W efekcie zatem wprowadzone obowiązki obciążyły by de facto polskich dostawców takich usług, stawiając ich mniej korzystnej sytuacji niż konkurenci z zagranicy. Naraziłoby to również te podmioty na dodatkowe koszty retencjonowania danych, które nie są im potrzebne. Większy zakres przechowywanych danych wymagałby posiadania pojemniejszych, bezpiecznych serwerów, zakupu bezpiecznego oprogramowania itp. </w:t>
            </w:r>
          </w:p>
          <w:p w14:paraId="4AF9D870" w14:textId="54AD8794" w:rsidR="00EF641D" w:rsidRPr="00C2523C" w:rsidRDefault="748EAEA8" w:rsidP="002F0E46">
            <w:pPr>
              <w:jc w:val="both"/>
              <w:rPr>
                <w:rFonts w:ascii="Calibri" w:eastAsia="Calibri" w:hAnsi="Calibri" w:cs="Calibri"/>
                <w:sz w:val="24"/>
                <w:szCs w:val="24"/>
              </w:rPr>
            </w:pPr>
            <w:r w:rsidRPr="00C2523C">
              <w:rPr>
                <w:rFonts w:ascii="Calibri" w:eastAsia="Calibri" w:hAnsi="Calibri" w:cs="Calibri"/>
                <w:sz w:val="24"/>
                <w:szCs w:val="24"/>
              </w:rPr>
              <w:t xml:space="preserve"> </w:t>
            </w:r>
          </w:p>
          <w:p w14:paraId="40568BE1" w14:textId="0EBC2702" w:rsidR="00EF641D" w:rsidRPr="00C2523C" w:rsidRDefault="748EAEA8" w:rsidP="002D0851">
            <w:pPr>
              <w:rPr>
                <w:rFonts w:ascii="Calibri" w:eastAsia="Calibri" w:hAnsi="Calibri" w:cs="Calibri"/>
                <w:sz w:val="24"/>
                <w:szCs w:val="24"/>
              </w:rPr>
            </w:pPr>
            <w:r w:rsidRPr="00C2523C">
              <w:rPr>
                <w:rFonts w:ascii="Calibri" w:eastAsia="Calibri" w:hAnsi="Calibri" w:cs="Calibri"/>
                <w:sz w:val="24"/>
                <w:szCs w:val="24"/>
              </w:rPr>
              <w:lastRenderedPageBreak/>
              <w:t>Podkreślenia wymaga również fakt, że generalny obowiązek retencji danych telekomunikacyjnych został zakwestionowany przez TSUE. Trybunał w</w:t>
            </w:r>
            <w:r w:rsidR="00F6523D">
              <w:rPr>
                <w:rFonts w:ascii="Calibri" w:eastAsia="Calibri" w:hAnsi="Calibri" w:cs="Calibri"/>
                <w:sz w:val="24"/>
                <w:szCs w:val="24"/>
              </w:rPr>
              <w:t> </w:t>
            </w:r>
            <w:r w:rsidRPr="00C2523C">
              <w:rPr>
                <w:rFonts w:ascii="Calibri" w:eastAsia="Calibri" w:hAnsi="Calibri" w:cs="Calibri"/>
                <w:sz w:val="24"/>
                <w:szCs w:val="24"/>
              </w:rPr>
              <w:t>licznych wyrokach odnosił się w restrykcyjny sposób do kwestii gromadzenia danych pochodzących z komunikacji elektronicznej i ich udostępniania uprawnionym podmiotom.</w:t>
            </w:r>
          </w:p>
          <w:p w14:paraId="23BF0BA9" w14:textId="37030D64" w:rsidR="00EF641D" w:rsidRPr="00C2523C" w:rsidRDefault="748EAEA8" w:rsidP="002D0851">
            <w:pPr>
              <w:rPr>
                <w:rFonts w:ascii="Calibri" w:eastAsia="Calibri" w:hAnsi="Calibri" w:cs="Calibri"/>
                <w:sz w:val="24"/>
                <w:szCs w:val="24"/>
              </w:rPr>
            </w:pPr>
            <w:r w:rsidRPr="00C2523C">
              <w:rPr>
                <w:rFonts w:ascii="Calibri" w:eastAsia="Calibri" w:hAnsi="Calibri" w:cs="Calibri"/>
                <w:sz w:val="24"/>
                <w:szCs w:val="24"/>
              </w:rPr>
              <w:t>Wprowadzanie nowych obowiązków retencyjnych, w odniesieniu do kolejnych grup podmiotów może spotkać się z zarzutem niezgodności z orzecznictwem TSUE.</w:t>
            </w:r>
          </w:p>
          <w:p w14:paraId="0A35336B" w14:textId="711F5261" w:rsidR="00EF641D" w:rsidRPr="00C2523C" w:rsidRDefault="748EAEA8" w:rsidP="00F6523D">
            <w:pPr>
              <w:rPr>
                <w:rFonts w:ascii="Calibri" w:eastAsia="Calibri" w:hAnsi="Calibri" w:cs="Calibri"/>
                <w:sz w:val="24"/>
                <w:szCs w:val="24"/>
              </w:rPr>
            </w:pPr>
            <w:r w:rsidRPr="00C2523C">
              <w:rPr>
                <w:rFonts w:ascii="Calibri" w:eastAsia="Calibri" w:hAnsi="Calibri" w:cs="Calibri"/>
                <w:sz w:val="24"/>
                <w:szCs w:val="24"/>
              </w:rPr>
              <w:t xml:space="preserve">W ramach UE ciągle trwają prace grupy roboczej ds. współpracy w sprawach karnych COPEN dotyczących wspólnego podejścia do retencji danych w świetle dyrektywy 2002/58/UE o prywatności oraz orzecznictwa TSUE. Grupa rozważa m.in. objęcie obowiązkiem retencyjnym dostawców NICS, poddania retencji adresów IP. Wprowadzanie nowych obowiązków retencyjnych w oderwaniu od prac tej grupy, zapadłych wyroków TSUE jest przedwczesne. </w:t>
            </w:r>
          </w:p>
          <w:p w14:paraId="3A77E8A1" w14:textId="0A2C623D" w:rsidR="00EF641D" w:rsidRPr="00C2523C" w:rsidRDefault="748EAEA8" w:rsidP="748EAEA8">
            <w:pPr>
              <w:rPr>
                <w:rFonts w:ascii="Calibri" w:eastAsia="Calibri" w:hAnsi="Calibri" w:cs="Calibri"/>
                <w:sz w:val="24"/>
                <w:szCs w:val="24"/>
              </w:rPr>
            </w:pPr>
            <w:r w:rsidRPr="00C2523C">
              <w:rPr>
                <w:rFonts w:ascii="Calibri" w:eastAsia="Calibri" w:hAnsi="Calibri" w:cs="Calibri"/>
                <w:sz w:val="24"/>
                <w:szCs w:val="24"/>
              </w:rPr>
              <w:t>Ponadto, ustawa o świadczeniu usług drogą elektroniczną oraz ustawy kompetencyjne służb zawierają już pewne regulacje dotyczące udostępniania służbom danych zbieranych przez dostawców usług (np. art. 18 uśude).</w:t>
            </w:r>
          </w:p>
        </w:tc>
      </w:tr>
      <w:tr w:rsidR="00C2523C" w:rsidRPr="00C2523C" w14:paraId="6CF64B9A" w14:textId="77777777" w:rsidTr="00D679FB">
        <w:tc>
          <w:tcPr>
            <w:tcW w:w="750" w:type="dxa"/>
          </w:tcPr>
          <w:p w14:paraId="780F04D8" w14:textId="09614363" w:rsidR="00EF641D" w:rsidRPr="00C2523C" w:rsidRDefault="00EF641D" w:rsidP="748EAEA8">
            <w:pPr>
              <w:pStyle w:val="Akapitzlist"/>
              <w:numPr>
                <w:ilvl w:val="0"/>
                <w:numId w:val="9"/>
              </w:numPr>
              <w:spacing w:line="240" w:lineRule="auto"/>
              <w:ind w:left="567"/>
              <w:rPr>
                <w:rFonts w:asciiTheme="minorHAnsi" w:hAnsiTheme="minorHAnsi" w:cstheme="minorBidi"/>
                <w:sz w:val="24"/>
                <w:szCs w:val="24"/>
              </w:rPr>
            </w:pPr>
          </w:p>
        </w:tc>
        <w:tc>
          <w:tcPr>
            <w:tcW w:w="1178" w:type="dxa"/>
            <w:gridSpan w:val="2"/>
          </w:tcPr>
          <w:p w14:paraId="7339CA20" w14:textId="6551485A" w:rsidR="00EF641D" w:rsidRPr="00C2523C" w:rsidRDefault="00EF641D" w:rsidP="00277373">
            <w:pPr>
              <w:rPr>
                <w:rFonts w:cstheme="minorHAnsi"/>
                <w:sz w:val="24"/>
                <w:szCs w:val="24"/>
              </w:rPr>
            </w:pPr>
            <w:r w:rsidRPr="00C2523C">
              <w:rPr>
                <w:rFonts w:cstheme="minorHAnsi"/>
                <w:sz w:val="24"/>
                <w:szCs w:val="24"/>
              </w:rPr>
              <w:t>MON</w:t>
            </w:r>
          </w:p>
        </w:tc>
        <w:tc>
          <w:tcPr>
            <w:tcW w:w="1328" w:type="dxa"/>
          </w:tcPr>
          <w:p w14:paraId="1F56C197" w14:textId="5379D694" w:rsidR="00EF641D" w:rsidRPr="00C2523C" w:rsidRDefault="00EF641D" w:rsidP="00277373">
            <w:pPr>
              <w:rPr>
                <w:rFonts w:cstheme="minorHAnsi"/>
                <w:sz w:val="24"/>
                <w:szCs w:val="24"/>
              </w:rPr>
            </w:pPr>
            <w:r w:rsidRPr="00C2523C">
              <w:rPr>
                <w:rFonts w:cstheme="minorHAnsi"/>
                <w:sz w:val="24"/>
                <w:szCs w:val="24"/>
              </w:rPr>
              <w:t>Art. 17a</w:t>
            </w:r>
          </w:p>
        </w:tc>
        <w:tc>
          <w:tcPr>
            <w:tcW w:w="5386" w:type="dxa"/>
          </w:tcPr>
          <w:p w14:paraId="0429C1DD" w14:textId="77777777" w:rsidR="00EF641D" w:rsidRPr="00C2523C" w:rsidRDefault="00EF641D" w:rsidP="00EF641D">
            <w:pPr>
              <w:numPr>
                <w:ilvl w:val="0"/>
                <w:numId w:val="10"/>
              </w:numPr>
              <w:rPr>
                <w:rFonts w:cstheme="minorHAnsi"/>
                <w:sz w:val="24"/>
                <w:szCs w:val="24"/>
              </w:rPr>
            </w:pPr>
            <w:r w:rsidRPr="00C2523C">
              <w:rPr>
                <w:rFonts w:cstheme="minorHAnsi"/>
                <w:sz w:val="24"/>
                <w:szCs w:val="24"/>
              </w:rPr>
              <w:t xml:space="preserve">W następstwie uwzględnienia proponowanego brzmienia art. 12 ust. 5 i 6 niezbędnym jest dodanie w projekcie po art. 17 przepisów zmieniających </w:t>
            </w:r>
            <w:r w:rsidRPr="00C2523C">
              <w:rPr>
                <w:rFonts w:cstheme="minorHAnsi"/>
                <w:i/>
                <w:sz w:val="24"/>
                <w:szCs w:val="24"/>
              </w:rPr>
              <w:t xml:space="preserve">ustawę z dnia 24 sierpnia 2001 r. o </w:t>
            </w:r>
            <w:r w:rsidRPr="00C2523C">
              <w:rPr>
                <w:rFonts w:cstheme="minorHAnsi"/>
                <w:i/>
                <w:sz w:val="24"/>
                <w:szCs w:val="24"/>
              </w:rPr>
              <w:lastRenderedPageBreak/>
              <w:t xml:space="preserve">Żandarmerii Wojskowej i wojskowych organach porządkowych (Dz. U. z 2021 r. poz. 1214, z późn. zm.), </w:t>
            </w:r>
            <w:r w:rsidRPr="00C2523C">
              <w:rPr>
                <w:rFonts w:cstheme="minorHAnsi"/>
                <w:sz w:val="24"/>
                <w:szCs w:val="24"/>
              </w:rPr>
              <w:t>w brzmieniu:</w:t>
            </w:r>
          </w:p>
          <w:p w14:paraId="50FEE372" w14:textId="77777777" w:rsidR="00EF641D" w:rsidRPr="00C2523C" w:rsidRDefault="00EF641D" w:rsidP="00EF641D">
            <w:pPr>
              <w:rPr>
                <w:rFonts w:cstheme="minorHAnsi"/>
                <w:sz w:val="24"/>
                <w:szCs w:val="24"/>
              </w:rPr>
            </w:pPr>
          </w:p>
          <w:p w14:paraId="5D68740A" w14:textId="77777777" w:rsidR="00EF641D" w:rsidRPr="00C2523C" w:rsidRDefault="00EF641D" w:rsidP="00EF641D">
            <w:pPr>
              <w:rPr>
                <w:rFonts w:cstheme="minorHAnsi"/>
                <w:i/>
                <w:sz w:val="24"/>
                <w:szCs w:val="24"/>
              </w:rPr>
            </w:pPr>
            <w:r w:rsidRPr="00C2523C">
              <w:rPr>
                <w:rFonts w:cstheme="minorHAnsi"/>
                <w:i/>
                <w:sz w:val="24"/>
                <w:szCs w:val="24"/>
              </w:rPr>
              <w:t>„</w:t>
            </w:r>
            <w:r w:rsidRPr="00C2523C">
              <w:rPr>
                <w:rFonts w:cstheme="minorHAnsi"/>
                <w:b/>
                <w:i/>
                <w:sz w:val="24"/>
                <w:szCs w:val="24"/>
              </w:rPr>
              <w:t>Art. 17a.</w:t>
            </w:r>
            <w:r w:rsidRPr="00C2523C">
              <w:rPr>
                <w:rFonts w:cstheme="minorHAnsi"/>
                <w:i/>
                <w:sz w:val="24"/>
                <w:szCs w:val="24"/>
              </w:rPr>
              <w:t> W ustawie z dnia 24 sierpnia 2001 r. o Żandarmerii Wojskowej i wojskowych organach porządkowych (Dz. U. z 2021 r. poz. 1214 oraz z 2022 r. poz. 655) w art. 30 wprowadza się następujące zmiany:</w:t>
            </w:r>
          </w:p>
          <w:p w14:paraId="0B38857E" w14:textId="77777777" w:rsidR="00EF641D" w:rsidRPr="00C2523C" w:rsidRDefault="00EF641D" w:rsidP="00EF641D">
            <w:pPr>
              <w:rPr>
                <w:rFonts w:cstheme="minorHAnsi"/>
                <w:i/>
                <w:sz w:val="24"/>
                <w:szCs w:val="24"/>
              </w:rPr>
            </w:pPr>
            <w:r w:rsidRPr="00C2523C">
              <w:rPr>
                <w:rFonts w:cstheme="minorHAnsi"/>
                <w:i/>
                <w:sz w:val="24"/>
                <w:szCs w:val="24"/>
              </w:rPr>
              <w:t>1) w ust. 1 po pkt 3 dodaje się pkt 4 w brzmieniu:</w:t>
            </w:r>
          </w:p>
          <w:p w14:paraId="1265EECB" w14:textId="77777777" w:rsidR="00EF641D" w:rsidRPr="00C2523C" w:rsidRDefault="00EF641D" w:rsidP="00EF641D">
            <w:pPr>
              <w:rPr>
                <w:rFonts w:cstheme="minorHAnsi"/>
                <w:i/>
                <w:sz w:val="24"/>
                <w:szCs w:val="24"/>
              </w:rPr>
            </w:pPr>
            <w:r w:rsidRPr="00C2523C">
              <w:rPr>
                <w:rFonts w:cstheme="minorHAnsi"/>
                <w:i/>
                <w:sz w:val="24"/>
                <w:szCs w:val="24"/>
              </w:rPr>
              <w:t>„4) art. 12 ust. 5 ustawy z dnia … o zwalczaniu nadużyć w komunikacji elektronicznej (Dz. U. poz. …);”;</w:t>
            </w:r>
          </w:p>
          <w:p w14:paraId="6B86A82D" w14:textId="77777777" w:rsidR="00EF641D" w:rsidRPr="00C2523C" w:rsidRDefault="00EF641D" w:rsidP="00EF641D">
            <w:pPr>
              <w:rPr>
                <w:rFonts w:cstheme="minorHAnsi"/>
                <w:i/>
                <w:sz w:val="24"/>
                <w:szCs w:val="24"/>
              </w:rPr>
            </w:pPr>
            <w:r w:rsidRPr="00C2523C">
              <w:rPr>
                <w:rFonts w:cstheme="minorHAnsi"/>
                <w:i/>
                <w:sz w:val="24"/>
                <w:szCs w:val="24"/>
              </w:rPr>
              <w:t>2) w ust. 3 po wyrazach „pkt 3” dodaje się wyrazy: „i 4”.</w:t>
            </w:r>
          </w:p>
          <w:p w14:paraId="0B0C30FA" w14:textId="2DC951E0" w:rsidR="00EF641D" w:rsidRPr="00C2523C" w:rsidRDefault="00EF641D" w:rsidP="00277373">
            <w:pPr>
              <w:rPr>
                <w:rFonts w:cstheme="minorHAnsi"/>
                <w:sz w:val="24"/>
                <w:szCs w:val="24"/>
              </w:rPr>
            </w:pPr>
          </w:p>
        </w:tc>
        <w:tc>
          <w:tcPr>
            <w:tcW w:w="5352" w:type="dxa"/>
          </w:tcPr>
          <w:p w14:paraId="6DBFAA54" w14:textId="6B576CF8" w:rsidR="00612A7A" w:rsidRPr="00C2523C" w:rsidRDefault="00612A7A" w:rsidP="00277373">
            <w:pPr>
              <w:rPr>
                <w:rFonts w:cstheme="minorHAnsi"/>
                <w:b/>
                <w:sz w:val="24"/>
                <w:szCs w:val="24"/>
              </w:rPr>
            </w:pPr>
            <w:r w:rsidRPr="00C2523C">
              <w:rPr>
                <w:rFonts w:cstheme="minorHAnsi"/>
                <w:b/>
                <w:sz w:val="24"/>
                <w:szCs w:val="24"/>
              </w:rPr>
              <w:lastRenderedPageBreak/>
              <w:t>Uwaga nieuwzględniona</w:t>
            </w:r>
            <w:r w:rsidR="006B03CD" w:rsidRPr="00C2523C">
              <w:rPr>
                <w:rFonts w:cstheme="minorHAnsi"/>
                <w:b/>
                <w:sz w:val="24"/>
                <w:szCs w:val="24"/>
              </w:rPr>
              <w:t xml:space="preserve"> w zw. z nieuwzględnieniem uwagi dot. art. 12 ust. 5 i 6</w:t>
            </w:r>
            <w:r w:rsidR="00F6523D">
              <w:rPr>
                <w:rFonts w:cstheme="minorHAnsi"/>
                <w:b/>
                <w:sz w:val="24"/>
                <w:szCs w:val="24"/>
              </w:rPr>
              <w:t xml:space="preserve"> (pkt 3 tabeli)</w:t>
            </w:r>
          </w:p>
          <w:p w14:paraId="6FF76A2A" w14:textId="77777777" w:rsidR="00EF641D" w:rsidRPr="00C2523C" w:rsidRDefault="00EF641D" w:rsidP="002F0E46">
            <w:pPr>
              <w:ind w:firstLine="708"/>
              <w:rPr>
                <w:rFonts w:cstheme="minorHAnsi"/>
                <w:sz w:val="24"/>
                <w:szCs w:val="24"/>
              </w:rPr>
            </w:pPr>
          </w:p>
        </w:tc>
      </w:tr>
      <w:tr w:rsidR="00C2523C" w:rsidRPr="00C2523C" w14:paraId="05BBC6A0" w14:textId="77777777" w:rsidTr="00D679FB">
        <w:trPr>
          <w:trHeight w:val="4810"/>
        </w:trPr>
        <w:tc>
          <w:tcPr>
            <w:tcW w:w="750" w:type="dxa"/>
          </w:tcPr>
          <w:p w14:paraId="520761FB" w14:textId="77777777" w:rsidR="00FD3498" w:rsidRPr="00C2523C" w:rsidRDefault="00FD3498" w:rsidP="00D45C28">
            <w:pPr>
              <w:pStyle w:val="Akapitzlist"/>
              <w:numPr>
                <w:ilvl w:val="0"/>
                <w:numId w:val="9"/>
              </w:numPr>
              <w:spacing w:line="240" w:lineRule="auto"/>
              <w:ind w:left="567"/>
              <w:rPr>
                <w:rFonts w:asciiTheme="minorHAnsi" w:hAnsiTheme="minorHAnsi" w:cstheme="minorHAnsi"/>
                <w:sz w:val="24"/>
                <w:szCs w:val="24"/>
              </w:rPr>
            </w:pPr>
          </w:p>
        </w:tc>
        <w:tc>
          <w:tcPr>
            <w:tcW w:w="1178" w:type="dxa"/>
            <w:gridSpan w:val="2"/>
          </w:tcPr>
          <w:p w14:paraId="0046CA21" w14:textId="21FC9710" w:rsidR="00FD3498" w:rsidRPr="00C2523C" w:rsidRDefault="00FD3498" w:rsidP="00277373">
            <w:pPr>
              <w:rPr>
                <w:rFonts w:cstheme="minorHAnsi"/>
                <w:sz w:val="24"/>
                <w:szCs w:val="24"/>
              </w:rPr>
            </w:pPr>
            <w:r w:rsidRPr="00C2523C">
              <w:rPr>
                <w:rFonts w:cstheme="minorHAnsi"/>
                <w:sz w:val="24"/>
                <w:szCs w:val="24"/>
              </w:rPr>
              <w:t>MS</w:t>
            </w:r>
          </w:p>
        </w:tc>
        <w:tc>
          <w:tcPr>
            <w:tcW w:w="1328" w:type="dxa"/>
          </w:tcPr>
          <w:p w14:paraId="36C515B4" w14:textId="3C02156C" w:rsidR="00FD3498" w:rsidRPr="00C2523C" w:rsidRDefault="00FD3498" w:rsidP="00277373">
            <w:pPr>
              <w:rPr>
                <w:rFonts w:cstheme="minorHAnsi"/>
                <w:sz w:val="24"/>
                <w:szCs w:val="24"/>
              </w:rPr>
            </w:pPr>
            <w:r w:rsidRPr="00C2523C">
              <w:rPr>
                <w:rFonts w:cstheme="minorHAnsi"/>
                <w:sz w:val="24"/>
                <w:szCs w:val="24"/>
              </w:rPr>
              <w:t>OSR</w:t>
            </w:r>
          </w:p>
        </w:tc>
        <w:tc>
          <w:tcPr>
            <w:tcW w:w="5386" w:type="dxa"/>
          </w:tcPr>
          <w:p w14:paraId="1F35AB53" w14:textId="76D24F51" w:rsidR="00FD3498" w:rsidRPr="00C2523C" w:rsidRDefault="00FD3498" w:rsidP="00FD3498">
            <w:pPr>
              <w:autoSpaceDE w:val="0"/>
              <w:autoSpaceDN w:val="0"/>
              <w:adjustRightInd w:val="0"/>
              <w:rPr>
                <w:rFonts w:cstheme="minorHAnsi"/>
                <w:sz w:val="24"/>
                <w:szCs w:val="24"/>
              </w:rPr>
            </w:pPr>
            <w:r w:rsidRPr="00C2523C">
              <w:rPr>
                <w:rFonts w:cstheme="minorHAnsi"/>
                <w:sz w:val="24"/>
                <w:szCs w:val="24"/>
              </w:rPr>
              <w:t>Podkreślenia wymaga, że przedstawiony projekt ustawy nakłada na sądownictwo</w:t>
            </w:r>
            <w:r w:rsidR="00BA54DC" w:rsidRPr="00C2523C">
              <w:rPr>
                <w:rFonts w:cstheme="minorHAnsi"/>
                <w:sz w:val="24"/>
                <w:szCs w:val="24"/>
              </w:rPr>
              <w:t xml:space="preserve"> </w:t>
            </w:r>
            <w:r w:rsidRPr="00C2523C">
              <w:rPr>
                <w:rFonts w:cstheme="minorHAnsi"/>
                <w:sz w:val="24"/>
                <w:szCs w:val="24"/>
              </w:rPr>
              <w:t xml:space="preserve">powszechne </w:t>
            </w:r>
            <w:r w:rsidRPr="00C2523C">
              <w:rPr>
                <w:rFonts w:cstheme="minorHAnsi"/>
                <w:b/>
                <w:bCs/>
                <w:sz w:val="24"/>
                <w:szCs w:val="24"/>
              </w:rPr>
              <w:t>całkowicie nowe obowiązki</w:t>
            </w:r>
            <w:r w:rsidRPr="00C2523C">
              <w:rPr>
                <w:rFonts w:cstheme="minorHAnsi"/>
                <w:sz w:val="24"/>
                <w:szCs w:val="24"/>
              </w:rPr>
              <w:t>. Tym samym oczywistym jest, że ich realizacja musi</w:t>
            </w:r>
            <w:r w:rsidR="00BA54DC" w:rsidRPr="00C2523C">
              <w:rPr>
                <w:rFonts w:cstheme="minorHAnsi"/>
                <w:sz w:val="24"/>
                <w:szCs w:val="24"/>
              </w:rPr>
              <w:t xml:space="preserve"> </w:t>
            </w:r>
            <w:r w:rsidRPr="00C2523C">
              <w:rPr>
                <w:rFonts w:cstheme="minorHAnsi"/>
                <w:sz w:val="24"/>
                <w:szCs w:val="24"/>
              </w:rPr>
              <w:t>wiązać się ze wzmocnieniem etatowym. Nowe obowiązki powodują bowiem zwiększenie zadań i tak już znacznie obciążonego sądownictwa, a w związku z tym nie można oczekiwać, że będą</w:t>
            </w:r>
            <w:r w:rsidR="00BA54DC" w:rsidRPr="00C2523C">
              <w:rPr>
                <w:rFonts w:cstheme="minorHAnsi"/>
                <w:sz w:val="24"/>
                <w:szCs w:val="24"/>
              </w:rPr>
              <w:t xml:space="preserve"> </w:t>
            </w:r>
            <w:r w:rsidRPr="00C2523C">
              <w:rPr>
                <w:rFonts w:cstheme="minorHAnsi"/>
                <w:sz w:val="24"/>
                <w:szCs w:val="24"/>
              </w:rPr>
              <w:t>one realizowane obecnymi zasobami kadrowymi bez pogorszenia sprawności postępowań.</w:t>
            </w:r>
          </w:p>
          <w:p w14:paraId="2F69830F" w14:textId="202097B5" w:rsidR="00FD3498" w:rsidRPr="00C2523C" w:rsidRDefault="00FD3498" w:rsidP="00FD3498">
            <w:pPr>
              <w:autoSpaceDE w:val="0"/>
              <w:autoSpaceDN w:val="0"/>
              <w:adjustRightInd w:val="0"/>
              <w:rPr>
                <w:rFonts w:cstheme="minorHAnsi"/>
                <w:sz w:val="24"/>
                <w:szCs w:val="24"/>
              </w:rPr>
            </w:pPr>
            <w:r w:rsidRPr="00C2523C">
              <w:rPr>
                <w:rFonts w:cstheme="minorHAnsi"/>
                <w:sz w:val="24"/>
                <w:szCs w:val="24"/>
              </w:rPr>
              <w:t>W OSR wśród podmiotów, na które może oddziaływać projekt ustawy, nie ma</w:t>
            </w:r>
            <w:r w:rsidR="00BA54DC" w:rsidRPr="00C2523C">
              <w:rPr>
                <w:rFonts w:cstheme="minorHAnsi"/>
                <w:sz w:val="24"/>
                <w:szCs w:val="24"/>
              </w:rPr>
              <w:t xml:space="preserve"> </w:t>
            </w:r>
            <w:r w:rsidRPr="00C2523C">
              <w:rPr>
                <w:rFonts w:cstheme="minorHAnsi"/>
                <w:sz w:val="24"/>
                <w:szCs w:val="24"/>
              </w:rPr>
              <w:t>SO w Warszawie – SOKiK oraz Sądu Apelacyjnego w Warszawie. Podkreślić trzeba, że takie</w:t>
            </w:r>
            <w:r w:rsidR="00BA54DC" w:rsidRPr="00C2523C">
              <w:rPr>
                <w:rFonts w:cstheme="minorHAnsi"/>
                <w:sz w:val="24"/>
                <w:szCs w:val="24"/>
              </w:rPr>
              <w:t xml:space="preserve"> </w:t>
            </w:r>
            <w:r w:rsidRPr="00C2523C">
              <w:rPr>
                <w:rFonts w:cstheme="minorHAnsi"/>
                <w:sz w:val="24"/>
                <w:szCs w:val="24"/>
              </w:rPr>
              <w:t>oddziaływanie może wystąpić, biorąc pod uwagę możliwość odwołania od decyzji Prezesa</w:t>
            </w:r>
            <w:r w:rsidR="00BA54DC" w:rsidRPr="00C2523C">
              <w:rPr>
                <w:rFonts w:cstheme="minorHAnsi"/>
                <w:sz w:val="24"/>
                <w:szCs w:val="24"/>
              </w:rPr>
              <w:t xml:space="preserve"> </w:t>
            </w:r>
            <w:r w:rsidRPr="00C2523C">
              <w:rPr>
                <w:rFonts w:cstheme="minorHAnsi"/>
                <w:sz w:val="24"/>
                <w:szCs w:val="24"/>
              </w:rPr>
              <w:t xml:space="preserve">UKE w przedmiocie kary pieniężnej – określonej w </w:t>
            </w:r>
            <w:r w:rsidRPr="00C2523C">
              <w:rPr>
                <w:rFonts w:cstheme="minorHAnsi"/>
                <w:b/>
                <w:bCs/>
                <w:sz w:val="24"/>
                <w:szCs w:val="24"/>
              </w:rPr>
              <w:t xml:space="preserve">art. 15 </w:t>
            </w:r>
            <w:r w:rsidRPr="00C2523C">
              <w:rPr>
                <w:rFonts w:cstheme="minorHAnsi"/>
                <w:sz w:val="24"/>
                <w:szCs w:val="24"/>
              </w:rPr>
              <w:t>– na podstawie art. 206 ust. 2 pkt 3</w:t>
            </w:r>
            <w:r w:rsidR="00BA54DC" w:rsidRPr="00C2523C">
              <w:rPr>
                <w:rFonts w:cstheme="minorHAnsi"/>
                <w:i/>
                <w:iCs/>
                <w:sz w:val="24"/>
                <w:szCs w:val="24"/>
              </w:rPr>
              <w:t xml:space="preserve"> </w:t>
            </w:r>
            <w:r w:rsidRPr="00C2523C">
              <w:rPr>
                <w:rFonts w:cstheme="minorHAnsi"/>
                <w:i/>
                <w:iCs/>
                <w:sz w:val="24"/>
                <w:szCs w:val="24"/>
              </w:rPr>
              <w:t>Prawa telekomunikacyjnego</w:t>
            </w:r>
            <w:r w:rsidRPr="00C2523C">
              <w:rPr>
                <w:rFonts w:cstheme="minorHAnsi"/>
                <w:sz w:val="24"/>
                <w:szCs w:val="24"/>
              </w:rPr>
              <w:t>.</w:t>
            </w:r>
            <w:r w:rsidR="002E3127" w:rsidRPr="00C2523C">
              <w:rPr>
                <w:rFonts w:cstheme="minorHAnsi"/>
                <w:sz w:val="24"/>
                <w:szCs w:val="24"/>
              </w:rPr>
              <w:t xml:space="preserve"> </w:t>
            </w:r>
            <w:r w:rsidRPr="00C2523C">
              <w:rPr>
                <w:rFonts w:cstheme="minorHAnsi"/>
                <w:sz w:val="24"/>
                <w:szCs w:val="24"/>
              </w:rPr>
              <w:t>Konieczność oszacowania wpływu projektowanych rozwiązań na SOKiK, wynika także</w:t>
            </w:r>
            <w:r w:rsidR="00BA54DC" w:rsidRPr="00C2523C">
              <w:rPr>
                <w:rFonts w:cstheme="minorHAnsi"/>
                <w:sz w:val="24"/>
                <w:szCs w:val="24"/>
              </w:rPr>
              <w:t xml:space="preserve"> </w:t>
            </w:r>
            <w:r w:rsidRPr="00C2523C">
              <w:rPr>
                <w:rFonts w:cstheme="minorHAnsi"/>
                <w:sz w:val="24"/>
                <w:szCs w:val="24"/>
              </w:rPr>
              <w:t>z rozwiązania przyjętego w art. 10 ust. 4 i art. 12 ust. 4. Przepisy te zawierają odesłanie</w:t>
            </w:r>
            <w:r w:rsidR="00B80DA6" w:rsidRPr="00C2523C">
              <w:rPr>
                <w:rFonts w:cstheme="minorHAnsi"/>
                <w:sz w:val="24"/>
                <w:szCs w:val="24"/>
              </w:rPr>
              <w:t xml:space="preserve"> </w:t>
            </w:r>
            <w:r w:rsidRPr="00C2523C">
              <w:rPr>
                <w:rFonts w:cstheme="minorHAnsi"/>
                <w:sz w:val="24"/>
                <w:szCs w:val="24"/>
              </w:rPr>
              <w:t xml:space="preserve">do przepisów </w:t>
            </w:r>
            <w:r w:rsidRPr="00C2523C">
              <w:rPr>
                <w:rFonts w:cstheme="minorHAnsi"/>
                <w:i/>
                <w:iCs/>
                <w:sz w:val="24"/>
                <w:szCs w:val="24"/>
              </w:rPr>
              <w:t xml:space="preserve">Prawa telekomunikacyjnego </w:t>
            </w:r>
            <w:r w:rsidRPr="00C2523C">
              <w:rPr>
                <w:rFonts w:cstheme="minorHAnsi"/>
                <w:sz w:val="24"/>
                <w:szCs w:val="24"/>
              </w:rPr>
              <w:t>o kontroli, przy czym zastrzeżenia budzi już sama</w:t>
            </w:r>
            <w:r w:rsidR="00B80DA6" w:rsidRPr="00C2523C">
              <w:rPr>
                <w:rFonts w:cstheme="minorHAnsi"/>
                <w:sz w:val="24"/>
                <w:szCs w:val="24"/>
              </w:rPr>
              <w:t xml:space="preserve"> </w:t>
            </w:r>
            <w:r w:rsidRPr="00C2523C">
              <w:rPr>
                <w:rFonts w:cstheme="minorHAnsi"/>
                <w:sz w:val="24"/>
                <w:szCs w:val="24"/>
              </w:rPr>
              <w:t xml:space="preserve">ogólnikowość takiego odesłania. </w:t>
            </w:r>
            <w:r w:rsidRPr="00C2523C">
              <w:rPr>
                <w:rFonts w:cstheme="minorHAnsi"/>
                <w:i/>
                <w:iCs/>
                <w:sz w:val="24"/>
                <w:szCs w:val="24"/>
              </w:rPr>
              <w:t xml:space="preserve">Prawo telekomunikacyjne </w:t>
            </w:r>
            <w:r w:rsidRPr="00C2523C">
              <w:rPr>
                <w:rFonts w:cstheme="minorHAnsi"/>
                <w:sz w:val="24"/>
                <w:szCs w:val="24"/>
              </w:rPr>
              <w:t>obejmuje szereg takich przepisów,</w:t>
            </w:r>
            <w:r w:rsidR="00B80DA6" w:rsidRPr="00C2523C">
              <w:rPr>
                <w:rFonts w:cstheme="minorHAnsi"/>
                <w:sz w:val="24"/>
                <w:szCs w:val="24"/>
              </w:rPr>
              <w:t xml:space="preserve"> </w:t>
            </w:r>
            <w:r w:rsidRPr="00C2523C">
              <w:rPr>
                <w:rFonts w:cstheme="minorHAnsi"/>
                <w:sz w:val="24"/>
                <w:szCs w:val="24"/>
              </w:rPr>
              <w:t xml:space="preserve">przy czym w większości znajdują się one w rozdziale 2 </w:t>
            </w:r>
            <w:r w:rsidRPr="00C2523C">
              <w:rPr>
                <w:rFonts w:cstheme="minorHAnsi"/>
                <w:i/>
                <w:iCs/>
                <w:sz w:val="24"/>
                <w:szCs w:val="24"/>
              </w:rPr>
              <w:t>Kontrola i postępowanie kontrolne</w:t>
            </w:r>
            <w:r w:rsidRPr="00C2523C">
              <w:rPr>
                <w:rFonts w:cstheme="minorHAnsi"/>
                <w:sz w:val="24"/>
                <w:szCs w:val="24"/>
              </w:rPr>
              <w:t>.</w:t>
            </w:r>
            <w:r w:rsidR="002E3127" w:rsidRPr="00C2523C">
              <w:rPr>
                <w:rFonts w:cstheme="minorHAnsi"/>
                <w:sz w:val="24"/>
                <w:szCs w:val="24"/>
              </w:rPr>
              <w:t xml:space="preserve"> </w:t>
            </w:r>
            <w:r w:rsidRPr="00C2523C">
              <w:rPr>
                <w:rFonts w:cstheme="minorHAnsi"/>
                <w:sz w:val="24"/>
                <w:szCs w:val="24"/>
              </w:rPr>
              <w:t xml:space="preserve">Przepis art. 201 </w:t>
            </w:r>
            <w:r w:rsidRPr="00C2523C">
              <w:rPr>
                <w:rFonts w:cstheme="minorHAnsi"/>
                <w:i/>
                <w:iCs/>
                <w:sz w:val="24"/>
                <w:szCs w:val="24"/>
              </w:rPr>
              <w:t xml:space="preserve">Prawa telekomunikacyjnego </w:t>
            </w:r>
            <w:r w:rsidRPr="00C2523C">
              <w:rPr>
                <w:rFonts w:cstheme="minorHAnsi"/>
                <w:sz w:val="24"/>
                <w:szCs w:val="24"/>
              </w:rPr>
              <w:t>przewiduje podstawę do wydania przez Prezesa</w:t>
            </w:r>
            <w:r w:rsidR="00B80DA6" w:rsidRPr="00C2523C">
              <w:rPr>
                <w:rFonts w:cstheme="minorHAnsi"/>
                <w:sz w:val="24"/>
                <w:szCs w:val="24"/>
              </w:rPr>
              <w:t xml:space="preserve"> </w:t>
            </w:r>
            <w:r w:rsidRPr="00C2523C">
              <w:rPr>
                <w:rFonts w:cstheme="minorHAnsi"/>
                <w:sz w:val="24"/>
                <w:szCs w:val="24"/>
              </w:rPr>
              <w:t xml:space="preserve">URE decyzji o nałożeniu kary pieniężnej, o której mowa w </w:t>
            </w:r>
            <w:r w:rsidRPr="00C2523C">
              <w:rPr>
                <w:rFonts w:cstheme="minorHAnsi"/>
                <w:sz w:val="24"/>
                <w:szCs w:val="24"/>
              </w:rPr>
              <w:lastRenderedPageBreak/>
              <w:t>art. 209, w przypadku stwierdzenia</w:t>
            </w:r>
            <w:r w:rsidR="00B80DA6" w:rsidRPr="00C2523C">
              <w:rPr>
                <w:rFonts w:cstheme="minorHAnsi"/>
                <w:sz w:val="24"/>
                <w:szCs w:val="24"/>
              </w:rPr>
              <w:t xml:space="preserve"> </w:t>
            </w:r>
            <w:r w:rsidRPr="00C2523C">
              <w:rPr>
                <w:rFonts w:cstheme="minorHAnsi"/>
                <w:sz w:val="24"/>
                <w:szCs w:val="24"/>
              </w:rPr>
              <w:t>naruszeń obowiązków wynikających z przepisów prawa lub decyzji wydanej przez Prezesa</w:t>
            </w:r>
            <w:r w:rsidR="00B80DA6" w:rsidRPr="00C2523C">
              <w:rPr>
                <w:rFonts w:cstheme="minorHAnsi"/>
                <w:sz w:val="24"/>
                <w:szCs w:val="24"/>
              </w:rPr>
              <w:t xml:space="preserve"> </w:t>
            </w:r>
            <w:r w:rsidRPr="00C2523C">
              <w:rPr>
                <w:rFonts w:cstheme="minorHAnsi"/>
                <w:sz w:val="24"/>
                <w:szCs w:val="24"/>
              </w:rPr>
              <w:t xml:space="preserve">UKE. Zgodnie z art. 206 ust. 2 pkt 3 </w:t>
            </w:r>
            <w:r w:rsidRPr="00C2523C">
              <w:rPr>
                <w:rFonts w:cstheme="minorHAnsi"/>
                <w:i/>
                <w:iCs/>
                <w:sz w:val="24"/>
                <w:szCs w:val="24"/>
              </w:rPr>
              <w:t xml:space="preserve">Prawa telekomunikacyjnego </w:t>
            </w:r>
            <w:r w:rsidRPr="00C2523C">
              <w:rPr>
                <w:rFonts w:cstheme="minorHAnsi"/>
                <w:sz w:val="24"/>
                <w:szCs w:val="24"/>
              </w:rPr>
              <w:t>decyzja taka podlega</w:t>
            </w:r>
            <w:r w:rsidR="00B80DA6" w:rsidRPr="00C2523C">
              <w:rPr>
                <w:rFonts w:cstheme="minorHAnsi"/>
                <w:sz w:val="24"/>
                <w:szCs w:val="24"/>
              </w:rPr>
              <w:t xml:space="preserve"> </w:t>
            </w:r>
            <w:r w:rsidRPr="00C2523C">
              <w:rPr>
                <w:rFonts w:cstheme="minorHAnsi"/>
                <w:sz w:val="24"/>
                <w:szCs w:val="24"/>
              </w:rPr>
              <w:t>zaskarżeniu do SOKiK.</w:t>
            </w:r>
          </w:p>
          <w:p w14:paraId="7DD59024" w14:textId="77777777" w:rsidR="00FD3498" w:rsidRPr="00C2523C" w:rsidRDefault="00FD3498" w:rsidP="00FD3498">
            <w:pPr>
              <w:autoSpaceDE w:val="0"/>
              <w:autoSpaceDN w:val="0"/>
              <w:adjustRightInd w:val="0"/>
              <w:rPr>
                <w:rFonts w:cstheme="minorHAnsi"/>
                <w:sz w:val="24"/>
                <w:szCs w:val="24"/>
              </w:rPr>
            </w:pPr>
            <w:r w:rsidRPr="00C2523C">
              <w:rPr>
                <w:rFonts w:cstheme="minorHAnsi"/>
                <w:sz w:val="24"/>
                <w:szCs w:val="24"/>
              </w:rPr>
              <w:t xml:space="preserve">Ponadto </w:t>
            </w:r>
            <w:r w:rsidRPr="00C2523C">
              <w:rPr>
                <w:rFonts w:cstheme="minorHAnsi"/>
                <w:b/>
                <w:bCs/>
                <w:sz w:val="24"/>
                <w:szCs w:val="24"/>
              </w:rPr>
              <w:t xml:space="preserve">art. 16 ust. 1 i 2 </w:t>
            </w:r>
            <w:r w:rsidRPr="00C2523C">
              <w:rPr>
                <w:rFonts w:cstheme="minorHAnsi"/>
                <w:sz w:val="24"/>
                <w:szCs w:val="24"/>
              </w:rPr>
              <w:t>penalizuje trzy nadużycia w komunikacji elektronicznej.</w:t>
            </w:r>
          </w:p>
          <w:p w14:paraId="12F925F5" w14:textId="04F4C57D" w:rsidR="00FD3498" w:rsidRPr="00C2523C" w:rsidRDefault="00FD3498" w:rsidP="00FD3498">
            <w:pPr>
              <w:autoSpaceDE w:val="0"/>
              <w:autoSpaceDN w:val="0"/>
              <w:adjustRightInd w:val="0"/>
              <w:rPr>
                <w:rFonts w:cstheme="minorHAnsi"/>
                <w:sz w:val="24"/>
                <w:szCs w:val="24"/>
              </w:rPr>
            </w:pPr>
            <w:r w:rsidRPr="00C2523C">
              <w:rPr>
                <w:rFonts w:cstheme="minorHAnsi"/>
                <w:sz w:val="24"/>
                <w:szCs w:val="24"/>
              </w:rPr>
              <w:t>Powoduje to rozszerzenie kognicji wydziałów karnych w sądach powszechnych, zarówno w I, jak</w:t>
            </w:r>
            <w:r w:rsidR="00B80DA6" w:rsidRPr="00C2523C">
              <w:rPr>
                <w:rFonts w:cstheme="minorHAnsi"/>
                <w:sz w:val="24"/>
                <w:szCs w:val="24"/>
              </w:rPr>
              <w:t xml:space="preserve"> </w:t>
            </w:r>
            <w:r w:rsidRPr="00C2523C">
              <w:rPr>
                <w:rFonts w:cstheme="minorHAnsi"/>
                <w:sz w:val="24"/>
                <w:szCs w:val="24"/>
              </w:rPr>
              <w:t>też II instancji, co nie zostało wskazane w uzasadnieniu projektu.</w:t>
            </w:r>
          </w:p>
          <w:p w14:paraId="7C9F7242" w14:textId="7D39DB6C" w:rsidR="00B80DA6" w:rsidRPr="00C2523C" w:rsidRDefault="00FD3498" w:rsidP="00FD3498">
            <w:pPr>
              <w:autoSpaceDE w:val="0"/>
              <w:autoSpaceDN w:val="0"/>
              <w:adjustRightInd w:val="0"/>
              <w:rPr>
                <w:rFonts w:cstheme="minorHAnsi"/>
                <w:sz w:val="24"/>
                <w:szCs w:val="24"/>
              </w:rPr>
            </w:pPr>
            <w:r w:rsidRPr="00C2523C">
              <w:rPr>
                <w:rFonts w:cstheme="minorHAnsi"/>
                <w:sz w:val="24"/>
                <w:szCs w:val="24"/>
              </w:rPr>
              <w:t>Podkreślenia wymaga, że wzrost liczby spraw nie może zostać precyzyjnie oszacowany,</w:t>
            </w:r>
            <w:r w:rsidR="00B80DA6" w:rsidRPr="00C2523C">
              <w:rPr>
                <w:rFonts w:cstheme="minorHAnsi"/>
                <w:sz w:val="24"/>
                <w:szCs w:val="24"/>
              </w:rPr>
              <w:t xml:space="preserve"> </w:t>
            </w:r>
            <w:r w:rsidRPr="00C2523C">
              <w:rPr>
                <w:rFonts w:cstheme="minorHAnsi"/>
                <w:sz w:val="24"/>
                <w:szCs w:val="24"/>
              </w:rPr>
              <w:t>albowiem przewidziane projektem ustawy instytucje są nowe i brak jest jakichkolwiek danych</w:t>
            </w:r>
            <w:r w:rsidR="00B80DA6" w:rsidRPr="00C2523C">
              <w:rPr>
                <w:rFonts w:cstheme="minorHAnsi"/>
                <w:sz w:val="24"/>
                <w:szCs w:val="24"/>
              </w:rPr>
              <w:t xml:space="preserve"> </w:t>
            </w:r>
            <w:r w:rsidRPr="00C2523C">
              <w:rPr>
                <w:rFonts w:cstheme="minorHAnsi"/>
                <w:sz w:val="24"/>
                <w:szCs w:val="24"/>
              </w:rPr>
              <w:t>umożliwiających oszacowanie tej wartości. Nadto, ani w uzasadnieniu projektu, ani w OSR nie</w:t>
            </w:r>
            <w:r w:rsidR="00B80DA6" w:rsidRPr="00C2523C">
              <w:rPr>
                <w:rFonts w:cstheme="minorHAnsi"/>
                <w:sz w:val="24"/>
                <w:szCs w:val="24"/>
              </w:rPr>
              <w:t xml:space="preserve"> </w:t>
            </w:r>
            <w:r w:rsidRPr="00C2523C">
              <w:rPr>
                <w:rFonts w:cstheme="minorHAnsi"/>
                <w:sz w:val="24"/>
                <w:szCs w:val="24"/>
              </w:rPr>
              <w:t>zostały podane jakiekolwiek dane pozwalające na choćby hipotetyczne określenie liczby spraw,</w:t>
            </w:r>
            <w:r w:rsidR="00B80DA6" w:rsidRPr="00C2523C">
              <w:rPr>
                <w:rFonts w:cstheme="minorHAnsi"/>
                <w:sz w:val="24"/>
                <w:szCs w:val="24"/>
              </w:rPr>
              <w:t xml:space="preserve"> </w:t>
            </w:r>
            <w:r w:rsidRPr="00C2523C">
              <w:rPr>
                <w:rFonts w:cstheme="minorHAnsi"/>
                <w:sz w:val="24"/>
                <w:szCs w:val="24"/>
              </w:rPr>
              <w:t>które trafią do sądów. Oczywistym jest, że wsparcie etatowe jest konieczne, albowiem</w:t>
            </w:r>
            <w:r w:rsidR="00B80DA6" w:rsidRPr="00C2523C">
              <w:rPr>
                <w:rFonts w:cstheme="minorHAnsi"/>
                <w:sz w:val="24"/>
                <w:szCs w:val="24"/>
              </w:rPr>
              <w:t xml:space="preserve"> </w:t>
            </w:r>
            <w:r w:rsidRPr="00C2523C">
              <w:rPr>
                <w:rFonts w:cstheme="minorHAnsi"/>
                <w:sz w:val="24"/>
                <w:szCs w:val="24"/>
              </w:rPr>
              <w:t>komunikacja elektroniczna stanowi narzędzie powszechnie wykorzystywane w życiu codziennym</w:t>
            </w:r>
            <w:r w:rsidR="00B80DA6" w:rsidRPr="00C2523C">
              <w:rPr>
                <w:rFonts w:cstheme="minorHAnsi"/>
                <w:sz w:val="24"/>
                <w:szCs w:val="24"/>
              </w:rPr>
              <w:t xml:space="preserve"> </w:t>
            </w:r>
            <w:r w:rsidRPr="00C2523C">
              <w:rPr>
                <w:rFonts w:cstheme="minorHAnsi"/>
                <w:sz w:val="24"/>
                <w:szCs w:val="24"/>
              </w:rPr>
              <w:t>przez współczesne społeczeństwo informacyjne i penalizowane czyny mogą występować bardzo</w:t>
            </w:r>
            <w:r w:rsidR="00B80DA6" w:rsidRPr="00C2523C">
              <w:rPr>
                <w:rFonts w:cstheme="minorHAnsi"/>
                <w:sz w:val="24"/>
                <w:szCs w:val="24"/>
              </w:rPr>
              <w:t xml:space="preserve"> </w:t>
            </w:r>
            <w:r w:rsidRPr="00C2523C">
              <w:rPr>
                <w:rFonts w:cstheme="minorHAnsi"/>
                <w:sz w:val="24"/>
                <w:szCs w:val="24"/>
              </w:rPr>
              <w:t>często. Z usług dostarczanych przez przedsiębiorców telekomunikacyjnych korzysta wiele</w:t>
            </w:r>
            <w:r w:rsidR="00B80DA6" w:rsidRPr="00C2523C">
              <w:rPr>
                <w:rFonts w:cstheme="minorHAnsi"/>
                <w:sz w:val="24"/>
                <w:szCs w:val="24"/>
              </w:rPr>
              <w:t xml:space="preserve"> </w:t>
            </w:r>
            <w:r w:rsidRPr="00C2523C">
              <w:rPr>
                <w:rFonts w:cstheme="minorHAnsi"/>
                <w:sz w:val="24"/>
                <w:szCs w:val="24"/>
              </w:rPr>
              <w:t>milionów osób. Usługi te są również coraz szerzej i w sposób bardziej wyszukany</w:t>
            </w:r>
            <w:r w:rsidR="00B80DA6" w:rsidRPr="00C2523C">
              <w:rPr>
                <w:rFonts w:cstheme="minorHAnsi"/>
                <w:sz w:val="24"/>
                <w:szCs w:val="24"/>
              </w:rPr>
              <w:t xml:space="preserve"> </w:t>
            </w:r>
            <w:r w:rsidRPr="00C2523C">
              <w:rPr>
                <w:rFonts w:cstheme="minorHAnsi"/>
                <w:sz w:val="24"/>
                <w:szCs w:val="24"/>
              </w:rPr>
              <w:t>wykorzystywane przez przestępców w celu wyrządzenia szkód po stronie przedsiębiorców</w:t>
            </w:r>
            <w:r w:rsidR="00B80DA6" w:rsidRPr="00C2523C">
              <w:rPr>
                <w:rFonts w:cstheme="minorHAnsi"/>
                <w:sz w:val="24"/>
                <w:szCs w:val="24"/>
              </w:rPr>
              <w:t xml:space="preserve"> </w:t>
            </w:r>
            <w:r w:rsidRPr="00C2523C">
              <w:rPr>
                <w:rFonts w:cstheme="minorHAnsi"/>
                <w:sz w:val="24"/>
                <w:szCs w:val="24"/>
              </w:rPr>
              <w:lastRenderedPageBreak/>
              <w:t>telekomunikacyjnych, użytkowników końcowych oraz osiągnięcia nienależnych korzyści.</w:t>
            </w:r>
            <w:r w:rsidR="00B80DA6" w:rsidRPr="00C2523C">
              <w:rPr>
                <w:rFonts w:cstheme="minorHAnsi"/>
                <w:sz w:val="24"/>
                <w:szCs w:val="24"/>
              </w:rPr>
              <w:t xml:space="preserve"> </w:t>
            </w:r>
          </w:p>
          <w:p w14:paraId="3C8F1FCF" w14:textId="346F473C" w:rsidR="00FD3498" w:rsidRPr="00C2523C" w:rsidRDefault="00FD3498" w:rsidP="00FD3498">
            <w:pPr>
              <w:autoSpaceDE w:val="0"/>
              <w:autoSpaceDN w:val="0"/>
              <w:adjustRightInd w:val="0"/>
              <w:rPr>
                <w:rFonts w:cstheme="minorHAnsi"/>
                <w:b/>
                <w:bCs/>
                <w:sz w:val="24"/>
                <w:szCs w:val="24"/>
              </w:rPr>
            </w:pPr>
            <w:r w:rsidRPr="00C2523C">
              <w:rPr>
                <w:rFonts w:cstheme="minorHAnsi"/>
                <w:sz w:val="24"/>
                <w:szCs w:val="24"/>
              </w:rPr>
              <w:t>Nowe sprawy – z art. 15 projektu ustawy – trafią do SO w Warszawie – SOKiK,</w:t>
            </w:r>
            <w:r w:rsidR="00B80DA6" w:rsidRPr="00C2523C">
              <w:rPr>
                <w:rFonts w:cstheme="minorHAnsi"/>
                <w:sz w:val="24"/>
                <w:szCs w:val="24"/>
              </w:rPr>
              <w:t xml:space="preserve"> </w:t>
            </w:r>
            <w:r w:rsidRPr="00C2523C">
              <w:rPr>
                <w:rFonts w:cstheme="minorHAnsi"/>
                <w:sz w:val="24"/>
                <w:szCs w:val="24"/>
              </w:rPr>
              <w:t>a – z art. 16 projektu ustawy – do sadów rejonowych (pion karny). Zachodzi więc konieczność</w:t>
            </w:r>
            <w:r w:rsidR="00B80DA6" w:rsidRPr="00C2523C">
              <w:rPr>
                <w:rFonts w:cstheme="minorHAnsi"/>
                <w:sz w:val="24"/>
                <w:szCs w:val="24"/>
              </w:rPr>
              <w:t xml:space="preserve"> </w:t>
            </w:r>
            <w:r w:rsidRPr="00C2523C">
              <w:rPr>
                <w:rFonts w:cstheme="minorHAnsi"/>
                <w:sz w:val="24"/>
                <w:szCs w:val="24"/>
              </w:rPr>
              <w:t xml:space="preserve">zapewnienia zwiększenia potencjału kadrowego tych jednostek Znając ograniczenia budżetowe wynikające z sytuacji spowodowanej pandemią COVID-19, Ministerstwo Sprawiedliwości wnosi o przydzielenie nowych etatów do: </w:t>
            </w:r>
            <w:r w:rsidRPr="00C2523C">
              <w:rPr>
                <w:rFonts w:cstheme="minorHAnsi"/>
                <w:b/>
                <w:bCs/>
                <w:sz w:val="24"/>
                <w:szCs w:val="24"/>
              </w:rPr>
              <w:t>SOKiK w liczbie:</w:t>
            </w:r>
            <w:r w:rsidR="00B80DA6" w:rsidRPr="00C2523C">
              <w:rPr>
                <w:rFonts w:cstheme="minorHAnsi"/>
                <w:b/>
                <w:bCs/>
                <w:sz w:val="24"/>
                <w:szCs w:val="24"/>
              </w:rPr>
              <w:t xml:space="preserve"> </w:t>
            </w:r>
            <w:r w:rsidRPr="00C2523C">
              <w:rPr>
                <w:rFonts w:cstheme="minorHAnsi"/>
                <w:b/>
                <w:bCs/>
                <w:sz w:val="24"/>
                <w:szCs w:val="24"/>
              </w:rPr>
              <w:t>1 etat sędziowski, 1 etat asystencki i 2 etaty urzędnicze oraz sądów rejonowych (pion</w:t>
            </w:r>
            <w:r w:rsidR="00B80DA6" w:rsidRPr="00C2523C">
              <w:rPr>
                <w:rFonts w:cstheme="minorHAnsi"/>
                <w:b/>
                <w:bCs/>
                <w:sz w:val="24"/>
                <w:szCs w:val="24"/>
              </w:rPr>
              <w:t xml:space="preserve"> </w:t>
            </w:r>
            <w:r w:rsidRPr="00C2523C">
              <w:rPr>
                <w:rFonts w:cstheme="minorHAnsi"/>
                <w:b/>
                <w:bCs/>
                <w:sz w:val="24"/>
                <w:szCs w:val="24"/>
              </w:rPr>
              <w:t>karny) w liczbie: 5 etatów sędziowskich, 5 etatów asystenckich i 10 etatów urzędniczych.</w:t>
            </w:r>
          </w:p>
          <w:p w14:paraId="492A4001" w14:textId="03164C13" w:rsidR="00FD3498" w:rsidRPr="00C2523C" w:rsidRDefault="00FD3498" w:rsidP="00FD3498">
            <w:pPr>
              <w:autoSpaceDE w:val="0"/>
              <w:autoSpaceDN w:val="0"/>
              <w:adjustRightInd w:val="0"/>
              <w:rPr>
                <w:rFonts w:cstheme="minorHAnsi"/>
                <w:b/>
                <w:bCs/>
                <w:sz w:val="24"/>
                <w:szCs w:val="24"/>
              </w:rPr>
            </w:pPr>
            <w:r w:rsidRPr="00C2523C">
              <w:rPr>
                <w:rFonts w:cstheme="minorHAnsi"/>
                <w:sz w:val="24"/>
                <w:szCs w:val="24"/>
              </w:rPr>
              <w:t xml:space="preserve">Zaznaczenia przy tym wymaga, że nie zgłasza się potrzeb na szczeblu sądów okręgowych,choć oczywistym jest, że trafią tam odwołania od orzeczeń wydanych w I instancji. </w:t>
            </w:r>
            <w:r w:rsidRPr="00C2523C">
              <w:rPr>
                <w:rFonts w:cstheme="minorHAnsi"/>
                <w:b/>
                <w:bCs/>
                <w:sz w:val="24"/>
                <w:szCs w:val="24"/>
              </w:rPr>
              <w:t>Etatypowyższe powinny zostać uruchomione od 1 stycznia 2023 r.</w:t>
            </w:r>
          </w:p>
          <w:p w14:paraId="40B61A7A" w14:textId="77777777" w:rsidR="002E3127" w:rsidRPr="00C2523C" w:rsidRDefault="00FD3498" w:rsidP="00FD3498">
            <w:pPr>
              <w:autoSpaceDE w:val="0"/>
              <w:autoSpaceDN w:val="0"/>
              <w:adjustRightInd w:val="0"/>
              <w:rPr>
                <w:rFonts w:cstheme="minorHAnsi"/>
                <w:sz w:val="24"/>
                <w:szCs w:val="24"/>
              </w:rPr>
            </w:pPr>
            <w:r w:rsidRPr="00C2523C">
              <w:rPr>
                <w:rFonts w:cstheme="minorHAnsi"/>
                <w:sz w:val="24"/>
                <w:szCs w:val="24"/>
              </w:rPr>
              <w:t>Mając na względzie powyższe, modyfikacji wymaga OSR projektu w punkcie 4</w:t>
            </w:r>
            <w:r w:rsidR="002E3127" w:rsidRPr="00C2523C">
              <w:rPr>
                <w:rFonts w:cstheme="minorHAnsi"/>
                <w:sz w:val="24"/>
                <w:szCs w:val="24"/>
              </w:rPr>
              <w:t xml:space="preserve"> </w:t>
            </w:r>
          </w:p>
          <w:p w14:paraId="0668D677" w14:textId="25228ED7" w:rsidR="00FD3498" w:rsidRPr="00C2523C" w:rsidRDefault="00FD3498" w:rsidP="00FD3498">
            <w:pPr>
              <w:autoSpaceDE w:val="0"/>
              <w:autoSpaceDN w:val="0"/>
              <w:adjustRightInd w:val="0"/>
              <w:rPr>
                <w:rFonts w:cstheme="minorHAnsi"/>
                <w:sz w:val="24"/>
                <w:szCs w:val="24"/>
              </w:rPr>
            </w:pPr>
            <w:r w:rsidRPr="00C2523C">
              <w:rPr>
                <w:rFonts w:cstheme="minorHAnsi"/>
                <w:i/>
                <w:iCs/>
                <w:sz w:val="24"/>
                <w:szCs w:val="24"/>
              </w:rPr>
              <w:t xml:space="preserve">Podmioty, na które oddziałuje projekt </w:t>
            </w:r>
            <w:r w:rsidRPr="00C2523C">
              <w:rPr>
                <w:rFonts w:cstheme="minorHAnsi"/>
                <w:sz w:val="24"/>
                <w:szCs w:val="24"/>
              </w:rPr>
              <w:t>przez wskazanie SO w Warszawie jako podmiotu</w:t>
            </w:r>
            <w:r w:rsidR="00B80DA6" w:rsidRPr="00C2523C">
              <w:rPr>
                <w:rFonts w:cstheme="minorHAnsi"/>
                <w:sz w:val="24"/>
                <w:szCs w:val="24"/>
              </w:rPr>
              <w:t xml:space="preserve"> </w:t>
            </w:r>
            <w:r w:rsidRPr="00C2523C">
              <w:rPr>
                <w:rFonts w:cstheme="minorHAnsi"/>
                <w:sz w:val="24"/>
                <w:szCs w:val="24"/>
              </w:rPr>
              <w:t>rozpoznającego odwołania od decyzji Prezesa UKE oraz sądów powszechnych (sądy okręgowe</w:t>
            </w:r>
            <w:r w:rsidR="00B80DA6" w:rsidRPr="00C2523C">
              <w:rPr>
                <w:rFonts w:cstheme="minorHAnsi"/>
                <w:sz w:val="24"/>
                <w:szCs w:val="24"/>
              </w:rPr>
              <w:t xml:space="preserve"> </w:t>
            </w:r>
            <w:r w:rsidRPr="00C2523C">
              <w:rPr>
                <w:rFonts w:cstheme="minorHAnsi"/>
                <w:sz w:val="24"/>
                <w:szCs w:val="24"/>
              </w:rPr>
              <w:t>i sądy rejonowe) jako podmiotów rozpatrujących nowe sprawy karne.</w:t>
            </w:r>
          </w:p>
          <w:p w14:paraId="41DE5955" w14:textId="2331E5B7" w:rsidR="00FD3498" w:rsidRPr="00C2523C" w:rsidRDefault="00FD3498" w:rsidP="002E3127">
            <w:pPr>
              <w:autoSpaceDE w:val="0"/>
              <w:autoSpaceDN w:val="0"/>
              <w:adjustRightInd w:val="0"/>
              <w:rPr>
                <w:rFonts w:cstheme="minorHAnsi"/>
                <w:sz w:val="24"/>
                <w:szCs w:val="24"/>
              </w:rPr>
            </w:pPr>
            <w:r w:rsidRPr="00C2523C">
              <w:rPr>
                <w:rFonts w:cstheme="minorHAnsi"/>
                <w:sz w:val="24"/>
                <w:szCs w:val="24"/>
              </w:rPr>
              <w:t>W obu przypadkach nastąpi wzrost wpływu nowych spraw. Skutkiem powyższego konieczne</w:t>
            </w:r>
            <w:r w:rsidR="00B80DA6" w:rsidRPr="00C2523C">
              <w:rPr>
                <w:rFonts w:cstheme="minorHAnsi"/>
                <w:sz w:val="24"/>
                <w:szCs w:val="24"/>
              </w:rPr>
              <w:t xml:space="preserve"> </w:t>
            </w:r>
            <w:r w:rsidRPr="00C2523C">
              <w:rPr>
                <w:rFonts w:cstheme="minorHAnsi"/>
                <w:sz w:val="24"/>
                <w:szCs w:val="24"/>
              </w:rPr>
              <w:t xml:space="preserve">wydaje się </w:t>
            </w:r>
            <w:r w:rsidRPr="00C2523C">
              <w:rPr>
                <w:rFonts w:cstheme="minorHAnsi"/>
                <w:sz w:val="24"/>
                <w:szCs w:val="24"/>
              </w:rPr>
              <w:lastRenderedPageBreak/>
              <w:t xml:space="preserve">także uzupełnienie OSR w punkcie 6 </w:t>
            </w:r>
            <w:r w:rsidRPr="00C2523C">
              <w:rPr>
                <w:rFonts w:cstheme="minorHAnsi"/>
                <w:i/>
                <w:iCs/>
                <w:sz w:val="24"/>
                <w:szCs w:val="24"/>
              </w:rPr>
              <w:t>Wpływ na sektor finansów publicznych</w:t>
            </w:r>
            <w:r w:rsidR="00B80DA6" w:rsidRPr="00C2523C">
              <w:rPr>
                <w:rFonts w:cstheme="minorHAnsi"/>
                <w:sz w:val="24"/>
                <w:szCs w:val="24"/>
              </w:rPr>
              <w:t xml:space="preserve"> </w:t>
            </w:r>
            <w:r w:rsidRPr="00C2523C">
              <w:rPr>
                <w:rFonts w:cstheme="minorHAnsi"/>
                <w:sz w:val="24"/>
                <w:szCs w:val="24"/>
              </w:rPr>
              <w:t>i wskazanie stosownych wydatków związanych z planowanym wsparciem etatowym.</w:t>
            </w:r>
          </w:p>
        </w:tc>
        <w:tc>
          <w:tcPr>
            <w:tcW w:w="5352" w:type="dxa"/>
          </w:tcPr>
          <w:p w14:paraId="0FC9A656" w14:textId="77777777" w:rsidR="00277339" w:rsidRPr="00C2523C" w:rsidRDefault="009C3F88" w:rsidP="00277373">
            <w:pPr>
              <w:rPr>
                <w:rFonts w:cstheme="minorHAnsi"/>
                <w:b/>
                <w:sz w:val="24"/>
                <w:szCs w:val="24"/>
              </w:rPr>
            </w:pPr>
            <w:r w:rsidRPr="00C2523C">
              <w:rPr>
                <w:rFonts w:cstheme="minorHAnsi"/>
                <w:b/>
                <w:sz w:val="24"/>
                <w:szCs w:val="24"/>
              </w:rPr>
              <w:lastRenderedPageBreak/>
              <w:t>Uwaga nieuwzględniona</w:t>
            </w:r>
          </w:p>
          <w:p w14:paraId="0A15E9EC" w14:textId="13FC5451" w:rsidR="00FD3498" w:rsidRPr="00C2523C" w:rsidRDefault="00277339" w:rsidP="00277373">
            <w:pPr>
              <w:rPr>
                <w:rFonts w:cstheme="minorHAnsi"/>
                <w:sz w:val="24"/>
                <w:szCs w:val="24"/>
              </w:rPr>
            </w:pPr>
            <w:r w:rsidRPr="00C2523C">
              <w:rPr>
                <w:rFonts w:cstheme="minorHAnsi"/>
                <w:sz w:val="24"/>
                <w:szCs w:val="24"/>
              </w:rPr>
              <w:t>Przyjęte rozwiązania nie doprowadzą do istotnego wzrostu liczby spraw sądowych. W związku z tym, że dołączenie do porozumienia i jego realizacja będą wiązały się z domniemaniem wypełniania obowiązków wynikających z niniejszej ustawy</w:t>
            </w:r>
            <w:r w:rsidR="00F6523D">
              <w:rPr>
                <w:rFonts w:cstheme="minorHAnsi"/>
                <w:sz w:val="24"/>
                <w:szCs w:val="24"/>
              </w:rPr>
              <w:t>,</w:t>
            </w:r>
            <w:r w:rsidRPr="00C2523C">
              <w:rPr>
                <w:rFonts w:cstheme="minorHAnsi"/>
                <w:sz w:val="24"/>
                <w:szCs w:val="24"/>
              </w:rPr>
              <w:t xml:space="preserve"> najprawdopodobniej nie będzie wielu postępowań karnoadministracyjnych. W związku z tym nie jest konieczne wygospodarowanie nowych wydatków dla SOKIK-u. </w:t>
            </w:r>
          </w:p>
        </w:tc>
      </w:tr>
    </w:tbl>
    <w:p w14:paraId="205655D4" w14:textId="4D244A1F" w:rsidR="001B0E08" w:rsidRPr="00C2523C" w:rsidRDefault="001B0E08" w:rsidP="00D45C28">
      <w:pPr>
        <w:ind w:left="567"/>
        <w:rPr>
          <w:sz w:val="24"/>
          <w:szCs w:val="24"/>
        </w:rPr>
      </w:pPr>
    </w:p>
    <w:sectPr w:rsidR="001B0E08" w:rsidRPr="00C2523C" w:rsidSect="0082107B">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1FB47" w14:textId="77777777" w:rsidR="00F033EC" w:rsidRDefault="00F033EC" w:rsidP="00C27301">
      <w:pPr>
        <w:spacing w:after="0" w:line="240" w:lineRule="auto"/>
      </w:pPr>
      <w:r>
        <w:separator/>
      </w:r>
    </w:p>
  </w:endnote>
  <w:endnote w:type="continuationSeparator" w:id="0">
    <w:p w14:paraId="1453C94B" w14:textId="77777777" w:rsidR="00F033EC" w:rsidRDefault="00F033EC" w:rsidP="00C27301">
      <w:pPr>
        <w:spacing w:after="0" w:line="240" w:lineRule="auto"/>
      </w:pPr>
      <w:r>
        <w:continuationSeparator/>
      </w:r>
    </w:p>
  </w:endnote>
  <w:endnote w:type="continuationNotice" w:id="1">
    <w:p w14:paraId="479A5809" w14:textId="77777777" w:rsidR="00F033EC" w:rsidRDefault="00F033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C7C5D" w14:textId="77777777" w:rsidR="00537EC7" w:rsidRDefault="00537EC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785791"/>
      <w:docPartObj>
        <w:docPartGallery w:val="Page Numbers (Bottom of Page)"/>
        <w:docPartUnique/>
      </w:docPartObj>
    </w:sdtPr>
    <w:sdtEndPr/>
    <w:sdtContent>
      <w:sdt>
        <w:sdtPr>
          <w:id w:val="1728636285"/>
          <w:docPartObj>
            <w:docPartGallery w:val="Page Numbers (Top of Page)"/>
            <w:docPartUnique/>
          </w:docPartObj>
        </w:sdtPr>
        <w:sdtEndPr/>
        <w:sdtContent>
          <w:p w14:paraId="16A15D04" w14:textId="34CA190D" w:rsidR="006B3814" w:rsidRDefault="006B3814">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AB6E87">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B6E87">
              <w:rPr>
                <w:b/>
                <w:bCs/>
                <w:noProof/>
              </w:rPr>
              <w:t>9</w:t>
            </w:r>
            <w:r>
              <w:rPr>
                <w:b/>
                <w:bCs/>
                <w:sz w:val="24"/>
                <w:szCs w:val="24"/>
              </w:rPr>
              <w:fldChar w:fldCharType="end"/>
            </w:r>
          </w:p>
        </w:sdtContent>
      </w:sdt>
    </w:sdtContent>
  </w:sdt>
  <w:p w14:paraId="56FF2AEB" w14:textId="77777777" w:rsidR="006B3814" w:rsidRDefault="006B381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1BFCF" w14:textId="77777777" w:rsidR="00537EC7" w:rsidRDefault="00537EC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D39E07" w14:textId="77777777" w:rsidR="00F033EC" w:rsidRDefault="00F033EC" w:rsidP="00C27301">
      <w:pPr>
        <w:spacing w:after="0" w:line="240" w:lineRule="auto"/>
      </w:pPr>
      <w:r>
        <w:separator/>
      </w:r>
    </w:p>
  </w:footnote>
  <w:footnote w:type="continuationSeparator" w:id="0">
    <w:p w14:paraId="06F3EA78" w14:textId="77777777" w:rsidR="00F033EC" w:rsidRDefault="00F033EC" w:rsidP="00C27301">
      <w:pPr>
        <w:spacing w:after="0" w:line="240" w:lineRule="auto"/>
      </w:pPr>
      <w:r>
        <w:continuationSeparator/>
      </w:r>
    </w:p>
  </w:footnote>
  <w:footnote w:type="continuationNotice" w:id="1">
    <w:p w14:paraId="222354D6" w14:textId="77777777" w:rsidR="00F033EC" w:rsidRDefault="00F033E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5358A" w14:textId="77777777" w:rsidR="00537EC7" w:rsidRDefault="00537EC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6CD30" w14:textId="67EAEC5D" w:rsidR="006B3814" w:rsidRDefault="00537EC7" w:rsidP="00277373">
    <w:pPr>
      <w:pStyle w:val="Nagwek"/>
    </w:pPr>
    <w:r>
      <w:t>Protokół</w:t>
    </w:r>
    <w:r w:rsidR="006B3814">
      <w:t xml:space="preserve"> </w:t>
    </w:r>
    <w:r w:rsidR="00C613F8">
      <w:t xml:space="preserve">rozbieżności do </w:t>
    </w:r>
    <w:r w:rsidR="006B3814">
      <w:t>uwag zgłoszonych w ramach uzgodnień projektu ustawy o zwalczaniu nadużyć w komunikacji elektronicznej (UD402)</w:t>
    </w:r>
  </w:p>
  <w:p w14:paraId="4F1DD3DB" w14:textId="4E9F4D86" w:rsidR="006B3814" w:rsidRDefault="006B381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863D2" w14:textId="77777777" w:rsidR="00537EC7" w:rsidRDefault="00537EC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C0C0A"/>
    <w:multiLevelType w:val="hybridMultilevel"/>
    <w:tmpl w:val="3E18A6E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nsid w:val="100421AC"/>
    <w:multiLevelType w:val="hybridMultilevel"/>
    <w:tmpl w:val="FDD8F27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nsid w:val="172178D7"/>
    <w:multiLevelType w:val="hybridMultilevel"/>
    <w:tmpl w:val="42E007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nsid w:val="1ADA5C1F"/>
    <w:multiLevelType w:val="hybridMultilevel"/>
    <w:tmpl w:val="08FC1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7FA6A9F"/>
    <w:multiLevelType w:val="hybridMultilevel"/>
    <w:tmpl w:val="6670514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35292F9C"/>
    <w:multiLevelType w:val="hybridMultilevel"/>
    <w:tmpl w:val="D330871E"/>
    <w:lvl w:ilvl="0" w:tplc="2C94887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1E652C1"/>
    <w:multiLevelType w:val="hybridMultilevel"/>
    <w:tmpl w:val="DA520FAA"/>
    <w:lvl w:ilvl="0" w:tplc="0415000F">
      <w:start w:val="1"/>
      <w:numFmt w:val="decimal"/>
      <w:lvlText w:val="%1."/>
      <w:lvlJc w:val="left"/>
      <w:pPr>
        <w:ind w:left="928"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nsid w:val="4AAF7017"/>
    <w:multiLevelType w:val="hybridMultilevel"/>
    <w:tmpl w:val="CA92CBB8"/>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54C55A3E"/>
    <w:multiLevelType w:val="hybridMultilevel"/>
    <w:tmpl w:val="25ACA778"/>
    <w:lvl w:ilvl="0" w:tplc="66EC0A80">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7C72ADE"/>
    <w:multiLevelType w:val="hybridMultilevel"/>
    <w:tmpl w:val="925EA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7DA0831"/>
    <w:multiLevelType w:val="hybridMultilevel"/>
    <w:tmpl w:val="C8A63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8DC6EC1"/>
    <w:multiLevelType w:val="hybridMultilevel"/>
    <w:tmpl w:val="BD0CE8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B4B443C"/>
    <w:multiLevelType w:val="hybridMultilevel"/>
    <w:tmpl w:val="214CEC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9"/>
  </w:num>
  <w:num w:numId="3">
    <w:abstractNumId w:val="10"/>
  </w:num>
  <w:num w:numId="4">
    <w:abstractNumId w:val="8"/>
  </w:num>
  <w:num w:numId="5">
    <w:abstractNumId w:val="7"/>
  </w:num>
  <w:num w:numId="6">
    <w:abstractNumId w:val="0"/>
  </w:num>
  <w:num w:numId="7">
    <w:abstractNumId w:val="4"/>
  </w:num>
  <w:num w:numId="8">
    <w:abstractNumId w:val="1"/>
  </w:num>
  <w:num w:numId="9">
    <w:abstractNumId w:val="6"/>
  </w:num>
  <w:num w:numId="10">
    <w:abstractNumId w:val="12"/>
  </w:num>
  <w:num w:numId="11">
    <w:abstractNumId w:val="3"/>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07B"/>
    <w:rsid w:val="00005E6F"/>
    <w:rsid w:val="000118C9"/>
    <w:rsid w:val="000324E8"/>
    <w:rsid w:val="00037C15"/>
    <w:rsid w:val="00037F0D"/>
    <w:rsid w:val="00044E5E"/>
    <w:rsid w:val="00045D7E"/>
    <w:rsid w:val="00052629"/>
    <w:rsid w:val="000738D4"/>
    <w:rsid w:val="000804D8"/>
    <w:rsid w:val="0008105D"/>
    <w:rsid w:val="00081F73"/>
    <w:rsid w:val="000870D9"/>
    <w:rsid w:val="000A7CDE"/>
    <w:rsid w:val="000C58E8"/>
    <w:rsid w:val="000C710E"/>
    <w:rsid w:val="000D1253"/>
    <w:rsid w:val="000D6FD2"/>
    <w:rsid w:val="000E2F68"/>
    <w:rsid w:val="000E3009"/>
    <w:rsid w:val="000F12B9"/>
    <w:rsid w:val="000F24A5"/>
    <w:rsid w:val="000F5A44"/>
    <w:rsid w:val="001065A5"/>
    <w:rsid w:val="00106AF6"/>
    <w:rsid w:val="0011462A"/>
    <w:rsid w:val="00122880"/>
    <w:rsid w:val="0012385F"/>
    <w:rsid w:val="0012541B"/>
    <w:rsid w:val="001320FB"/>
    <w:rsid w:val="00152997"/>
    <w:rsid w:val="00162122"/>
    <w:rsid w:val="00193D20"/>
    <w:rsid w:val="001B0E08"/>
    <w:rsid w:val="001B6A6C"/>
    <w:rsid w:val="001E6847"/>
    <w:rsid w:val="001E760A"/>
    <w:rsid w:val="001F6A3F"/>
    <w:rsid w:val="002256BF"/>
    <w:rsid w:val="00225989"/>
    <w:rsid w:val="0023111C"/>
    <w:rsid w:val="00232069"/>
    <w:rsid w:val="0023384C"/>
    <w:rsid w:val="0025625B"/>
    <w:rsid w:val="002716DD"/>
    <w:rsid w:val="0027489C"/>
    <w:rsid w:val="00277339"/>
    <w:rsid w:val="00277373"/>
    <w:rsid w:val="00287CD8"/>
    <w:rsid w:val="00292FC5"/>
    <w:rsid w:val="002C1D9D"/>
    <w:rsid w:val="002C4076"/>
    <w:rsid w:val="002D004A"/>
    <w:rsid w:val="002D0851"/>
    <w:rsid w:val="002E15A0"/>
    <w:rsid w:val="002E3127"/>
    <w:rsid w:val="002E3E01"/>
    <w:rsid w:val="002E51B4"/>
    <w:rsid w:val="002F0E46"/>
    <w:rsid w:val="002F27CD"/>
    <w:rsid w:val="002F5C3C"/>
    <w:rsid w:val="0031593D"/>
    <w:rsid w:val="00317AF4"/>
    <w:rsid w:val="0034025C"/>
    <w:rsid w:val="00367A3E"/>
    <w:rsid w:val="00367F1B"/>
    <w:rsid w:val="00367F22"/>
    <w:rsid w:val="00371A56"/>
    <w:rsid w:val="00372A52"/>
    <w:rsid w:val="0038393A"/>
    <w:rsid w:val="00384BB8"/>
    <w:rsid w:val="00397D97"/>
    <w:rsid w:val="003A08E8"/>
    <w:rsid w:val="003B0DB2"/>
    <w:rsid w:val="003B3997"/>
    <w:rsid w:val="003B712B"/>
    <w:rsid w:val="003E39B7"/>
    <w:rsid w:val="003E4E3B"/>
    <w:rsid w:val="003F1900"/>
    <w:rsid w:val="003F4DC3"/>
    <w:rsid w:val="00403153"/>
    <w:rsid w:val="00407F6E"/>
    <w:rsid w:val="0041244E"/>
    <w:rsid w:val="0041274D"/>
    <w:rsid w:val="00414D1B"/>
    <w:rsid w:val="00432C25"/>
    <w:rsid w:val="00441AD4"/>
    <w:rsid w:val="00450D00"/>
    <w:rsid w:val="004676DD"/>
    <w:rsid w:val="00477495"/>
    <w:rsid w:val="0048678E"/>
    <w:rsid w:val="00496845"/>
    <w:rsid w:val="004B5968"/>
    <w:rsid w:val="004D105D"/>
    <w:rsid w:val="004D5E3E"/>
    <w:rsid w:val="004F509D"/>
    <w:rsid w:val="0050461D"/>
    <w:rsid w:val="00515523"/>
    <w:rsid w:val="00535745"/>
    <w:rsid w:val="00537EC7"/>
    <w:rsid w:val="005436B0"/>
    <w:rsid w:val="00566AE2"/>
    <w:rsid w:val="005728B4"/>
    <w:rsid w:val="00576EAA"/>
    <w:rsid w:val="005A3211"/>
    <w:rsid w:val="005B5A49"/>
    <w:rsid w:val="005C059A"/>
    <w:rsid w:val="005C323B"/>
    <w:rsid w:val="005D5C8F"/>
    <w:rsid w:val="005F0650"/>
    <w:rsid w:val="00601913"/>
    <w:rsid w:val="00604E53"/>
    <w:rsid w:val="00612A7A"/>
    <w:rsid w:val="006265DF"/>
    <w:rsid w:val="00627393"/>
    <w:rsid w:val="00632EB2"/>
    <w:rsid w:val="0063689A"/>
    <w:rsid w:val="006433AE"/>
    <w:rsid w:val="0065391B"/>
    <w:rsid w:val="006731AF"/>
    <w:rsid w:val="006A3FA5"/>
    <w:rsid w:val="006A6042"/>
    <w:rsid w:val="006B03CD"/>
    <w:rsid w:val="006B3814"/>
    <w:rsid w:val="006F35E3"/>
    <w:rsid w:val="006F63EB"/>
    <w:rsid w:val="006F773B"/>
    <w:rsid w:val="007347AD"/>
    <w:rsid w:val="00734B41"/>
    <w:rsid w:val="007662D6"/>
    <w:rsid w:val="007749C3"/>
    <w:rsid w:val="00775DEB"/>
    <w:rsid w:val="007831B6"/>
    <w:rsid w:val="00793716"/>
    <w:rsid w:val="007C7F76"/>
    <w:rsid w:val="007E0DF4"/>
    <w:rsid w:val="007E424E"/>
    <w:rsid w:val="00816A89"/>
    <w:rsid w:val="0082107B"/>
    <w:rsid w:val="00847111"/>
    <w:rsid w:val="008650B8"/>
    <w:rsid w:val="00873389"/>
    <w:rsid w:val="008A4897"/>
    <w:rsid w:val="008B14A0"/>
    <w:rsid w:val="008B3015"/>
    <w:rsid w:val="008B7D55"/>
    <w:rsid w:val="008D152C"/>
    <w:rsid w:val="008E5E8F"/>
    <w:rsid w:val="008F2809"/>
    <w:rsid w:val="008F633A"/>
    <w:rsid w:val="008F7238"/>
    <w:rsid w:val="0092449D"/>
    <w:rsid w:val="00934144"/>
    <w:rsid w:val="009369C5"/>
    <w:rsid w:val="00937913"/>
    <w:rsid w:val="00941CFE"/>
    <w:rsid w:val="009423D4"/>
    <w:rsid w:val="009606E6"/>
    <w:rsid w:val="00962B9B"/>
    <w:rsid w:val="0097514C"/>
    <w:rsid w:val="00975CCE"/>
    <w:rsid w:val="0098136B"/>
    <w:rsid w:val="00982491"/>
    <w:rsid w:val="009951F0"/>
    <w:rsid w:val="009961FC"/>
    <w:rsid w:val="009A1A9A"/>
    <w:rsid w:val="009A4D89"/>
    <w:rsid w:val="009B3293"/>
    <w:rsid w:val="009B5E41"/>
    <w:rsid w:val="009C3F88"/>
    <w:rsid w:val="009F79B6"/>
    <w:rsid w:val="00A1331D"/>
    <w:rsid w:val="00A21849"/>
    <w:rsid w:val="00A254F0"/>
    <w:rsid w:val="00A369F9"/>
    <w:rsid w:val="00A77E68"/>
    <w:rsid w:val="00A830EC"/>
    <w:rsid w:val="00A94D70"/>
    <w:rsid w:val="00A978D6"/>
    <w:rsid w:val="00AB0F68"/>
    <w:rsid w:val="00AB6C72"/>
    <w:rsid w:val="00AB6E87"/>
    <w:rsid w:val="00AC33F8"/>
    <w:rsid w:val="00AC395F"/>
    <w:rsid w:val="00AC54D9"/>
    <w:rsid w:val="00AD2F7E"/>
    <w:rsid w:val="00AD3508"/>
    <w:rsid w:val="00AD358C"/>
    <w:rsid w:val="00AE3323"/>
    <w:rsid w:val="00AF5537"/>
    <w:rsid w:val="00B01A5C"/>
    <w:rsid w:val="00B16724"/>
    <w:rsid w:val="00B21CB5"/>
    <w:rsid w:val="00B23E2D"/>
    <w:rsid w:val="00B32934"/>
    <w:rsid w:val="00B33734"/>
    <w:rsid w:val="00B41EC6"/>
    <w:rsid w:val="00B51DF9"/>
    <w:rsid w:val="00B55C47"/>
    <w:rsid w:val="00B80DA6"/>
    <w:rsid w:val="00B83344"/>
    <w:rsid w:val="00BA54DC"/>
    <w:rsid w:val="00BA5B05"/>
    <w:rsid w:val="00BB1B35"/>
    <w:rsid w:val="00BB350E"/>
    <w:rsid w:val="00BC09FF"/>
    <w:rsid w:val="00BD3E38"/>
    <w:rsid w:val="00BD6F16"/>
    <w:rsid w:val="00BE3D26"/>
    <w:rsid w:val="00BF24F1"/>
    <w:rsid w:val="00BF6664"/>
    <w:rsid w:val="00BF72A3"/>
    <w:rsid w:val="00BF7688"/>
    <w:rsid w:val="00C01318"/>
    <w:rsid w:val="00C1366D"/>
    <w:rsid w:val="00C2040B"/>
    <w:rsid w:val="00C2523C"/>
    <w:rsid w:val="00C27301"/>
    <w:rsid w:val="00C37DCA"/>
    <w:rsid w:val="00C404F1"/>
    <w:rsid w:val="00C52567"/>
    <w:rsid w:val="00C613F8"/>
    <w:rsid w:val="00C62D8F"/>
    <w:rsid w:val="00C66D66"/>
    <w:rsid w:val="00C715F5"/>
    <w:rsid w:val="00C760ED"/>
    <w:rsid w:val="00C82EF6"/>
    <w:rsid w:val="00CA2991"/>
    <w:rsid w:val="00CB7A00"/>
    <w:rsid w:val="00D1493C"/>
    <w:rsid w:val="00D31719"/>
    <w:rsid w:val="00D45C28"/>
    <w:rsid w:val="00D50203"/>
    <w:rsid w:val="00D50AB9"/>
    <w:rsid w:val="00D51B7C"/>
    <w:rsid w:val="00D65D15"/>
    <w:rsid w:val="00D679FB"/>
    <w:rsid w:val="00D81955"/>
    <w:rsid w:val="00D94209"/>
    <w:rsid w:val="00DB0CA0"/>
    <w:rsid w:val="00DC3FD6"/>
    <w:rsid w:val="00DC70D7"/>
    <w:rsid w:val="00DD23E0"/>
    <w:rsid w:val="00DD5823"/>
    <w:rsid w:val="00DD7BBF"/>
    <w:rsid w:val="00DE5070"/>
    <w:rsid w:val="00DE552E"/>
    <w:rsid w:val="00DF7442"/>
    <w:rsid w:val="00E05107"/>
    <w:rsid w:val="00E43CE8"/>
    <w:rsid w:val="00E546F1"/>
    <w:rsid w:val="00E55299"/>
    <w:rsid w:val="00E709E0"/>
    <w:rsid w:val="00E76B86"/>
    <w:rsid w:val="00E804DD"/>
    <w:rsid w:val="00E8209D"/>
    <w:rsid w:val="00E834F2"/>
    <w:rsid w:val="00EA0922"/>
    <w:rsid w:val="00EB22BE"/>
    <w:rsid w:val="00EB49C9"/>
    <w:rsid w:val="00EF167D"/>
    <w:rsid w:val="00EF2837"/>
    <w:rsid w:val="00EF641D"/>
    <w:rsid w:val="00EF7DB3"/>
    <w:rsid w:val="00F033EC"/>
    <w:rsid w:val="00F23C3F"/>
    <w:rsid w:val="00F30E67"/>
    <w:rsid w:val="00F36BB1"/>
    <w:rsid w:val="00F46B3A"/>
    <w:rsid w:val="00F6523D"/>
    <w:rsid w:val="00F70F25"/>
    <w:rsid w:val="00F72240"/>
    <w:rsid w:val="00F81138"/>
    <w:rsid w:val="00F85D88"/>
    <w:rsid w:val="00F86531"/>
    <w:rsid w:val="00F9657A"/>
    <w:rsid w:val="00F9706F"/>
    <w:rsid w:val="00FA349D"/>
    <w:rsid w:val="00FB0779"/>
    <w:rsid w:val="00FB3B85"/>
    <w:rsid w:val="00FB6A70"/>
    <w:rsid w:val="00FC074A"/>
    <w:rsid w:val="00FC3DB7"/>
    <w:rsid w:val="00FC5C6C"/>
    <w:rsid w:val="00FD071B"/>
    <w:rsid w:val="00FD3498"/>
    <w:rsid w:val="00FD7DAE"/>
    <w:rsid w:val="00FF306D"/>
    <w:rsid w:val="00FF700D"/>
    <w:rsid w:val="00FF75C7"/>
    <w:rsid w:val="032CF98C"/>
    <w:rsid w:val="161DC1A8"/>
    <w:rsid w:val="1CB1032B"/>
    <w:rsid w:val="1FECE98F"/>
    <w:rsid w:val="31655D42"/>
    <w:rsid w:val="3E504C65"/>
    <w:rsid w:val="40D3739E"/>
    <w:rsid w:val="413793B8"/>
    <w:rsid w:val="481C49FC"/>
    <w:rsid w:val="5B6B1444"/>
    <w:rsid w:val="65C1F17E"/>
    <w:rsid w:val="6EC23498"/>
    <w:rsid w:val="748EAEA8"/>
    <w:rsid w:val="75CB5906"/>
    <w:rsid w:val="7E31C6CE"/>
    <w:rsid w:val="7F591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FAB77"/>
  <w15:chartTrackingRefBased/>
  <w15:docId w15:val="{F269B41E-6454-46B3-A331-2E0976F6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09FF"/>
  </w:style>
  <w:style w:type="paragraph" w:styleId="Nagwek1">
    <w:name w:val="heading 1"/>
    <w:basedOn w:val="Normalny"/>
    <w:next w:val="Normalny"/>
    <w:link w:val="Nagwek1Znak"/>
    <w:qFormat/>
    <w:rsid w:val="005C323B"/>
    <w:pPr>
      <w:keepNext/>
      <w:spacing w:after="0" w:line="240" w:lineRule="auto"/>
      <w:jc w:val="both"/>
      <w:outlineLvl w:val="0"/>
    </w:pPr>
    <w:rPr>
      <w:rFonts w:eastAsia="Times New Roman" w:cs="Times New Roman"/>
      <w:sz w:val="24"/>
      <w:szCs w:val="20"/>
      <w:lang w:eastAsia="pl-PL"/>
    </w:rPr>
  </w:style>
  <w:style w:type="paragraph" w:styleId="Nagwek2">
    <w:name w:val="heading 2"/>
    <w:basedOn w:val="Normalny"/>
    <w:next w:val="Normalny"/>
    <w:link w:val="Nagwek2Znak"/>
    <w:autoRedefine/>
    <w:qFormat/>
    <w:rsid w:val="001E6847"/>
    <w:pPr>
      <w:keepNext/>
      <w:spacing w:after="0" w:line="240" w:lineRule="auto"/>
      <w:jc w:val="center"/>
      <w:outlineLvl w:val="1"/>
    </w:pPr>
    <w:rPr>
      <w:rFonts w:eastAsia="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C323B"/>
    <w:rPr>
      <w:rFonts w:eastAsia="Times New Roman" w:cs="Times New Roman"/>
      <w:sz w:val="24"/>
      <w:szCs w:val="20"/>
      <w:lang w:eastAsia="pl-PL"/>
    </w:rPr>
  </w:style>
  <w:style w:type="character" w:customStyle="1" w:styleId="Nagwek2Znak">
    <w:name w:val="Nagłówek 2 Znak"/>
    <w:basedOn w:val="Domylnaczcionkaakapitu"/>
    <w:link w:val="Nagwek2"/>
    <w:rsid w:val="001E6847"/>
    <w:rPr>
      <w:rFonts w:eastAsia="Times New Roman" w:cs="Times New Roman"/>
      <w:b/>
      <w:sz w:val="28"/>
      <w:szCs w:val="20"/>
      <w:lang w:eastAsia="pl-PL"/>
    </w:rPr>
  </w:style>
  <w:style w:type="table" w:styleId="Tabela-Siatka">
    <w:name w:val="Table Grid"/>
    <w:basedOn w:val="Standardowy"/>
    <w:uiPriority w:val="39"/>
    <w:rsid w:val="008210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82107B"/>
    <w:pPr>
      <w:spacing w:line="252" w:lineRule="auto"/>
      <w:ind w:left="720"/>
      <w:contextualSpacing/>
    </w:pPr>
    <w:rPr>
      <w:rFonts w:ascii="Calibri" w:hAnsi="Calibri" w:cs="Calibri"/>
    </w:rPr>
  </w:style>
  <w:style w:type="paragraph" w:customStyle="1" w:styleId="ZROZDZODDZOZNzmoznrozdzoddzartykuempunktem">
    <w:name w:val="Z/ROZDZ(ODDZ)_OZN – zm. ozn. rozdz. (oddz.) artykułem (punktem)"/>
    <w:next w:val="Normalny"/>
    <w:uiPriority w:val="29"/>
    <w:qFormat/>
    <w:rsid w:val="0082107B"/>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ZPKTzmpktartykuempunktem">
    <w:name w:val="Z/PKT – zm. pkt artykułem (punktem)"/>
    <w:basedOn w:val="Normalny"/>
    <w:uiPriority w:val="31"/>
    <w:qFormat/>
    <w:rsid w:val="0082107B"/>
    <w:pPr>
      <w:spacing w:after="0" w:line="360" w:lineRule="auto"/>
      <w:ind w:left="1020" w:hanging="510"/>
      <w:jc w:val="both"/>
    </w:pPr>
    <w:rPr>
      <w:rFonts w:ascii="Times" w:eastAsiaTheme="minorEastAsia" w:hAnsi="Times" w:cs="Arial"/>
      <w:bCs/>
      <w:sz w:val="24"/>
      <w:szCs w:val="20"/>
      <w:lang w:eastAsia="pl-PL"/>
    </w:rPr>
  </w:style>
  <w:style w:type="paragraph" w:customStyle="1" w:styleId="ZARTzmartartykuempunktem">
    <w:name w:val="Z/ART(§) – zm. art. (§) artykułem (punktem)"/>
    <w:basedOn w:val="Normalny"/>
    <w:uiPriority w:val="30"/>
    <w:qFormat/>
    <w:rsid w:val="0082107B"/>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USTzmustartykuempunktem">
    <w:name w:val="Z/UST(§) – zm. ust. (§) artykułem (punktem)"/>
    <w:basedOn w:val="ZARTzmartartykuempunktem"/>
    <w:uiPriority w:val="30"/>
    <w:qFormat/>
    <w:rsid w:val="0082107B"/>
  </w:style>
  <w:style w:type="paragraph" w:customStyle="1" w:styleId="ZLITzmlitartykuempunktem">
    <w:name w:val="Z/LIT – zm. lit. artykułem (punktem)"/>
    <w:basedOn w:val="Normalny"/>
    <w:uiPriority w:val="32"/>
    <w:qFormat/>
    <w:rsid w:val="0082107B"/>
    <w:pPr>
      <w:spacing w:after="0" w:line="360" w:lineRule="auto"/>
      <w:ind w:left="986" w:hanging="476"/>
      <w:jc w:val="both"/>
    </w:pPr>
    <w:rPr>
      <w:rFonts w:ascii="Times" w:eastAsiaTheme="minorEastAsia" w:hAnsi="Times" w:cs="Arial"/>
      <w:bCs/>
      <w:sz w:val="24"/>
      <w:szCs w:val="20"/>
      <w:lang w:eastAsia="pl-PL"/>
    </w:rPr>
  </w:style>
  <w:style w:type="character" w:customStyle="1" w:styleId="IGindeksgrny">
    <w:name w:val="_IG_ – indeks górny"/>
    <w:basedOn w:val="Domylnaczcionkaakapitu"/>
    <w:uiPriority w:val="2"/>
    <w:qFormat/>
    <w:rsid w:val="009423D4"/>
    <w:rPr>
      <w:b w:val="0"/>
      <w:i w:val="0"/>
      <w:vanish w:val="0"/>
      <w:spacing w:val="0"/>
      <w:vertAlign w:val="superscript"/>
    </w:rPr>
  </w:style>
  <w:style w:type="character" w:styleId="Odwoaniedokomentarza">
    <w:name w:val="annotation reference"/>
    <w:basedOn w:val="Domylnaczcionkaakapitu"/>
    <w:uiPriority w:val="99"/>
    <w:unhideWhenUsed/>
    <w:rsid w:val="00367F22"/>
    <w:rPr>
      <w:sz w:val="16"/>
      <w:szCs w:val="16"/>
    </w:rPr>
  </w:style>
  <w:style w:type="paragraph" w:styleId="Tekstkomentarza">
    <w:name w:val="annotation text"/>
    <w:basedOn w:val="Normalny"/>
    <w:link w:val="TekstkomentarzaZnak"/>
    <w:uiPriority w:val="99"/>
    <w:unhideWhenUsed/>
    <w:qFormat/>
    <w:rsid w:val="00367F22"/>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367F22"/>
    <w:rPr>
      <w:sz w:val="20"/>
      <w:szCs w:val="20"/>
    </w:rPr>
  </w:style>
  <w:style w:type="paragraph" w:styleId="Tematkomentarza">
    <w:name w:val="annotation subject"/>
    <w:basedOn w:val="Tekstkomentarza"/>
    <w:next w:val="Tekstkomentarza"/>
    <w:link w:val="TematkomentarzaZnak"/>
    <w:uiPriority w:val="99"/>
    <w:semiHidden/>
    <w:unhideWhenUsed/>
    <w:rsid w:val="00367F22"/>
    <w:rPr>
      <w:b/>
      <w:bCs/>
    </w:rPr>
  </w:style>
  <w:style w:type="character" w:customStyle="1" w:styleId="TematkomentarzaZnak">
    <w:name w:val="Temat komentarza Znak"/>
    <w:basedOn w:val="TekstkomentarzaZnak"/>
    <w:link w:val="Tematkomentarza"/>
    <w:uiPriority w:val="99"/>
    <w:semiHidden/>
    <w:rsid w:val="00367F22"/>
    <w:rPr>
      <w:b/>
      <w:bCs/>
      <w:sz w:val="20"/>
      <w:szCs w:val="20"/>
    </w:rPr>
  </w:style>
  <w:style w:type="paragraph" w:styleId="Tekstdymka">
    <w:name w:val="Balloon Text"/>
    <w:basedOn w:val="Normalny"/>
    <w:link w:val="TekstdymkaZnak"/>
    <w:uiPriority w:val="99"/>
    <w:semiHidden/>
    <w:unhideWhenUsed/>
    <w:rsid w:val="00367F2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7F22"/>
    <w:rPr>
      <w:rFonts w:ascii="Segoe UI" w:hAnsi="Segoe UI" w:cs="Segoe UI"/>
      <w:sz w:val="18"/>
      <w:szCs w:val="18"/>
    </w:rPr>
  </w:style>
  <w:style w:type="paragraph" w:styleId="Nagwek">
    <w:name w:val="header"/>
    <w:basedOn w:val="Normalny"/>
    <w:link w:val="NagwekZnak"/>
    <w:uiPriority w:val="99"/>
    <w:unhideWhenUsed/>
    <w:rsid w:val="00C273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7301"/>
  </w:style>
  <w:style w:type="paragraph" w:styleId="Stopka">
    <w:name w:val="footer"/>
    <w:basedOn w:val="Normalny"/>
    <w:link w:val="StopkaZnak"/>
    <w:uiPriority w:val="99"/>
    <w:unhideWhenUsed/>
    <w:rsid w:val="00C273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7301"/>
  </w:style>
  <w:style w:type="paragraph" w:styleId="Tekstprzypisukocowego">
    <w:name w:val="endnote text"/>
    <w:basedOn w:val="Normalny"/>
    <w:link w:val="TekstprzypisukocowegoZnak"/>
    <w:uiPriority w:val="99"/>
    <w:semiHidden/>
    <w:unhideWhenUsed/>
    <w:rsid w:val="0012541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2541B"/>
    <w:rPr>
      <w:sz w:val="20"/>
      <w:szCs w:val="20"/>
    </w:rPr>
  </w:style>
  <w:style w:type="character" w:styleId="Odwoanieprzypisukocowego">
    <w:name w:val="endnote reference"/>
    <w:basedOn w:val="Domylnaczcionkaakapitu"/>
    <w:uiPriority w:val="99"/>
    <w:semiHidden/>
    <w:unhideWhenUsed/>
    <w:rsid w:val="0012541B"/>
    <w:rPr>
      <w:vertAlign w:val="superscript"/>
    </w:rPr>
  </w:style>
  <w:style w:type="paragraph" w:styleId="NormalnyWeb">
    <w:name w:val="Normal (Web)"/>
    <w:basedOn w:val="Normalny"/>
    <w:uiPriority w:val="99"/>
    <w:semiHidden/>
    <w:unhideWhenUsed/>
    <w:rsid w:val="0079371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B6C7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B6C72"/>
    <w:rPr>
      <w:sz w:val="20"/>
      <w:szCs w:val="20"/>
    </w:rPr>
  </w:style>
  <w:style w:type="character" w:styleId="Odwoanieprzypisudolnego">
    <w:name w:val="footnote reference"/>
    <w:basedOn w:val="Domylnaczcionkaakapitu"/>
    <w:uiPriority w:val="99"/>
    <w:semiHidden/>
    <w:unhideWhenUsed/>
    <w:rsid w:val="00AB6C72"/>
    <w:rPr>
      <w:vertAlign w:val="superscript"/>
    </w:rPr>
  </w:style>
  <w:style w:type="character" w:styleId="Hipercze">
    <w:name w:val="Hyperlink"/>
    <w:basedOn w:val="Domylnaczcionkaakapitu"/>
    <w:uiPriority w:val="99"/>
    <w:unhideWhenUsed/>
    <w:rsid w:val="00AB6C72"/>
    <w:rPr>
      <w:color w:val="0563C1" w:themeColor="hyperlink"/>
      <w:u w:val="single"/>
    </w:rPr>
  </w:style>
  <w:style w:type="paragraph" w:styleId="Poprawka">
    <w:name w:val="Revision"/>
    <w:hidden/>
    <w:uiPriority w:val="99"/>
    <w:semiHidden/>
    <w:rsid w:val="00477495"/>
    <w:pPr>
      <w:spacing w:after="0" w:line="240" w:lineRule="auto"/>
    </w:pPr>
  </w:style>
  <w:style w:type="character" w:customStyle="1" w:styleId="Teksttreci">
    <w:name w:val="Tekst treści_"/>
    <w:basedOn w:val="Domylnaczcionkaakapitu"/>
    <w:link w:val="Teksttreci0"/>
    <w:locked/>
    <w:rsid w:val="00DD23E0"/>
    <w:rPr>
      <w:shd w:val="clear" w:color="auto" w:fill="FFFFFF"/>
    </w:rPr>
  </w:style>
  <w:style w:type="paragraph" w:customStyle="1" w:styleId="Teksttreci0">
    <w:name w:val="Tekst treści"/>
    <w:basedOn w:val="Normalny"/>
    <w:link w:val="Teksttreci"/>
    <w:rsid w:val="00DD23E0"/>
    <w:pPr>
      <w:widowControl w:val="0"/>
      <w:shd w:val="clear" w:color="auto" w:fill="FFFFFF"/>
      <w:spacing w:after="0" w:line="300" w:lineRule="auto"/>
      <w:ind w:firstLine="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187497">
      <w:bodyDiv w:val="1"/>
      <w:marLeft w:val="0"/>
      <w:marRight w:val="0"/>
      <w:marTop w:val="0"/>
      <w:marBottom w:val="0"/>
      <w:divBdr>
        <w:top w:val="none" w:sz="0" w:space="0" w:color="auto"/>
        <w:left w:val="none" w:sz="0" w:space="0" w:color="auto"/>
        <w:bottom w:val="none" w:sz="0" w:space="0" w:color="auto"/>
        <w:right w:val="none" w:sz="0" w:space="0" w:color="auto"/>
      </w:divBdr>
    </w:div>
    <w:div w:id="1002053744">
      <w:bodyDiv w:val="1"/>
      <w:marLeft w:val="0"/>
      <w:marRight w:val="0"/>
      <w:marTop w:val="0"/>
      <w:marBottom w:val="0"/>
      <w:divBdr>
        <w:top w:val="none" w:sz="0" w:space="0" w:color="auto"/>
        <w:left w:val="none" w:sz="0" w:space="0" w:color="auto"/>
        <w:bottom w:val="none" w:sz="0" w:space="0" w:color="auto"/>
        <w:right w:val="none" w:sz="0" w:space="0" w:color="auto"/>
      </w:divBdr>
      <w:divsChild>
        <w:div w:id="2001036857">
          <w:marLeft w:val="0"/>
          <w:marRight w:val="0"/>
          <w:marTop w:val="0"/>
          <w:marBottom w:val="0"/>
          <w:divBdr>
            <w:top w:val="none" w:sz="0" w:space="0" w:color="auto"/>
            <w:left w:val="none" w:sz="0" w:space="0" w:color="auto"/>
            <w:bottom w:val="none" w:sz="0" w:space="0" w:color="auto"/>
            <w:right w:val="none" w:sz="0" w:space="0" w:color="auto"/>
          </w:divBdr>
        </w:div>
      </w:divsChild>
    </w:div>
    <w:div w:id="1146819127">
      <w:bodyDiv w:val="1"/>
      <w:marLeft w:val="0"/>
      <w:marRight w:val="0"/>
      <w:marTop w:val="0"/>
      <w:marBottom w:val="0"/>
      <w:divBdr>
        <w:top w:val="none" w:sz="0" w:space="0" w:color="auto"/>
        <w:left w:val="none" w:sz="0" w:space="0" w:color="auto"/>
        <w:bottom w:val="none" w:sz="0" w:space="0" w:color="auto"/>
        <w:right w:val="none" w:sz="0" w:space="0" w:color="auto"/>
      </w:divBdr>
    </w:div>
    <w:div w:id="1210149597">
      <w:bodyDiv w:val="1"/>
      <w:marLeft w:val="0"/>
      <w:marRight w:val="0"/>
      <w:marTop w:val="0"/>
      <w:marBottom w:val="0"/>
      <w:divBdr>
        <w:top w:val="none" w:sz="0" w:space="0" w:color="auto"/>
        <w:left w:val="none" w:sz="0" w:space="0" w:color="auto"/>
        <w:bottom w:val="none" w:sz="0" w:space="0" w:color="auto"/>
        <w:right w:val="none" w:sz="0" w:space="0" w:color="auto"/>
      </w:divBdr>
    </w:div>
    <w:div w:id="1283462724">
      <w:bodyDiv w:val="1"/>
      <w:marLeft w:val="0"/>
      <w:marRight w:val="0"/>
      <w:marTop w:val="0"/>
      <w:marBottom w:val="0"/>
      <w:divBdr>
        <w:top w:val="none" w:sz="0" w:space="0" w:color="auto"/>
        <w:left w:val="none" w:sz="0" w:space="0" w:color="auto"/>
        <w:bottom w:val="none" w:sz="0" w:space="0" w:color="auto"/>
        <w:right w:val="none" w:sz="0" w:space="0" w:color="auto"/>
      </w:divBdr>
      <w:divsChild>
        <w:div w:id="1446921016">
          <w:marLeft w:val="0"/>
          <w:marRight w:val="0"/>
          <w:marTop w:val="0"/>
          <w:marBottom w:val="0"/>
          <w:divBdr>
            <w:top w:val="none" w:sz="0" w:space="0" w:color="auto"/>
            <w:left w:val="none" w:sz="0" w:space="0" w:color="auto"/>
            <w:bottom w:val="none" w:sz="0" w:space="0" w:color="auto"/>
            <w:right w:val="none" w:sz="0" w:space="0" w:color="auto"/>
          </w:divBdr>
        </w:div>
      </w:divsChild>
    </w:div>
    <w:div w:id="1358509532">
      <w:bodyDiv w:val="1"/>
      <w:marLeft w:val="0"/>
      <w:marRight w:val="0"/>
      <w:marTop w:val="0"/>
      <w:marBottom w:val="0"/>
      <w:divBdr>
        <w:top w:val="none" w:sz="0" w:space="0" w:color="auto"/>
        <w:left w:val="none" w:sz="0" w:space="0" w:color="auto"/>
        <w:bottom w:val="none" w:sz="0" w:space="0" w:color="auto"/>
        <w:right w:val="none" w:sz="0" w:space="0" w:color="auto"/>
      </w:divBdr>
    </w:div>
    <w:div w:id="1857037535">
      <w:bodyDiv w:val="1"/>
      <w:marLeft w:val="0"/>
      <w:marRight w:val="0"/>
      <w:marTop w:val="0"/>
      <w:marBottom w:val="0"/>
      <w:divBdr>
        <w:top w:val="none" w:sz="0" w:space="0" w:color="auto"/>
        <w:left w:val="none" w:sz="0" w:space="0" w:color="auto"/>
        <w:bottom w:val="none" w:sz="0" w:space="0" w:color="auto"/>
        <w:right w:val="none" w:sz="0" w:space="0" w:color="auto"/>
      </w:divBdr>
      <w:divsChild>
        <w:div w:id="1468814013">
          <w:marLeft w:val="0"/>
          <w:marRight w:val="0"/>
          <w:marTop w:val="0"/>
          <w:marBottom w:val="0"/>
          <w:divBdr>
            <w:top w:val="none" w:sz="0" w:space="0" w:color="auto"/>
            <w:left w:val="none" w:sz="0" w:space="0" w:color="auto"/>
            <w:bottom w:val="none" w:sz="0" w:space="0" w:color="auto"/>
            <w:right w:val="none" w:sz="0" w:space="0" w:color="auto"/>
          </w:divBdr>
        </w:div>
        <w:div w:id="847140335">
          <w:marLeft w:val="0"/>
          <w:marRight w:val="0"/>
          <w:marTop w:val="0"/>
          <w:marBottom w:val="0"/>
          <w:divBdr>
            <w:top w:val="none" w:sz="0" w:space="0" w:color="auto"/>
            <w:left w:val="none" w:sz="0" w:space="0" w:color="auto"/>
            <w:bottom w:val="none" w:sz="0" w:space="0" w:color="auto"/>
            <w:right w:val="none" w:sz="0" w:space="0" w:color="auto"/>
          </w:divBdr>
        </w:div>
        <w:div w:id="1642422135">
          <w:marLeft w:val="0"/>
          <w:marRight w:val="0"/>
          <w:marTop w:val="0"/>
          <w:marBottom w:val="0"/>
          <w:divBdr>
            <w:top w:val="none" w:sz="0" w:space="0" w:color="auto"/>
            <w:left w:val="none" w:sz="0" w:space="0" w:color="auto"/>
            <w:bottom w:val="none" w:sz="0" w:space="0" w:color="auto"/>
            <w:right w:val="none" w:sz="0" w:space="0" w:color="auto"/>
          </w:divBdr>
        </w:div>
        <w:div w:id="87503923">
          <w:marLeft w:val="0"/>
          <w:marRight w:val="0"/>
          <w:marTop w:val="0"/>
          <w:marBottom w:val="0"/>
          <w:divBdr>
            <w:top w:val="none" w:sz="0" w:space="0" w:color="auto"/>
            <w:left w:val="none" w:sz="0" w:space="0" w:color="auto"/>
            <w:bottom w:val="none" w:sz="0" w:space="0" w:color="auto"/>
            <w:right w:val="none" w:sz="0" w:space="0" w:color="auto"/>
          </w:divBdr>
        </w:div>
        <w:div w:id="426929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bf41241-5b92-4058-8568-013744b84d7f">
      <UserInfo>
        <DisplayName>Cieszyński Janusz</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02A25-4DD9-48B1-8FE7-AD8110D0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6BE5F0-7DEB-4D3E-9C9D-2362E8C9830C}">
  <ds:schemaRefs>
    <ds:schemaRef ds:uri="http://schemas.microsoft.com/office/2006/metadata/properties"/>
    <ds:schemaRef ds:uri="http://schemas.microsoft.com/office/infopath/2007/PartnerControls"/>
    <ds:schemaRef ds:uri="0bf41241-5b92-4058-8568-013744b84d7f"/>
  </ds:schemaRefs>
</ds:datastoreItem>
</file>

<file path=customXml/itemProps3.xml><?xml version="1.0" encoding="utf-8"?>
<ds:datastoreItem xmlns:ds="http://schemas.openxmlformats.org/officeDocument/2006/customXml" ds:itemID="{9818CA34-D71B-4F02-9D92-B1058FC21FC1}">
  <ds:schemaRefs>
    <ds:schemaRef ds:uri="http://schemas.microsoft.com/sharepoint/v3/contenttype/forms"/>
  </ds:schemaRefs>
</ds:datastoreItem>
</file>

<file path=customXml/itemProps4.xml><?xml version="1.0" encoding="utf-8"?>
<ds:datastoreItem xmlns:ds="http://schemas.openxmlformats.org/officeDocument/2006/customXml" ds:itemID="{3D9D6A07-F73C-44AC-911E-80EFBD0BD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2006</Words>
  <Characters>12042</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Przybylski Przemysław</dc:creator>
  <cp:keywords/>
  <dc:description/>
  <cp:lastModifiedBy>Sadowska Agnieszka</cp:lastModifiedBy>
  <cp:revision>2</cp:revision>
  <dcterms:created xsi:type="dcterms:W3CDTF">2022-10-07T12:22:00Z</dcterms:created>
  <dcterms:modified xsi:type="dcterms:W3CDTF">2022-10-07T12:22:00Z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