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1FD06213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Specjalistycznego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</w:p>
    <w:p w14:paraId="07D902AB" w14:textId="5357420A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Jeleniej Górze</w:t>
      </w:r>
    </w:p>
    <w:bookmarkEnd w:id="0"/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71F1906B" w:rsidR="00A14B33" w:rsidRDefault="00092FD2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ul. </w:t>
      </w:r>
      <w:r w:rsidR="0008586B">
        <w:rPr>
          <w:rFonts w:ascii="Lato" w:hAnsi="Lato" w:cstheme="minorHAnsi"/>
          <w:sz w:val="22"/>
          <w:szCs w:val="22"/>
        </w:rPr>
        <w:t>Cieplicka 69/71, 58-560 Jelenia Góra</w:t>
      </w:r>
      <w:r w:rsidR="00A14B33" w:rsidRPr="00A14B33">
        <w:rPr>
          <w:rFonts w:ascii="Lato" w:hAnsi="Lato" w:cstheme="minorHAnsi"/>
          <w:sz w:val="22"/>
          <w:szCs w:val="22"/>
        </w:rPr>
        <w:t xml:space="preserve"> </w:t>
      </w:r>
    </w:p>
    <w:p w14:paraId="2BF4DE73" w14:textId="540BF7A3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932DE7">
        <w:rPr>
          <w:rFonts w:ascii="Lato" w:hAnsi="Lato" w:cstheme="minorHAnsi"/>
          <w:sz w:val="22"/>
          <w:szCs w:val="22"/>
        </w:rPr>
        <w:t>4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5EB15FE9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>Szpitala Specjalistycznego Ministerstwa Spraw Wewnętrznych i Administracji w Jeleniej Górze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360BB2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AD320D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0F96F9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D320D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43318A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DA336C">
        <w:rPr>
          <w:rFonts w:ascii="Lato" w:eastAsia="Times New Roman" w:hAnsi="Lato" w:cstheme="minorHAnsi"/>
          <w:lang w:eastAsia="pl-PL"/>
        </w:rPr>
        <w:t xml:space="preserve">Szpitala Specjalistycznego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Ministerstwa Spraw Wewnętrznych i Administracji </w:t>
      </w:r>
      <w:r w:rsidR="00DA336C">
        <w:rPr>
          <w:rFonts w:ascii="Lato" w:eastAsia="Times New Roman" w:hAnsi="Lato" w:cstheme="minorHAnsi"/>
          <w:lang w:eastAsia="pl-PL"/>
        </w:rPr>
        <w:t>w Jeleniej Górze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77777777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759C8F7B" w:rsidR="00C17449" w:rsidRPr="00FB7513" w:rsidRDefault="00DA336C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w Jeleniej Górze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6C7B92D0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590B49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12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3ED39342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246789E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Szpitala Specjalistycznego Ministerstwa Spraw Wewnętrznych i Administracji </w:t>
      </w:r>
      <w:r>
        <w:rPr>
          <w:rFonts w:ascii="Calibri" w:hAnsi="Calibri"/>
          <w:i/>
          <w:color w:val="000000"/>
          <w:sz w:val="18"/>
          <w:szCs w:val="18"/>
        </w:rPr>
        <w:br/>
        <w:t>w Jeleniej Górze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9128A9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dyrektora Samodzielnego Publicznego Zakładu Opieki Zdrowotnej Szpitala Specjalistycznego Ministerstwa Spraw Wewnętrznych i Administracji w Jeleniej Górze.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2941A7D0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(Dz. 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AD320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7C3A96D8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AD32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Szpitala Specjalistycznego Ministerstwa Spraw Wewnętrznych i Administracji w Jeleniej Górze.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6A53BB34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AD320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1EB9F" w14:textId="77777777" w:rsidR="003276D7" w:rsidRDefault="003276D7" w:rsidP="00F15B1E">
      <w:pPr>
        <w:spacing w:after="0" w:line="240" w:lineRule="auto"/>
      </w:pPr>
      <w:r>
        <w:separator/>
      </w:r>
    </w:p>
  </w:endnote>
  <w:endnote w:type="continuationSeparator" w:id="0">
    <w:p w14:paraId="3FC48306" w14:textId="77777777" w:rsidR="003276D7" w:rsidRDefault="003276D7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8AC2" w14:textId="77777777" w:rsidR="003276D7" w:rsidRDefault="003276D7" w:rsidP="00F15B1E">
      <w:pPr>
        <w:spacing w:after="0" w:line="240" w:lineRule="auto"/>
      </w:pPr>
      <w:r>
        <w:separator/>
      </w:r>
    </w:p>
  </w:footnote>
  <w:footnote w:type="continuationSeparator" w:id="0">
    <w:p w14:paraId="04DDF669" w14:textId="77777777" w:rsidR="003276D7" w:rsidRDefault="003276D7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92FD2"/>
    <w:rsid w:val="000B01AF"/>
    <w:rsid w:val="00106998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276D7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90B49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9584F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2DE7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D320D"/>
    <w:rsid w:val="00AE7350"/>
    <w:rsid w:val="00AE7ACE"/>
    <w:rsid w:val="00B15114"/>
    <w:rsid w:val="00B2591A"/>
    <w:rsid w:val="00B433AC"/>
    <w:rsid w:val="00B44E39"/>
    <w:rsid w:val="00B61922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83A0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FCD0-5A2A-4446-BDC1-F6F75B30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Zając Kinga</cp:lastModifiedBy>
  <cp:revision>2</cp:revision>
  <cp:lastPrinted>2021-07-02T10:00:00Z</cp:lastPrinted>
  <dcterms:created xsi:type="dcterms:W3CDTF">2024-04-02T11:23:00Z</dcterms:created>
  <dcterms:modified xsi:type="dcterms:W3CDTF">2024-04-02T11:23:00Z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