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AE46CEE" w:rsidR="008C6721" w:rsidRPr="002B50C0" w:rsidRDefault="008C6721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III </w:t>
      </w:r>
      <w:r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2020 </w:t>
      </w: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AC96C7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3A240F80" w:rsidRPr="008D5B85">
              <w:rPr>
                <w:rFonts w:ascii="Calibri" w:eastAsia="Calibri" w:hAnsi="Calibri" w:cs="Calibri"/>
                <w:sz w:val="19"/>
                <w:szCs w:val="19"/>
              </w:rPr>
              <w:t>,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Dziedzictwa Narodowego</w:t>
            </w:r>
            <w:r w:rsidR="2E67CB6A"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i Sportu</w:t>
            </w:r>
          </w:p>
        </w:tc>
      </w:tr>
      <w:tr w:rsidR="00CA516B" w:rsidRPr="0030196F" w14:paraId="719B01E2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0030035A" w:rsidP="6535773B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b/>
                <w:bCs/>
                <w:sz w:val="20"/>
                <w:szCs w:val="20"/>
              </w:rPr>
              <w:t>84,63%</w:t>
            </w:r>
            <w:r w:rsidRPr="00C27012">
              <w:rPr>
                <w:rFonts w:eastAsia="Calibri" w:cstheme="minorHAns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0030035A" w:rsidP="0030035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1020" w:hanging="284"/>
              <w:rPr>
                <w:rFonts w:eastAsia="Calibri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środków europejskich</w:t>
            </w:r>
            <w:r w:rsidR="00C27012" w:rsidRPr="00C2701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27012">
              <w:rPr>
                <w:rFonts w:eastAsia="Calibri" w:cstheme="minorHAnsi"/>
                <w:sz w:val="20"/>
                <w:szCs w:val="20"/>
              </w:rPr>
              <w:t>-</w:t>
            </w:r>
            <w:r w:rsidR="5B1238D9" w:rsidRPr="00C27012">
              <w:rPr>
                <w:rFonts w:eastAsia="Calibri" w:cstheme="minorHAns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003063F7" w:rsidP="6535773B">
            <w:pPr>
              <w:pStyle w:val="ListParagraph"/>
              <w:numPr>
                <w:ilvl w:val="0"/>
                <w:numId w:val="30"/>
              </w:numPr>
              <w:spacing w:beforeAutospacing="1" w:afterAutospacing="1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cstheme="minorHAnsi"/>
                <w:b/>
                <w:sz w:val="20"/>
                <w:szCs w:val="20"/>
              </w:rPr>
              <w:t>15,37%</w:t>
            </w:r>
            <w:r w:rsidRPr="00C27012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30035A" w:rsidRPr="00C27012">
              <w:rPr>
                <w:rFonts w:cstheme="minorHAnsi"/>
                <w:sz w:val="20"/>
                <w:szCs w:val="20"/>
              </w:rPr>
              <w:t>:</w:t>
            </w:r>
          </w:p>
          <w:p w14:paraId="3A5BC89E" w14:textId="3ECFA984" w:rsidR="00CA516B" w:rsidRPr="00C27012" w:rsidRDefault="407F798F" w:rsidP="00A30F1A">
            <w:pPr>
              <w:pStyle w:val="ListParagraph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407F798F" w:rsidP="00A30F1A">
            <w:pPr>
              <w:pStyle w:val="ListParagraph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spacing w:after="0"/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  <w:p w14:paraId="571BA101" w14:textId="501B6B5A" w:rsidR="00D062E0" w:rsidRPr="00141A92" w:rsidRDefault="00D062E0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</w:t>
            </w:r>
            <w:r w:rsidR="40835C71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o 90 dni</w:t>
            </w:r>
            <w:r w:rsidR="3C4E8AA6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na mocy ustawy z 03.04.20 r. o szczególnych rozwiązaniach wspierających realizację programów operacyjnych w związku z wystąpieniem COVID-19 w 2020 r.- pismo z 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30.0</w:t>
            </w:r>
            <w:r w:rsidR="00C05C3F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7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 xml:space="preserve">.2020r.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(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CPPC-DEA.63.11.5.83.2019/RF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)</w:t>
            </w:r>
          </w:p>
          <w:p w14:paraId="55CE9679" w14:textId="1FC59E82" w:rsidR="00CA516B" w:rsidRPr="00141A92" w:rsidRDefault="00CA516B" w:rsidP="31770B08">
            <w:pPr>
              <w:spacing w:after="0"/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Heading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Heading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70F43A93">
      <w:pPr>
        <w:pStyle w:val="Heading2"/>
        <w:numPr>
          <w:ilvl w:val="0"/>
          <w:numId w:val="23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70F43A93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70F43A9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70F43A93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7599A16A" w14:textId="77777777" w:rsidR="00907F6D" w:rsidRDefault="00B776D0" w:rsidP="00926E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B0E6D">
              <w:rPr>
                <w:rFonts w:ascii="Arial" w:hAnsi="Arial" w:cs="Arial"/>
                <w:sz w:val="18"/>
                <w:szCs w:val="20"/>
              </w:rPr>
              <w:t>11%</w:t>
            </w:r>
            <w:r w:rsidR="006B0E6D" w:rsidRPr="006B0E6D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077C8D26" w14:textId="6A44B171" w:rsidR="00512DB9" w:rsidRPr="00141A92" w:rsidRDefault="00512DB9" w:rsidP="00926ED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01F2">
              <w:rPr>
                <w:rFonts w:ascii="Arial" w:hAnsi="Arial" w:cs="Arial"/>
                <w:sz w:val="20"/>
                <w:szCs w:val="20"/>
              </w:rPr>
              <w:t>(</w:t>
            </w:r>
            <w:r w:rsidR="005B3DD1">
              <w:rPr>
                <w:rFonts w:ascii="Arial" w:hAnsi="Arial" w:cs="Arial"/>
                <w:sz w:val="20"/>
                <w:szCs w:val="20"/>
              </w:rPr>
              <w:t xml:space="preserve">12,50 </w:t>
            </w:r>
            <w:r w:rsidRPr="002701F2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14:paraId="4AD7843B" w14:textId="78649427" w:rsidR="00926EDC" w:rsidRPr="000774BA" w:rsidRDefault="00606AA6" w:rsidP="00926EDC">
            <w:pPr>
              <w:pStyle w:val="ListParagraph"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8,90</w:t>
            </w:r>
            <w:r w:rsidR="00926EDC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7EE95060" w14:textId="5C20CA0A" w:rsidR="00926EDC" w:rsidRDefault="00A02ED1" w:rsidP="00926EDC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926EDC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5D8D062B" w14:textId="77777777" w:rsidR="00907F6D" w:rsidRDefault="00926EDC" w:rsidP="00926EDC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26EDC">
              <w:rPr>
                <w:rFonts w:ascii="Arial" w:eastAsia="Times New Roman" w:hAnsi="Arial" w:cs="Arial"/>
                <w:sz w:val="20"/>
                <w:szCs w:val="20"/>
              </w:rPr>
              <w:t>nd</w:t>
            </w:r>
            <w:proofErr w:type="spellEnd"/>
            <w:r w:rsidRPr="00926ED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4929DAC9" w14:textId="266DCE38" w:rsidR="00A75835" w:rsidRPr="00926EDC" w:rsidRDefault="00A75835" w:rsidP="00A75835">
            <w:pPr>
              <w:pStyle w:val="ListParagraph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5A6B26CF" w:rsidR="00907F6D" w:rsidRPr="00616EB6" w:rsidRDefault="00616EB6" w:rsidP="00926E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10,79%</w:t>
            </w:r>
          </w:p>
        </w:tc>
      </w:tr>
    </w:tbl>
    <w:p w14:paraId="62BFE068" w14:textId="77777777" w:rsidR="00A935CB" w:rsidRDefault="00483EE9" w:rsidP="00A935CB">
      <w:pPr>
        <w:spacing w:after="0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</w:p>
    <w:p w14:paraId="1B60E781" w14:textId="33B5DBD9" w:rsidR="002B50C0" w:rsidRPr="00483EE9" w:rsidRDefault="00483EE9" w:rsidP="00483EE9">
      <w:pPr>
        <w:spacing w:after="100" w:afterAutospacing="1" w:line="240" w:lineRule="auto"/>
        <w:rPr>
          <w:rStyle w:val="Heading2Char"/>
          <w:rFonts w:ascii="Calibri" w:eastAsia="Calibri" w:hAnsi="Calibri" w:cs="Calibri"/>
          <w:color w:val="auto"/>
          <w:sz w:val="20"/>
          <w:szCs w:val="20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78C2C617" w14:textId="7FCEF9BD" w:rsidR="00E42938" w:rsidRPr="002B50C0" w:rsidRDefault="005C0469" w:rsidP="00141A92">
      <w:pPr>
        <w:pStyle w:val="Heading3"/>
        <w:numPr>
          <w:ilvl w:val="0"/>
          <w:numId w:val="2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4350B8" w:rsidRPr="002B50C0" w14:paraId="55961592" w14:textId="77777777" w:rsidTr="18DC52E5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18DC52E5">
        <w:tc>
          <w:tcPr>
            <w:tcW w:w="2127" w:type="dxa"/>
          </w:tcPr>
          <w:p w14:paraId="79C67474" w14:textId="31D4FD66" w:rsidR="004350B8" w:rsidRPr="00141A92" w:rsidRDefault="17B42836" w:rsidP="31770B08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00A75835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1A16B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2BEE8E58" w:rsidR="004350B8" w:rsidRPr="00141A92" w:rsidRDefault="004350B8" w:rsidP="31770B08">
            <w:pPr>
              <w:pStyle w:val="ListParagraph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95B29F" w14:textId="051561E5" w:rsidR="004350B8" w:rsidRPr="00141A92" w:rsidRDefault="0554BB89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18DC52E5">
        <w:tc>
          <w:tcPr>
            <w:tcW w:w="2127" w:type="dxa"/>
          </w:tcPr>
          <w:p w14:paraId="031F1D7D" w14:textId="5598CCB1" w:rsidR="37EB4E61" w:rsidRDefault="37EB4E61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6DD4D538" w:rsidR="18DC52E5" w:rsidRDefault="18DC52E5" w:rsidP="18DC52E5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1E4B689C" w14:textId="70072AAF" w:rsidR="37EB4E61" w:rsidRDefault="37EB4E61" w:rsidP="18DC52E5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F9FA37" w14:textId="728372D8" w:rsidR="18DC52E5" w:rsidRDefault="18DC52E5" w:rsidP="18DC52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18DC52E5">
        <w:tc>
          <w:tcPr>
            <w:tcW w:w="2127" w:type="dxa"/>
          </w:tcPr>
          <w:p w14:paraId="5A096E6F" w14:textId="7E70DB16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7E115DF8" w14:textId="3F149AC1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F7DC6B1" w14:textId="0223BA3F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18DC52E5">
        <w:tc>
          <w:tcPr>
            <w:tcW w:w="2127" w:type="dxa"/>
          </w:tcPr>
          <w:p w14:paraId="220235C7" w14:textId="1E9E164A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7F060C" w14:textId="172332AA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233C38C" w14:textId="0223BA3F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18DC52E5">
        <w:tc>
          <w:tcPr>
            <w:tcW w:w="2127" w:type="dxa"/>
          </w:tcPr>
          <w:p w14:paraId="2F39EE67" w14:textId="573EF514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46EB7B2C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5CDDAA54" w14:textId="657E0C2E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18DC52E5">
        <w:tc>
          <w:tcPr>
            <w:tcW w:w="2127" w:type="dxa"/>
          </w:tcPr>
          <w:p w14:paraId="6F90931E" w14:textId="0FD1429C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E7B3D1C" w14:textId="7F0FD808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798041B7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26ADC4F3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8124122" w14:textId="6BFBF4F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E532D36" w14:textId="77777777" w:rsidTr="18DC52E5">
        <w:tc>
          <w:tcPr>
            <w:tcW w:w="2127" w:type="dxa"/>
          </w:tcPr>
          <w:p w14:paraId="4CB99ED9" w14:textId="43456481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18DC52E5">
        <w:tc>
          <w:tcPr>
            <w:tcW w:w="2127" w:type="dxa"/>
          </w:tcPr>
          <w:p w14:paraId="618AF60C" w14:textId="10C4235E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18DC52E5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18DC52E5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01AAB074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ListParagraph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904E1" w14:textId="081ABF53" w:rsidR="00A46DA8" w:rsidRDefault="00A46DA8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planowanych terminów 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osiągnięcia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KM o 90 dni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wydłużenie realizacji projektu 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052A7A32" w14:textId="0866A317" w:rsidR="00987801" w:rsidRDefault="00987801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5431E3AC" w14:textId="77777777" w:rsidR="002D1FBC" w:rsidRDefault="002D1FBC" w:rsidP="00EA37E8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48B57E2" w14:textId="77777777" w:rsidR="00987801" w:rsidRDefault="00987801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399E9183" w14:textId="77777777" w:rsidR="00BC68EC" w:rsidRPr="0055778D" w:rsidRDefault="00BC68EC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2F71D9EE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18DC52E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18DC52E5">
        <w:tc>
          <w:tcPr>
            <w:tcW w:w="2545" w:type="dxa"/>
          </w:tcPr>
          <w:p w14:paraId="0D680A0D" w14:textId="47961D5F" w:rsidR="009F1DC8" w:rsidRPr="00A5591F" w:rsidRDefault="3E0D7880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6535A822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09-2023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679EF52" w14:textId="6C1E0F93" w:rsidR="006A60AA" w:rsidRPr="00141A92" w:rsidRDefault="5A4952B6" w:rsidP="4AFEEF94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AFEEF9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5 356</w:t>
            </w:r>
          </w:p>
          <w:p w14:paraId="1908EA3D" w14:textId="6F0F898C" w:rsidR="006A60AA" w:rsidRPr="00141A92" w:rsidRDefault="006A60AA" w:rsidP="4AFEEF94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</w:p>
        </w:tc>
      </w:tr>
      <w:tr w:rsidR="70F43A93" w14:paraId="5D8C4F44" w14:textId="77777777" w:rsidTr="18DC52E5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01F08205" w14:textId="6B1103B6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3F28F6" w14:textId="2C3391BA" w:rsidR="349723F8" w:rsidRDefault="5D564249" w:rsidP="3D24E49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70F43A93" w14:paraId="286252BD" w14:textId="77777777" w:rsidTr="18DC52E5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36151362" w14:textId="52E96128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5EC96B" w14:textId="11984BC6" w:rsidR="70F43A93" w:rsidRDefault="6ECD3CA6" w:rsidP="3D24E492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18 231</w:t>
            </w:r>
          </w:p>
          <w:p w14:paraId="44134B2C" w14:textId="299EE175" w:rsidR="70F43A93" w:rsidRDefault="70F43A93" w:rsidP="3D24E49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5DEECA3B" w14:textId="77777777" w:rsidTr="18DC52E5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24F1FEE" w14:textId="0C1EB73F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95CDA54" w14:textId="4C7CDFFD" w:rsidR="70F43A93" w:rsidRDefault="66519BD3" w:rsidP="4495E5D1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19 658</w:t>
            </w:r>
          </w:p>
          <w:p w14:paraId="1ADEBD7E" w14:textId="7888185A" w:rsidR="70F43A93" w:rsidRDefault="70F43A93" w:rsidP="4495E5D1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1B6204AA" w14:textId="77777777" w:rsidTr="18DC52E5">
        <w:tc>
          <w:tcPr>
            <w:tcW w:w="2545" w:type="dxa"/>
          </w:tcPr>
          <w:p w14:paraId="591FE510" w14:textId="06BAAFC3" w:rsidR="3E343424" w:rsidRDefault="3E343424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 xml:space="preserve">. Rozmiar </w:t>
            </w:r>
            <w:proofErr w:type="spellStart"/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zdigitalizowanej</w:t>
            </w:r>
            <w:proofErr w:type="spellEnd"/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1A9D6F0E" w14:textId="32679F66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36E268D" w14:textId="1101235B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DC5F064" w14:textId="24F53F9F" w:rsidR="70F43A93" w:rsidRPr="00AA5249" w:rsidRDefault="65066300" w:rsidP="2D5F75A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495E5D1">
              <w:rPr>
                <w:rFonts w:ascii="Arial" w:eastAsia="Arial" w:hAnsi="Arial" w:cs="Arial"/>
                <w:sz w:val="18"/>
                <w:szCs w:val="18"/>
              </w:rPr>
              <w:t>32,33</w:t>
            </w:r>
          </w:p>
        </w:tc>
      </w:tr>
      <w:tr w:rsidR="70F43A93" w14:paraId="655CE4E5" w14:textId="77777777" w:rsidTr="18DC52E5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</w:rPr>
              <w:t>*</w:t>
            </w:r>
          </w:p>
          <w:p w14:paraId="5414ED0B" w14:textId="4A34591F" w:rsidR="70F43A93" w:rsidRDefault="70F43A93" w:rsidP="00AA5249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4FBADD" w14:textId="4352982B" w:rsidR="70F43A93" w:rsidRPr="00AA5249" w:rsidRDefault="201C5BB9" w:rsidP="00AA5249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495E5D1">
              <w:rPr>
                <w:rFonts w:ascii="Arial" w:eastAsia="Arial" w:hAnsi="Arial" w:cs="Arial"/>
                <w:sz w:val="18"/>
                <w:szCs w:val="18"/>
              </w:rPr>
              <w:t>5,25</w:t>
            </w:r>
          </w:p>
        </w:tc>
      </w:tr>
      <w:tr w:rsidR="2F71D9EE" w14:paraId="38EEDE73" w14:textId="77777777" w:rsidTr="18DC52E5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18DC52E5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66E7180" w14:textId="77777777" w:rsidTr="18DC52E5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18DC52E5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005CC7C6" w:rsidR="0070308A" w:rsidRPr="00F73E0F" w:rsidRDefault="003B784E" w:rsidP="0070308A">
      <w:pPr>
        <w:spacing w:after="100" w:afterAutospacing="1" w:line="240" w:lineRule="auto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 planowan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ych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termin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ów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osiągnięcia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KPI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03.04.20 r. o szczególnych rozwiązaniach wspierających realizację programów operacyjnych w związku z wystąpieniem 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COVID-19 w 2020 r.- pismo z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="0070308A"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A08447" w14:textId="5643AA17" w:rsidR="007D2C34" w:rsidRPr="002B50C0" w:rsidRDefault="007D2C34" w:rsidP="00141A92">
      <w:pPr>
        <w:pStyle w:val="Heading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Heading2"/>
        <w:numPr>
          <w:ilvl w:val="0"/>
          <w:numId w:val="23"/>
        </w:numPr>
        <w:spacing w:before="360"/>
        <w:ind w:left="284" w:hanging="284"/>
        <w:rPr>
          <w:rStyle w:val="Heading3Char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Heading3Char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2F71D9E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2F71D9EE">
        <w:tc>
          <w:tcPr>
            <w:tcW w:w="2937" w:type="dxa"/>
          </w:tcPr>
          <w:p w14:paraId="46265E90" w14:textId="55B9893C" w:rsidR="00C6751B" w:rsidRPr="00141A92" w:rsidRDefault="62A0209F" w:rsidP="00C6751B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141A92" w:rsidRDefault="00362414" w:rsidP="70F43A93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</w:t>
            </w:r>
            <w:r w:rsidR="00743CB6">
              <w:rPr>
                <w:rFonts w:cs="Arial"/>
                <w:lang w:eastAsia="pl-PL"/>
              </w:rPr>
              <w:t>-</w:t>
            </w:r>
            <w:r w:rsidR="77AA3617" w:rsidRPr="52FD4CAA">
              <w:rPr>
                <w:rFonts w:cs="Arial"/>
                <w:lang w:eastAsia="pl-PL"/>
              </w:rPr>
              <w:t>202</w:t>
            </w:r>
            <w:r w:rsidR="544EB57A" w:rsidRPr="52FD4CAA">
              <w:rPr>
                <w:rFonts w:cs="Arial"/>
                <w:lang w:eastAsia="pl-PL"/>
              </w:rPr>
              <w:t>1</w:t>
            </w:r>
            <w:r w:rsidR="00332EDC" w:rsidRPr="52FD4CAA">
              <w:rPr>
                <w:rFonts w:cs="Arial"/>
                <w:lang w:eastAsia="pl-PL"/>
              </w:rPr>
              <w:t>*</w:t>
            </w:r>
          </w:p>
          <w:p w14:paraId="1C07ACC9" w14:textId="77777777" w:rsidR="00C6751B" w:rsidRPr="00141A92" w:rsidRDefault="00C6751B" w:rsidP="70F43A93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D7C5935" w14:textId="77777777" w:rsidR="00C6751B" w:rsidRPr="00141A92" w:rsidRDefault="00C6751B" w:rsidP="70F43A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</w:tcPr>
          <w:p w14:paraId="56773D50" w14:textId="180A758A" w:rsidR="00C6751B" w:rsidRPr="00141A92" w:rsidRDefault="205A5AE9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70F43A93"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70F43A93" w14:paraId="65E6ACFA" w14:textId="77777777" w:rsidTr="2F71D9EE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09B11FE1" w14:textId="2FC82C38" w:rsidR="70F43A93" w:rsidRDefault="70F43A93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2F71D9EE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0631DAAA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2F71D9EE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4FA63551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9AE86AA" w14:textId="543EBF54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2F71D9EE">
        <w:tc>
          <w:tcPr>
            <w:tcW w:w="2937" w:type="dxa"/>
          </w:tcPr>
          <w:p w14:paraId="2EB92837" w14:textId="69B0E88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21ADFBA" w14:textId="4006A80F" w:rsidR="2C4B102B" w:rsidRDefault="2C4B102B" w:rsidP="52FD4CAA">
            <w:pPr>
              <w:rPr>
                <w:rFonts w:cs="Arial"/>
                <w:lang w:eastAsia="pl-PL"/>
              </w:rPr>
            </w:pPr>
            <w:r w:rsidRPr="52FD4CAA">
              <w:rPr>
                <w:rFonts w:cs="Arial"/>
                <w:lang w:eastAsia="pl-PL"/>
              </w:rPr>
              <w:t>02-2021*</w:t>
            </w:r>
          </w:p>
          <w:p w14:paraId="7B1DACC5" w14:textId="5CCFEFE8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84D5EAD" w14:textId="6FD9842E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788A073F" w14:textId="3825750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50C3A7C1" w14:textId="77777777" w:rsidTr="2F71D9EE">
        <w:tc>
          <w:tcPr>
            <w:tcW w:w="2937" w:type="dxa"/>
          </w:tcPr>
          <w:p w14:paraId="270EB698" w14:textId="5838A5D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5A67F0E" w14:textId="5EB6EA69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1436CD9F" w14:textId="0CEFAE1F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3D6CB7F5" w14:textId="77777777" w:rsidTr="2F71D9EE">
        <w:tc>
          <w:tcPr>
            <w:tcW w:w="2937" w:type="dxa"/>
          </w:tcPr>
          <w:p w14:paraId="4B4B1C65" w14:textId="0E8F01CD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27DC6627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2F71D9EE">
        <w:tc>
          <w:tcPr>
            <w:tcW w:w="2937" w:type="dxa"/>
          </w:tcPr>
          <w:p w14:paraId="58002170" w14:textId="01B20D3A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5A4D0A2" w14:textId="6016F097" w:rsidR="00332EDC" w:rsidRDefault="00332EDC" w:rsidP="00F057A7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przesunięcie planowanych terminów </w:t>
      </w:r>
      <w:r w:rsidR="00F057A7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wdrożenia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03.04.20 r. o szczególnych rozwiązaniach wspierających realizację programów operacyjnych w związku z wystąpieniem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6A236A0C" w14:textId="77777777" w:rsidR="000D2176" w:rsidRPr="00F057A7" w:rsidRDefault="000D2176" w:rsidP="00F057A7">
      <w:pPr>
        <w:spacing w:after="100" w:afterAutospacing="1" w:line="240" w:lineRule="auto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</w:p>
    <w:p w14:paraId="2598878D" w14:textId="674BE533" w:rsidR="004C1D48" w:rsidRPr="00F25348" w:rsidRDefault="004C1D48" w:rsidP="00141A92">
      <w:pPr>
        <w:pStyle w:val="Heading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Heading2Char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447FC73" w14:textId="77777777" w:rsidR="000D2176" w:rsidRDefault="000D2176" w:rsidP="000D2176">
      <w:pPr>
        <w:pStyle w:val="ListParagraph"/>
        <w:spacing w:before="360" w:after="120"/>
        <w:ind w:left="426"/>
        <w:rPr>
          <w:rStyle w:val="Heading2Char"/>
          <w:rFonts w:ascii="Arial" w:eastAsiaTheme="minorHAnsi" w:hAnsi="Arial" w:cs="Arial"/>
          <w:color w:val="auto"/>
          <w:sz w:val="20"/>
          <w:szCs w:val="20"/>
        </w:rPr>
      </w:pPr>
    </w:p>
    <w:p w14:paraId="1128A2EE" w14:textId="77777777" w:rsidR="000D2176" w:rsidRPr="000D2176" w:rsidRDefault="000D2176" w:rsidP="000D2176">
      <w:pPr>
        <w:pStyle w:val="ListParagraph"/>
        <w:spacing w:before="360" w:after="120"/>
        <w:ind w:left="426"/>
        <w:rPr>
          <w:rStyle w:val="Heading2Char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12C17F94" w:rsidR="00BB059E" w:rsidRPr="002B50C0" w:rsidRDefault="00BB059E" w:rsidP="00141A92">
      <w:pPr>
        <w:pStyle w:val="ListParagraph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Heading3Char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417"/>
        <w:gridCol w:w="2127"/>
        <w:gridCol w:w="3402"/>
      </w:tblGrid>
      <w:tr w:rsidR="00322614" w:rsidRPr="002B50C0" w14:paraId="1581B854" w14:textId="77777777" w:rsidTr="000D2176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0D2176">
        <w:trPr>
          <w:trHeight w:val="5309"/>
        </w:trPr>
        <w:tc>
          <w:tcPr>
            <w:tcW w:w="2552" w:type="dxa"/>
            <w:vAlign w:val="center"/>
          </w:tcPr>
          <w:p w14:paraId="0DEFCB26" w14:textId="324DC4F5" w:rsidR="00322614" w:rsidRPr="00141A92" w:rsidRDefault="4CFD12F8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602BE9F" w14:textId="5DD57571" w:rsidR="00322614" w:rsidRPr="00141A92" w:rsidRDefault="4F1A5393" w:rsidP="009061DE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7" w:type="dxa"/>
          </w:tcPr>
          <w:p w14:paraId="593D4C92" w14:textId="0CB201AE" w:rsidR="00322614" w:rsidRPr="00141A92" w:rsidRDefault="3F85E808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</w:p>
        </w:tc>
        <w:tc>
          <w:tcPr>
            <w:tcW w:w="3402" w:type="dxa"/>
          </w:tcPr>
          <w:p w14:paraId="6EB3A85D" w14:textId="77777777" w:rsidR="009749B4" w:rsidRPr="00A87053" w:rsidRDefault="5F18DF1A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7C93809F" w14:textId="7D74E43B" w:rsidR="00CA3348" w:rsidRPr="00A87053" w:rsidRDefault="5680FECB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44C3E626" w:rsidR="00CA3348" w:rsidRPr="00935A55" w:rsidRDefault="42679F62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w związku z wprowadzeniem obostrzeń związanych z wirusem COVID-19, a w sytuacji konieczności wyłączenia z prac poszczególnych zasobów- </w:t>
            </w:r>
            <w:r w:rsidR="51CB719F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51CB719F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257AD15" w14:textId="25C18E3A" w:rsidR="00FE5E0D" w:rsidRPr="00844322" w:rsidRDefault="59823E02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   </w:t>
            </w:r>
            <w:r w:rsidR="51CB719F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813637E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podziewane</w:t>
            </w:r>
            <w:r w:rsidR="5680FECB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</w:tc>
      </w:tr>
      <w:tr w:rsidR="2F71D9EE" w14:paraId="036FD60E" w14:textId="77777777" w:rsidTr="000D2176">
        <w:tc>
          <w:tcPr>
            <w:tcW w:w="2552" w:type="dxa"/>
            <w:vAlign w:val="center"/>
          </w:tcPr>
          <w:p w14:paraId="43DD94CA" w14:textId="31CF1C24" w:rsidR="40275C26" w:rsidRPr="00A17A98" w:rsidRDefault="40275C26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2127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3402" w:type="dxa"/>
          </w:tcPr>
          <w:p w14:paraId="68C0EBF6" w14:textId="0C2D13BB" w:rsidR="40275C26" w:rsidRDefault="40275C26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3FC346E8" w14:textId="430E29F6" w:rsidR="06125C3D" w:rsidRPr="00A17A98" w:rsidRDefault="06125C3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</w:tc>
      </w:tr>
      <w:tr w:rsidR="2F71D9EE" w14:paraId="2CC89625" w14:textId="77777777" w:rsidTr="000D2176">
        <w:tc>
          <w:tcPr>
            <w:tcW w:w="2552" w:type="dxa"/>
            <w:vAlign w:val="center"/>
          </w:tcPr>
          <w:p w14:paraId="14D976DA" w14:textId="3AB3A66C" w:rsidR="6ADDA79E" w:rsidRPr="00A17A98" w:rsidRDefault="6ADDA79E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417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7" w:type="dxa"/>
          </w:tcPr>
          <w:p w14:paraId="2BADD4F9" w14:textId="5BE57478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3402" w:type="dxa"/>
          </w:tcPr>
          <w:p w14:paraId="6F3E4B4A" w14:textId="3E17B904" w:rsidR="6ADDA79E" w:rsidRDefault="6ADDA79E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</w:tc>
      </w:tr>
      <w:tr w:rsidR="18DC52E5" w14:paraId="688C59FE" w14:textId="77777777" w:rsidTr="000D2176">
        <w:tc>
          <w:tcPr>
            <w:tcW w:w="2552" w:type="dxa"/>
            <w:vAlign w:val="center"/>
          </w:tcPr>
          <w:p w14:paraId="41FD9477" w14:textId="244AD6A8" w:rsidR="3347F2CE" w:rsidRDefault="3347F2CE" w:rsidP="00B0647E">
            <w:pPr>
              <w:spacing w:line="259" w:lineRule="auto"/>
              <w:ind w:left="360"/>
              <w:rPr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Wzrost kosztów realizacji po rozstrzygnięciu zamówień</w:t>
            </w:r>
          </w:p>
        </w:tc>
        <w:tc>
          <w:tcPr>
            <w:tcW w:w="1417" w:type="dxa"/>
          </w:tcPr>
          <w:p w14:paraId="5A7920DC" w14:textId="7DA62CB8" w:rsidR="3347F2CE" w:rsidRDefault="3347F2CE" w:rsidP="009061DE">
            <w:pPr>
              <w:spacing w:line="259" w:lineRule="auto"/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7" w:type="dxa"/>
          </w:tcPr>
          <w:p w14:paraId="4A032ACC" w14:textId="0C5C34DD" w:rsidR="3347F2CE" w:rsidRDefault="3347F2CE" w:rsidP="009061DE">
            <w:pPr>
              <w:spacing w:line="259" w:lineRule="auto"/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3402" w:type="dxa"/>
          </w:tcPr>
          <w:p w14:paraId="7364A297" w14:textId="0058B540" w:rsidR="3347F2CE" w:rsidRDefault="3347F2CE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Na wypadek przekroczenia nakładów inwestycyjnych, Wnioskodawca założył bufor finansowy na poszczególnych zadaniach</w:t>
            </w:r>
          </w:p>
        </w:tc>
      </w:tr>
    </w:tbl>
    <w:p w14:paraId="31FED783" w14:textId="3977AA0C" w:rsidR="008075FE" w:rsidRDefault="008075FE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5A9B3017" w14:textId="77777777" w:rsidR="000D2176" w:rsidRDefault="000D2176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41A07A33" w14:textId="77777777" w:rsidR="000D2176" w:rsidRDefault="000D2176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02BCFE8D" w14:textId="77777777" w:rsidR="000D2176" w:rsidRDefault="000D2176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296072E5" w14:textId="77777777" w:rsidR="000D2176" w:rsidRDefault="000D2176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18DC52E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18DC52E5">
        <w:trPr>
          <w:trHeight w:val="724"/>
        </w:trPr>
        <w:tc>
          <w:tcPr>
            <w:tcW w:w="3261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701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2693" w:type="dxa"/>
            <w:shd w:val="clear" w:color="auto" w:fill="FFFFFF" w:themeFill="background1"/>
          </w:tcPr>
          <w:p w14:paraId="3BCA6903" w14:textId="6616A096" w:rsidR="0091332C" w:rsidRPr="0091332C" w:rsidRDefault="26C9846E" w:rsidP="000D2176">
            <w:pPr>
              <w:pStyle w:val="Caption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D2BA0FB" w14:textId="346EF0F7" w:rsidR="0091332C" w:rsidRPr="0091332C" w:rsidRDefault="3DD180AB" w:rsidP="000D2176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0E84DFDE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</w:t>
            </w:r>
            <w:proofErr w:type="spellStart"/>
            <w:r w:rsidRPr="0E84DFDE">
              <w:rPr>
                <w:rFonts w:ascii="Arial" w:eastAsia="Arial" w:hAnsi="Arial" w:cs="Arial"/>
                <w:sz w:val="18"/>
                <w:szCs w:val="18"/>
              </w:rPr>
              <w:t>Border</w:t>
            </w:r>
            <w:proofErr w:type="spellEnd"/>
            <w:r w:rsidRPr="0E84DFDE">
              <w:rPr>
                <w:rFonts w:ascii="Arial" w:eastAsia="Arial" w:hAnsi="Arial" w:cs="Arial"/>
                <w:sz w:val="18"/>
                <w:szCs w:val="18"/>
              </w:rPr>
              <w:t xml:space="preserve"> Gateway </w:t>
            </w:r>
            <w:proofErr w:type="spellStart"/>
            <w:r w:rsidRPr="0E84DFDE">
              <w:rPr>
                <w:rFonts w:ascii="Arial" w:eastAsia="Arial" w:hAnsi="Arial" w:cs="Arial"/>
                <w:sz w:val="18"/>
                <w:szCs w:val="18"/>
              </w:rPr>
              <w:t>Protocol</w:t>
            </w:r>
            <w:proofErr w:type="spellEnd"/>
            <w:r w:rsidRPr="0E84DFDE">
              <w:rPr>
                <w:rFonts w:ascii="Arial" w:eastAsia="Arial" w:hAnsi="Arial" w:cs="Arial"/>
                <w:sz w:val="18"/>
                <w:szCs w:val="18"/>
              </w:rPr>
              <w:t>), która zabezpieczy dostępność zdigitalizowanych zbiorów w przypadku awarii, poprzez przełączenie się pomiędzy Centrum Podstawowym a Centrum Zapasowym.</w:t>
            </w:r>
          </w:p>
        </w:tc>
      </w:tr>
      <w:tr w:rsidR="52FD4CAA" w14:paraId="15E6DF11" w14:textId="77777777" w:rsidTr="18DC52E5">
        <w:trPr>
          <w:trHeight w:val="724"/>
        </w:trPr>
        <w:tc>
          <w:tcPr>
            <w:tcW w:w="3261" w:type="dxa"/>
            <w:shd w:val="clear" w:color="auto" w:fill="auto"/>
          </w:tcPr>
          <w:p w14:paraId="3738AD24" w14:textId="3231D928" w:rsidR="539E7498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  <w:p w14:paraId="20E9DA3D" w14:textId="55998463" w:rsidR="52FD4CAA" w:rsidRDefault="52FD4CAA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spacing w:after="0"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2125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2693" w:type="dxa"/>
            <w:shd w:val="clear" w:color="auto" w:fill="FFFFFF" w:themeFill="background1"/>
          </w:tcPr>
          <w:p w14:paraId="08B774A4" w14:textId="6B22A017" w:rsidR="539E7498" w:rsidRDefault="392A5710" w:rsidP="000D2176"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edukowanie, wzmocnienie działań promocyjnych lub zmiana strategii promocyjnej </w:t>
            </w:r>
          </w:p>
          <w:p w14:paraId="7C1B6D48" w14:textId="3398EE4E" w:rsidR="539E7498" w:rsidRDefault="539E7498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</w:tr>
      <w:tr w:rsidR="18DC52E5" w14:paraId="629A3131" w14:textId="77777777" w:rsidTr="18DC52E5">
        <w:trPr>
          <w:trHeight w:val="724"/>
        </w:trPr>
        <w:tc>
          <w:tcPr>
            <w:tcW w:w="3261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701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spacing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14:paraId="2C96832E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3829FAE8" w14:textId="2FF65E41" w:rsidR="18DC52E5" w:rsidRDefault="18DC52E5" w:rsidP="009061DE">
            <w:pPr>
              <w:spacing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5F477CA" w14:textId="6CB3A4F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 działa utrzymania efektów, w celu identyfikacji sposobów ich ogran</w:t>
            </w:r>
            <w:r w:rsidR="69CA0F86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czania; szacowa</w:t>
            </w:r>
            <w:r w:rsidR="75988C8E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7C004E2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</w:tc>
      </w:tr>
    </w:tbl>
    <w:p w14:paraId="33071B39" w14:textId="6E490E74" w:rsidR="00805178" w:rsidRPr="00805178" w:rsidRDefault="00805178" w:rsidP="70F43A93">
      <w:pPr>
        <w:pStyle w:val="ListParagraph"/>
        <w:numPr>
          <w:ilvl w:val="0"/>
          <w:numId w:val="23"/>
        </w:numPr>
        <w:spacing w:before="360"/>
        <w:jc w:val="both"/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ListParagraph"/>
        <w:numPr>
          <w:ilvl w:val="0"/>
          <w:numId w:val="23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Heading2Char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9061DE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yperlink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46B38064" w14:textId="02085138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p w14:paraId="74925E27" w14:textId="5F258E8F" w:rsidR="00A92887" w:rsidRDefault="00A92887" w:rsidP="70F43A93">
      <w:pPr>
        <w:spacing w:before="360"/>
        <w:jc w:val="both"/>
        <w:rPr>
          <w:rFonts w:ascii="Calibri" w:eastAsia="Calibri" w:hAnsi="Calibri" w:cs="Calibri"/>
          <w:color w:val="0070C0"/>
          <w:sz w:val="20"/>
          <w:szCs w:val="20"/>
        </w:rPr>
      </w:pPr>
    </w:p>
    <w:p w14:paraId="3E707801" w14:textId="120CA5FA" w:rsidR="00A92887" w:rsidRDefault="00A92887" w:rsidP="70F43A93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2327E" w14:textId="77777777" w:rsidR="00706C89" w:rsidRDefault="00706C89" w:rsidP="00BB2420">
      <w:pPr>
        <w:spacing w:after="0" w:line="240" w:lineRule="auto"/>
      </w:pPr>
      <w:r>
        <w:separator/>
      </w:r>
    </w:p>
  </w:endnote>
  <w:endnote w:type="continuationSeparator" w:id="0">
    <w:p w14:paraId="07A7FAA7" w14:textId="77777777" w:rsidR="00706C89" w:rsidRDefault="00706C89" w:rsidP="00BB2420">
      <w:pPr>
        <w:spacing w:after="0" w:line="240" w:lineRule="auto"/>
      </w:pPr>
      <w:r>
        <w:continuationSeparator/>
      </w:r>
    </w:p>
  </w:endnote>
  <w:endnote w:type="continuationNotice" w:id="1">
    <w:p w14:paraId="1E31551B" w14:textId="77777777" w:rsidR="00706C89" w:rsidRDefault="00706C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C3890C" w14:textId="3CA4BEF5" w:rsidR="00794ACD" w:rsidRDefault="00794ACD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66FAA" w14:textId="77777777" w:rsidR="00706C89" w:rsidRDefault="00706C89" w:rsidP="00BB2420">
      <w:pPr>
        <w:spacing w:after="0" w:line="240" w:lineRule="auto"/>
      </w:pPr>
      <w:r>
        <w:separator/>
      </w:r>
    </w:p>
  </w:footnote>
  <w:footnote w:type="continuationSeparator" w:id="0">
    <w:p w14:paraId="38682E6B" w14:textId="77777777" w:rsidR="00706C89" w:rsidRDefault="00706C89" w:rsidP="00BB2420">
      <w:pPr>
        <w:spacing w:after="0" w:line="240" w:lineRule="auto"/>
      </w:pPr>
      <w:r>
        <w:continuationSeparator/>
      </w:r>
    </w:p>
  </w:footnote>
  <w:footnote w:type="continuationNotice" w:id="1">
    <w:p w14:paraId="43B232C3" w14:textId="77777777" w:rsidR="00706C89" w:rsidRDefault="00706C89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FootnoteText"/>
      </w:pPr>
      <w:r>
        <w:rPr>
          <w:rStyle w:val="FootnoteReference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24"/>
  </w:num>
  <w:num w:numId="6">
    <w:abstractNumId w:val="4"/>
  </w:num>
  <w:num w:numId="7">
    <w:abstractNumId w:val="33"/>
  </w:num>
  <w:num w:numId="8">
    <w:abstractNumId w:val="19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28"/>
  </w:num>
  <w:num w:numId="17">
    <w:abstractNumId w:val="25"/>
  </w:num>
  <w:num w:numId="18">
    <w:abstractNumId w:val="3"/>
  </w:num>
  <w:num w:numId="19">
    <w:abstractNumId w:val="30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31"/>
  </w:num>
  <w:num w:numId="25">
    <w:abstractNumId w:val="0"/>
  </w:num>
  <w:num w:numId="26">
    <w:abstractNumId w:val="17"/>
  </w:num>
  <w:num w:numId="27">
    <w:abstractNumId w:val="22"/>
  </w:num>
  <w:num w:numId="28">
    <w:abstractNumId w:val="32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096F"/>
    <w:rsid w:val="000A1DFB"/>
    <w:rsid w:val="000A2F32"/>
    <w:rsid w:val="000A3938"/>
    <w:rsid w:val="000B059E"/>
    <w:rsid w:val="000B3428"/>
    <w:rsid w:val="000B3E49"/>
    <w:rsid w:val="000D2176"/>
    <w:rsid w:val="000D250D"/>
    <w:rsid w:val="000E0060"/>
    <w:rsid w:val="000E1828"/>
    <w:rsid w:val="000E4BF8"/>
    <w:rsid w:val="000F20A9"/>
    <w:rsid w:val="000F307B"/>
    <w:rsid w:val="000F30B9"/>
    <w:rsid w:val="000F7382"/>
    <w:rsid w:val="001038A8"/>
    <w:rsid w:val="00115FB1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2B46"/>
    <w:rsid w:val="00186655"/>
    <w:rsid w:val="001A2EF2"/>
    <w:rsid w:val="001A7DFC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3540D"/>
    <w:rsid w:val="00237279"/>
    <w:rsid w:val="00240D69"/>
    <w:rsid w:val="00241B5E"/>
    <w:rsid w:val="00251751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2445"/>
    <w:rsid w:val="002B4889"/>
    <w:rsid w:val="002B50C0"/>
    <w:rsid w:val="002B6F21"/>
    <w:rsid w:val="002D1FBC"/>
    <w:rsid w:val="002D3D4A"/>
    <w:rsid w:val="002D7ADA"/>
    <w:rsid w:val="002E2FAF"/>
    <w:rsid w:val="002F29A3"/>
    <w:rsid w:val="0030035A"/>
    <w:rsid w:val="0030196F"/>
    <w:rsid w:val="00302775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92919"/>
    <w:rsid w:val="003A4115"/>
    <w:rsid w:val="003B5B7A"/>
    <w:rsid w:val="003B6E2F"/>
    <w:rsid w:val="003B784E"/>
    <w:rsid w:val="003C7325"/>
    <w:rsid w:val="003D7DD0"/>
    <w:rsid w:val="003E3144"/>
    <w:rsid w:val="00405EA4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5273"/>
    <w:rsid w:val="004729D1"/>
    <w:rsid w:val="00475329"/>
    <w:rsid w:val="00483EE9"/>
    <w:rsid w:val="004A63DE"/>
    <w:rsid w:val="004B331E"/>
    <w:rsid w:val="004C1D48"/>
    <w:rsid w:val="004D0470"/>
    <w:rsid w:val="004D65CA"/>
    <w:rsid w:val="004F6E89"/>
    <w:rsid w:val="00504B06"/>
    <w:rsid w:val="005076A1"/>
    <w:rsid w:val="00512DB9"/>
    <w:rsid w:val="00513213"/>
    <w:rsid w:val="00517F12"/>
    <w:rsid w:val="0052102C"/>
    <w:rsid w:val="005212C8"/>
    <w:rsid w:val="00524E6C"/>
    <w:rsid w:val="005332D6"/>
    <w:rsid w:val="00544DFE"/>
    <w:rsid w:val="005548F2"/>
    <w:rsid w:val="0055533C"/>
    <w:rsid w:val="0055778D"/>
    <w:rsid w:val="005602D1"/>
    <w:rsid w:val="005734CE"/>
    <w:rsid w:val="005840AB"/>
    <w:rsid w:val="00586664"/>
    <w:rsid w:val="005871A4"/>
    <w:rsid w:val="00593290"/>
    <w:rsid w:val="005A0E33"/>
    <w:rsid w:val="005A12F7"/>
    <w:rsid w:val="005A1B30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AA6"/>
    <w:rsid w:val="00616EB6"/>
    <w:rsid w:val="0062054D"/>
    <w:rsid w:val="006334BF"/>
    <w:rsid w:val="00635A54"/>
    <w:rsid w:val="00661A62"/>
    <w:rsid w:val="006731D9"/>
    <w:rsid w:val="00676B62"/>
    <w:rsid w:val="006822BC"/>
    <w:rsid w:val="00693210"/>
    <w:rsid w:val="006948D3"/>
    <w:rsid w:val="006A60AA"/>
    <w:rsid w:val="006B034F"/>
    <w:rsid w:val="006B0E6D"/>
    <w:rsid w:val="006B5117"/>
    <w:rsid w:val="006C3F89"/>
    <w:rsid w:val="006C78AE"/>
    <w:rsid w:val="006D3C9F"/>
    <w:rsid w:val="006E0CFA"/>
    <w:rsid w:val="006E6205"/>
    <w:rsid w:val="00701800"/>
    <w:rsid w:val="0070308A"/>
    <w:rsid w:val="00705531"/>
    <w:rsid w:val="00706C89"/>
    <w:rsid w:val="00725708"/>
    <w:rsid w:val="00740724"/>
    <w:rsid w:val="00740A47"/>
    <w:rsid w:val="00743CB6"/>
    <w:rsid w:val="00746ABD"/>
    <w:rsid w:val="00755E08"/>
    <w:rsid w:val="0077418F"/>
    <w:rsid w:val="00775C44"/>
    <w:rsid w:val="00776802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F126F"/>
    <w:rsid w:val="007F1AF9"/>
    <w:rsid w:val="00803FBE"/>
    <w:rsid w:val="00805178"/>
    <w:rsid w:val="00806134"/>
    <w:rsid w:val="008075FE"/>
    <w:rsid w:val="00813BA8"/>
    <w:rsid w:val="00830B70"/>
    <w:rsid w:val="00840749"/>
    <w:rsid w:val="00844322"/>
    <w:rsid w:val="0087452F"/>
    <w:rsid w:val="00875528"/>
    <w:rsid w:val="00884686"/>
    <w:rsid w:val="008A332F"/>
    <w:rsid w:val="008A52F6"/>
    <w:rsid w:val="008C4BCD"/>
    <w:rsid w:val="008C6721"/>
    <w:rsid w:val="008D3826"/>
    <w:rsid w:val="008D5B85"/>
    <w:rsid w:val="008E5A76"/>
    <w:rsid w:val="008F2D9B"/>
    <w:rsid w:val="008F67EE"/>
    <w:rsid w:val="008F7D4A"/>
    <w:rsid w:val="009061DE"/>
    <w:rsid w:val="00907F6D"/>
    <w:rsid w:val="00911190"/>
    <w:rsid w:val="00912234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C6140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7685"/>
    <w:rsid w:val="00A728AE"/>
    <w:rsid w:val="00A7497B"/>
    <w:rsid w:val="00A75835"/>
    <w:rsid w:val="00A804AE"/>
    <w:rsid w:val="00A86449"/>
    <w:rsid w:val="00A87053"/>
    <w:rsid w:val="00A87C1C"/>
    <w:rsid w:val="00A92887"/>
    <w:rsid w:val="00A935CB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F09B8"/>
    <w:rsid w:val="00AF567D"/>
    <w:rsid w:val="00B0647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76D0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8EC"/>
    <w:rsid w:val="00BC6BE4"/>
    <w:rsid w:val="00BE47CD"/>
    <w:rsid w:val="00BE5BF9"/>
    <w:rsid w:val="00C057C0"/>
    <w:rsid w:val="00C05C3F"/>
    <w:rsid w:val="00C07653"/>
    <w:rsid w:val="00C1106C"/>
    <w:rsid w:val="00C26361"/>
    <w:rsid w:val="00C27012"/>
    <w:rsid w:val="00C302F1"/>
    <w:rsid w:val="00C30F10"/>
    <w:rsid w:val="00C3575F"/>
    <w:rsid w:val="00C42AEA"/>
    <w:rsid w:val="00C44F0E"/>
    <w:rsid w:val="00C522B8"/>
    <w:rsid w:val="00C57985"/>
    <w:rsid w:val="00C6751B"/>
    <w:rsid w:val="00C81CEA"/>
    <w:rsid w:val="00C90535"/>
    <w:rsid w:val="00C95980"/>
    <w:rsid w:val="00CA2BA8"/>
    <w:rsid w:val="00CA3348"/>
    <w:rsid w:val="00CA430A"/>
    <w:rsid w:val="00CA516B"/>
    <w:rsid w:val="00CB3EF1"/>
    <w:rsid w:val="00CC7E21"/>
    <w:rsid w:val="00CD404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4607F"/>
    <w:rsid w:val="00D57025"/>
    <w:rsid w:val="00D57765"/>
    <w:rsid w:val="00D71444"/>
    <w:rsid w:val="00D77F50"/>
    <w:rsid w:val="00D859F4"/>
    <w:rsid w:val="00D85A52"/>
    <w:rsid w:val="00D86FEC"/>
    <w:rsid w:val="00DA34DF"/>
    <w:rsid w:val="00DB5846"/>
    <w:rsid w:val="00DB69FD"/>
    <w:rsid w:val="00DC0A8A"/>
    <w:rsid w:val="00DC1705"/>
    <w:rsid w:val="00DC39A9"/>
    <w:rsid w:val="00DC4C79"/>
    <w:rsid w:val="00DE4237"/>
    <w:rsid w:val="00DE6249"/>
    <w:rsid w:val="00DE731D"/>
    <w:rsid w:val="00E0076D"/>
    <w:rsid w:val="00E11B44"/>
    <w:rsid w:val="00E15DEB"/>
    <w:rsid w:val="00E1688D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7E8"/>
    <w:rsid w:val="00EB00AB"/>
    <w:rsid w:val="00EC2AFC"/>
    <w:rsid w:val="00EE76A7"/>
    <w:rsid w:val="00F057A7"/>
    <w:rsid w:val="00F138F7"/>
    <w:rsid w:val="00F2008A"/>
    <w:rsid w:val="00F21D9E"/>
    <w:rsid w:val="00F23122"/>
    <w:rsid w:val="00F25348"/>
    <w:rsid w:val="00F33521"/>
    <w:rsid w:val="00F45506"/>
    <w:rsid w:val="00F60062"/>
    <w:rsid w:val="00F613CC"/>
    <w:rsid w:val="00F73E0F"/>
    <w:rsid w:val="00F76777"/>
    <w:rsid w:val="00F83F2F"/>
    <w:rsid w:val="00F86555"/>
    <w:rsid w:val="00F86C58"/>
    <w:rsid w:val="00FC30C7"/>
    <w:rsid w:val="00FC3B03"/>
    <w:rsid w:val="00FD697C"/>
    <w:rsid w:val="00FE5E0D"/>
    <w:rsid w:val="00FE7E01"/>
    <w:rsid w:val="00FF03A2"/>
    <w:rsid w:val="00FF22C4"/>
    <w:rsid w:val="00FF3913"/>
    <w:rsid w:val="00FF6C85"/>
    <w:rsid w:val="01C5698D"/>
    <w:rsid w:val="01D7DADA"/>
    <w:rsid w:val="029D1020"/>
    <w:rsid w:val="02BC1228"/>
    <w:rsid w:val="02E6568C"/>
    <w:rsid w:val="03B6DEDC"/>
    <w:rsid w:val="03C0F7EF"/>
    <w:rsid w:val="0402DFB3"/>
    <w:rsid w:val="041EE626"/>
    <w:rsid w:val="0554BB89"/>
    <w:rsid w:val="058587B7"/>
    <w:rsid w:val="06125C3D"/>
    <w:rsid w:val="062DE4D3"/>
    <w:rsid w:val="06747CAF"/>
    <w:rsid w:val="06B830B7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DEFE5D"/>
    <w:rsid w:val="0B2D69B9"/>
    <w:rsid w:val="0C3B08F9"/>
    <w:rsid w:val="0C42081D"/>
    <w:rsid w:val="0CF00621"/>
    <w:rsid w:val="0D5C6606"/>
    <w:rsid w:val="0E416AA3"/>
    <w:rsid w:val="0E7A4BE3"/>
    <w:rsid w:val="0E84DFDE"/>
    <w:rsid w:val="0E948142"/>
    <w:rsid w:val="0EBE0D61"/>
    <w:rsid w:val="0F4B4025"/>
    <w:rsid w:val="0F5FCCBE"/>
    <w:rsid w:val="0FF3217D"/>
    <w:rsid w:val="0FF5E33B"/>
    <w:rsid w:val="10D97535"/>
    <w:rsid w:val="11095B00"/>
    <w:rsid w:val="11681397"/>
    <w:rsid w:val="11C515B6"/>
    <w:rsid w:val="11E3129A"/>
    <w:rsid w:val="12385F49"/>
    <w:rsid w:val="128308FF"/>
    <w:rsid w:val="13DE2006"/>
    <w:rsid w:val="13E970FB"/>
    <w:rsid w:val="142CDA61"/>
    <w:rsid w:val="14DE4F57"/>
    <w:rsid w:val="159093BC"/>
    <w:rsid w:val="16AA36A1"/>
    <w:rsid w:val="16E134E0"/>
    <w:rsid w:val="174D759B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5EFAE9"/>
    <w:rsid w:val="1A81382D"/>
    <w:rsid w:val="1ABA74C1"/>
    <w:rsid w:val="1B3E7601"/>
    <w:rsid w:val="1C5C8E7A"/>
    <w:rsid w:val="1CD5FE4A"/>
    <w:rsid w:val="1CDE0466"/>
    <w:rsid w:val="1D47CB44"/>
    <w:rsid w:val="1D969BAB"/>
    <w:rsid w:val="1E17E3A7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8B5390"/>
    <w:rsid w:val="20BBF4D9"/>
    <w:rsid w:val="20E72B66"/>
    <w:rsid w:val="211A8BA9"/>
    <w:rsid w:val="21A16BA8"/>
    <w:rsid w:val="21D7164C"/>
    <w:rsid w:val="227D0534"/>
    <w:rsid w:val="22E396CE"/>
    <w:rsid w:val="233EB29E"/>
    <w:rsid w:val="23721F6A"/>
    <w:rsid w:val="23AE4C44"/>
    <w:rsid w:val="23B010AF"/>
    <w:rsid w:val="23F4A258"/>
    <w:rsid w:val="246D2B8C"/>
    <w:rsid w:val="25A99B16"/>
    <w:rsid w:val="25E0E195"/>
    <w:rsid w:val="260E25DC"/>
    <w:rsid w:val="26C9846E"/>
    <w:rsid w:val="26D47B5F"/>
    <w:rsid w:val="276F39FE"/>
    <w:rsid w:val="27D9DCCF"/>
    <w:rsid w:val="28A95B05"/>
    <w:rsid w:val="28E8B5CB"/>
    <w:rsid w:val="2905FC06"/>
    <w:rsid w:val="29991874"/>
    <w:rsid w:val="29D33139"/>
    <w:rsid w:val="29E2E276"/>
    <w:rsid w:val="2A913D5B"/>
    <w:rsid w:val="2ABC760A"/>
    <w:rsid w:val="2AEF9E41"/>
    <w:rsid w:val="2B78563A"/>
    <w:rsid w:val="2BEA51A0"/>
    <w:rsid w:val="2BFFB43D"/>
    <w:rsid w:val="2C437C3C"/>
    <w:rsid w:val="2C4B102B"/>
    <w:rsid w:val="2C8BD90C"/>
    <w:rsid w:val="2CB750A7"/>
    <w:rsid w:val="2CDD0405"/>
    <w:rsid w:val="2D5F75A3"/>
    <w:rsid w:val="2DB4ACFB"/>
    <w:rsid w:val="2DEF6E58"/>
    <w:rsid w:val="2E67CB6A"/>
    <w:rsid w:val="2ECE8260"/>
    <w:rsid w:val="2F71D9EE"/>
    <w:rsid w:val="2FA59C7C"/>
    <w:rsid w:val="2FC5E9D4"/>
    <w:rsid w:val="2FEF1E5A"/>
    <w:rsid w:val="30232A6C"/>
    <w:rsid w:val="311355E3"/>
    <w:rsid w:val="312F349F"/>
    <w:rsid w:val="31770B08"/>
    <w:rsid w:val="31781C14"/>
    <w:rsid w:val="322B7E89"/>
    <w:rsid w:val="322E9BC0"/>
    <w:rsid w:val="32331D31"/>
    <w:rsid w:val="32453541"/>
    <w:rsid w:val="32D128EE"/>
    <w:rsid w:val="32E120F1"/>
    <w:rsid w:val="3302C859"/>
    <w:rsid w:val="332B23F5"/>
    <w:rsid w:val="333BD8BF"/>
    <w:rsid w:val="3347F2CE"/>
    <w:rsid w:val="334F3147"/>
    <w:rsid w:val="33714CFC"/>
    <w:rsid w:val="3435B57E"/>
    <w:rsid w:val="349723F8"/>
    <w:rsid w:val="372BC6A2"/>
    <w:rsid w:val="37D31BAE"/>
    <w:rsid w:val="37DDFB5A"/>
    <w:rsid w:val="37EB4E61"/>
    <w:rsid w:val="38578669"/>
    <w:rsid w:val="386358BC"/>
    <w:rsid w:val="38836962"/>
    <w:rsid w:val="391D6B4A"/>
    <w:rsid w:val="392A5710"/>
    <w:rsid w:val="39A07D40"/>
    <w:rsid w:val="3A0C7F27"/>
    <w:rsid w:val="3A240F80"/>
    <w:rsid w:val="3AC04ECD"/>
    <w:rsid w:val="3B12DE44"/>
    <w:rsid w:val="3B5C0011"/>
    <w:rsid w:val="3B64C3F7"/>
    <w:rsid w:val="3B65DD13"/>
    <w:rsid w:val="3B8C5DF3"/>
    <w:rsid w:val="3BCDEB3E"/>
    <w:rsid w:val="3C4E8AA6"/>
    <w:rsid w:val="3C7CFA6E"/>
    <w:rsid w:val="3C853479"/>
    <w:rsid w:val="3C8E0C4F"/>
    <w:rsid w:val="3D03A664"/>
    <w:rsid w:val="3D2438DA"/>
    <w:rsid w:val="3D24E492"/>
    <w:rsid w:val="3D2AF78C"/>
    <w:rsid w:val="3DD180AB"/>
    <w:rsid w:val="3E0D7880"/>
    <w:rsid w:val="3E0DA2C4"/>
    <w:rsid w:val="3E343424"/>
    <w:rsid w:val="3E9E13B8"/>
    <w:rsid w:val="3F85E808"/>
    <w:rsid w:val="40275C26"/>
    <w:rsid w:val="407B71C1"/>
    <w:rsid w:val="407F798F"/>
    <w:rsid w:val="40835C71"/>
    <w:rsid w:val="4105E420"/>
    <w:rsid w:val="4152909E"/>
    <w:rsid w:val="416A4CF0"/>
    <w:rsid w:val="41ABAF26"/>
    <w:rsid w:val="41FC011A"/>
    <w:rsid w:val="420F6BB6"/>
    <w:rsid w:val="4212600B"/>
    <w:rsid w:val="42679F62"/>
    <w:rsid w:val="43085ED5"/>
    <w:rsid w:val="432041CD"/>
    <w:rsid w:val="43A87177"/>
    <w:rsid w:val="441104D0"/>
    <w:rsid w:val="441C9129"/>
    <w:rsid w:val="4495E5D1"/>
    <w:rsid w:val="44984282"/>
    <w:rsid w:val="44B268B1"/>
    <w:rsid w:val="44F3C2A1"/>
    <w:rsid w:val="451B7DD4"/>
    <w:rsid w:val="45D57CA2"/>
    <w:rsid w:val="46339AE6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410765"/>
    <w:rsid w:val="4BCBAF00"/>
    <w:rsid w:val="4BFCFD7B"/>
    <w:rsid w:val="4CE0155D"/>
    <w:rsid w:val="4CFD12F8"/>
    <w:rsid w:val="4D475761"/>
    <w:rsid w:val="4D4FDC14"/>
    <w:rsid w:val="4EE46FD4"/>
    <w:rsid w:val="4F1A5393"/>
    <w:rsid w:val="4F5C4AA5"/>
    <w:rsid w:val="4FA63551"/>
    <w:rsid w:val="4FF6A579"/>
    <w:rsid w:val="5111FC64"/>
    <w:rsid w:val="512341E1"/>
    <w:rsid w:val="5169BAAD"/>
    <w:rsid w:val="51CB719F"/>
    <w:rsid w:val="51D382DF"/>
    <w:rsid w:val="51E51AD0"/>
    <w:rsid w:val="51F27D92"/>
    <w:rsid w:val="5245F97C"/>
    <w:rsid w:val="527AC188"/>
    <w:rsid w:val="52CB32B4"/>
    <w:rsid w:val="52F0C09B"/>
    <w:rsid w:val="52FD4CAA"/>
    <w:rsid w:val="532C708E"/>
    <w:rsid w:val="539E7498"/>
    <w:rsid w:val="53D2F9AA"/>
    <w:rsid w:val="544EB57A"/>
    <w:rsid w:val="552AD944"/>
    <w:rsid w:val="55858AE9"/>
    <w:rsid w:val="5586D62A"/>
    <w:rsid w:val="55F18512"/>
    <w:rsid w:val="56056B3F"/>
    <w:rsid w:val="5619DD34"/>
    <w:rsid w:val="5680FECB"/>
    <w:rsid w:val="56B56633"/>
    <w:rsid w:val="56DD0873"/>
    <w:rsid w:val="570EFBC4"/>
    <w:rsid w:val="571A8AC4"/>
    <w:rsid w:val="57700747"/>
    <w:rsid w:val="5797A7E2"/>
    <w:rsid w:val="579D1285"/>
    <w:rsid w:val="57EB5277"/>
    <w:rsid w:val="580A28D1"/>
    <w:rsid w:val="58169490"/>
    <w:rsid w:val="58A5204E"/>
    <w:rsid w:val="593D659D"/>
    <w:rsid w:val="596A4398"/>
    <w:rsid w:val="59823E02"/>
    <w:rsid w:val="59826119"/>
    <w:rsid w:val="5A293B0A"/>
    <w:rsid w:val="5A4952B6"/>
    <w:rsid w:val="5AF737DF"/>
    <w:rsid w:val="5B1238D9"/>
    <w:rsid w:val="5B35A521"/>
    <w:rsid w:val="5B88D756"/>
    <w:rsid w:val="5C52FB90"/>
    <w:rsid w:val="5C5BEB2C"/>
    <w:rsid w:val="5C84CE7E"/>
    <w:rsid w:val="5D5334F3"/>
    <w:rsid w:val="5D564249"/>
    <w:rsid w:val="5E5A4907"/>
    <w:rsid w:val="5E7B400A"/>
    <w:rsid w:val="5E8464DD"/>
    <w:rsid w:val="5E8C7429"/>
    <w:rsid w:val="5F15D990"/>
    <w:rsid w:val="5F18DF1A"/>
    <w:rsid w:val="5F260F6A"/>
    <w:rsid w:val="5F39D2F8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A5D1FE"/>
    <w:rsid w:val="60D4E98D"/>
    <w:rsid w:val="60D836E8"/>
    <w:rsid w:val="61EAEFFD"/>
    <w:rsid w:val="61F6170B"/>
    <w:rsid w:val="625D3D6B"/>
    <w:rsid w:val="62A0209F"/>
    <w:rsid w:val="62E3EE47"/>
    <w:rsid w:val="6418150F"/>
    <w:rsid w:val="64569B90"/>
    <w:rsid w:val="6497CDE9"/>
    <w:rsid w:val="65066300"/>
    <w:rsid w:val="65230646"/>
    <w:rsid w:val="6535773B"/>
    <w:rsid w:val="6535A822"/>
    <w:rsid w:val="653B9D01"/>
    <w:rsid w:val="65D5A32F"/>
    <w:rsid w:val="66519BD3"/>
    <w:rsid w:val="66FFE5E5"/>
    <w:rsid w:val="6730AE8E"/>
    <w:rsid w:val="67905462"/>
    <w:rsid w:val="681A2DD5"/>
    <w:rsid w:val="68BA3DCF"/>
    <w:rsid w:val="691E6EFE"/>
    <w:rsid w:val="693241AE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C9876F9"/>
    <w:rsid w:val="6CE6DF4C"/>
    <w:rsid w:val="6DE05A17"/>
    <w:rsid w:val="6DE60187"/>
    <w:rsid w:val="6E091DC4"/>
    <w:rsid w:val="6E7CD9CE"/>
    <w:rsid w:val="6E92DD32"/>
    <w:rsid w:val="6ECD3CA6"/>
    <w:rsid w:val="6F3DF538"/>
    <w:rsid w:val="70392E59"/>
    <w:rsid w:val="706A81BA"/>
    <w:rsid w:val="7088271B"/>
    <w:rsid w:val="70AD3367"/>
    <w:rsid w:val="70F43A93"/>
    <w:rsid w:val="71576CAE"/>
    <w:rsid w:val="71A2D651"/>
    <w:rsid w:val="71DA2147"/>
    <w:rsid w:val="7262265E"/>
    <w:rsid w:val="72891909"/>
    <w:rsid w:val="735392C9"/>
    <w:rsid w:val="73D4ACA7"/>
    <w:rsid w:val="73DBD87F"/>
    <w:rsid w:val="73E105D4"/>
    <w:rsid w:val="73E4CE62"/>
    <w:rsid w:val="73FB7538"/>
    <w:rsid w:val="75302681"/>
    <w:rsid w:val="75988C8E"/>
    <w:rsid w:val="769263D7"/>
    <w:rsid w:val="76A1983A"/>
    <w:rsid w:val="7729790C"/>
    <w:rsid w:val="77646C85"/>
    <w:rsid w:val="7789E6AA"/>
    <w:rsid w:val="77AA3617"/>
    <w:rsid w:val="78A0FAE6"/>
    <w:rsid w:val="78D167E2"/>
    <w:rsid w:val="78E9DD15"/>
    <w:rsid w:val="793E69BE"/>
    <w:rsid w:val="79B105D1"/>
    <w:rsid w:val="7A2FEE80"/>
    <w:rsid w:val="7A3E279A"/>
    <w:rsid w:val="7A6D3843"/>
    <w:rsid w:val="7AFB6AE6"/>
    <w:rsid w:val="7B11699C"/>
    <w:rsid w:val="7B1E76A0"/>
    <w:rsid w:val="7B8ABBB6"/>
    <w:rsid w:val="7BEFE047"/>
    <w:rsid w:val="7C004E28"/>
    <w:rsid w:val="7CAE90E0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BEC"/>
  </w:style>
  <w:style w:type="paragraph" w:styleId="Heading1">
    <w:name w:val="heading 1"/>
    <w:basedOn w:val="Normal"/>
    <w:next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1C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D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4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BB"/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BB"/>
  </w:style>
  <w:style w:type="paragraph" w:customStyle="1" w:styleId="Bodytext1blueitalic">
    <w:name w:val="Body text 1 + blue + italic"/>
    <w:basedOn w:val="Normal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efaultParagraphFont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643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D062E0"/>
  </w:style>
  <w:style w:type="character" w:styleId="Mention">
    <w:name w:val="Mention"/>
    <w:basedOn w:val="DefaultParagraphFont"/>
    <w:uiPriority w:val="99"/>
    <w:unhideWhenUsed/>
    <w:rsid w:val="007407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7abd8c27-6cce-41de-a3b8-c8f27bf54c45"/>
    <ds:schemaRef ds:uri="http://purl.org/dc/dcmitype/"/>
    <ds:schemaRef ds:uri="http://schemas.microsoft.com/office/infopath/2007/PartnerControls"/>
    <ds:schemaRef ds:uri="09946a1f-9a18-4afc-bc43-723eff9b3688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DAEEC-0C79-492F-B544-36971C55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1451</Words>
  <Characters>8274</Characters>
  <Application>Microsoft Office Word</Application>
  <DocSecurity>4</DocSecurity>
  <Lines>68</Lines>
  <Paragraphs>19</Paragraphs>
  <ScaleCrop>false</ScaleCrop>
  <Company/>
  <LinksUpToDate>false</LinksUpToDate>
  <CharactersWithSpaces>9706</CharactersWithSpaces>
  <SharedDoc>false</SharedDoc>
  <HLinks>
    <vt:vector size="6" baseType="variant">
      <vt:variant>
        <vt:i4>7536735</vt:i4>
      </vt:variant>
      <vt:variant>
        <vt:i4>0</vt:i4>
      </vt:variant>
      <vt:variant>
        <vt:i4>0</vt:i4>
      </vt:variant>
      <vt:variant>
        <vt:i4>5</vt:i4>
      </vt:variant>
      <vt:variant>
        <vt:lpwstr>mailto:d.cieszkowski@bn.org.pl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2020-04-03T05:19:00Z</dcterms:created>
  <dcterms:modified xsi:type="dcterms:W3CDTF">2020-11-25T20:00:00Z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