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061A0" w14:textId="44087EF5" w:rsidR="00CA4C90" w:rsidRDefault="00297DB0" w:rsidP="003F2025">
      <w:pPr>
        <w:rPr>
          <w:sz w:val="22"/>
          <w:szCs w:val="22"/>
        </w:rPr>
      </w:pPr>
      <w:r>
        <w:rPr>
          <w:sz w:val="22"/>
          <w:szCs w:val="22"/>
        </w:rPr>
        <w:t>Załącznik</w:t>
      </w:r>
      <w:r w:rsidR="00A75F07">
        <w:rPr>
          <w:sz w:val="22"/>
          <w:szCs w:val="22"/>
        </w:rPr>
        <w:t xml:space="preserve"> </w:t>
      </w:r>
      <w:r w:rsidR="00901064">
        <w:rPr>
          <w:sz w:val="22"/>
          <w:szCs w:val="22"/>
        </w:rPr>
        <w:t>B.82.</w:t>
      </w:r>
    </w:p>
    <w:p w14:paraId="5B5E2A70" w14:textId="77777777" w:rsidR="00CA4C90" w:rsidRDefault="00CA4C90" w:rsidP="003F2025">
      <w:pPr>
        <w:rPr>
          <w:sz w:val="22"/>
          <w:szCs w:val="22"/>
        </w:rPr>
      </w:pPr>
    </w:p>
    <w:p w14:paraId="468EF982" w14:textId="4FFD60BC" w:rsidR="00CA4C90" w:rsidRDefault="00901064">
      <w:pPr>
        <w:spacing w:after="24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LECZENIE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PACJENTÓW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AKTYWNĄ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POSTACIĄ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SPONDYLOARTROPATII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SpA</w:t>
      </w:r>
      <w:proofErr w:type="spellEnd"/>
      <w:r>
        <w:rPr>
          <w:b/>
          <w:sz w:val="28"/>
          <w:szCs w:val="28"/>
        </w:rPr>
        <w:t>)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BEZ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ZMIAN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RADIOGRAFICZNYCH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CHARAKTERYSTYCZNYCH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DLA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ZZSK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(ICD-10</w:t>
      </w:r>
      <w:r w:rsidR="00A75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M46.8)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9"/>
        <w:gridCol w:w="4296"/>
        <w:gridCol w:w="4293"/>
      </w:tblGrid>
      <w:tr w:rsidR="00CA4C90" w:rsidRPr="003F2025" w14:paraId="7B7A7741" w14:textId="77777777" w:rsidTr="00E027D2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BC80" w14:textId="59A2896B" w:rsidR="00CA4C90" w:rsidRPr="003F2025" w:rsidRDefault="00901064" w:rsidP="003F2025">
            <w:pPr>
              <w:jc w:val="center"/>
              <w:rPr>
                <w:b/>
                <w:sz w:val="20"/>
                <w:szCs w:val="20"/>
              </w:rPr>
            </w:pPr>
            <w:r w:rsidRPr="003F2025">
              <w:rPr>
                <w:b/>
                <w:sz w:val="20"/>
                <w:szCs w:val="20"/>
              </w:rPr>
              <w:t>ZAKRES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ŚWIADCZENIA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GWARANTOWANEGO</w:t>
            </w:r>
          </w:p>
        </w:tc>
      </w:tr>
      <w:tr w:rsidR="00CA4C90" w:rsidRPr="003F2025" w14:paraId="07DCEEC6" w14:textId="77777777" w:rsidTr="00A75F07">
        <w:trPr>
          <w:trHeight w:val="567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DE317" w14:textId="77777777" w:rsidR="00CA4C90" w:rsidRPr="003F2025" w:rsidRDefault="00901064" w:rsidP="003F2025">
            <w:pPr>
              <w:jc w:val="center"/>
              <w:rPr>
                <w:b/>
                <w:sz w:val="20"/>
                <w:szCs w:val="20"/>
              </w:rPr>
            </w:pPr>
            <w:r w:rsidRPr="003F2025">
              <w:rPr>
                <w:b/>
                <w:sz w:val="20"/>
                <w:szCs w:val="20"/>
              </w:rPr>
              <w:t>ŚWIADCZENIOBIORCY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DA12D" w14:textId="3FC92475" w:rsidR="00CA4C90" w:rsidRPr="003F2025" w:rsidRDefault="00901064" w:rsidP="003F2025">
            <w:pPr>
              <w:jc w:val="center"/>
              <w:rPr>
                <w:b/>
                <w:sz w:val="20"/>
                <w:szCs w:val="20"/>
              </w:rPr>
            </w:pPr>
            <w:r w:rsidRPr="003F2025">
              <w:rPr>
                <w:b/>
                <w:sz w:val="20"/>
                <w:szCs w:val="20"/>
              </w:rPr>
              <w:t>SCHEMAT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DAWKOWANIA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LEKÓW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br/>
              <w:t>W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PROGRAMIE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D218C" w14:textId="19BE09C4" w:rsidR="00CA4C90" w:rsidRPr="003F2025" w:rsidRDefault="00901064" w:rsidP="003F2025">
            <w:pPr>
              <w:jc w:val="center"/>
              <w:rPr>
                <w:b/>
                <w:sz w:val="20"/>
                <w:szCs w:val="20"/>
              </w:rPr>
            </w:pPr>
            <w:r w:rsidRPr="003F2025">
              <w:rPr>
                <w:b/>
                <w:sz w:val="20"/>
                <w:szCs w:val="20"/>
              </w:rPr>
              <w:t>BADANIA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DIAGNOSTYCZNE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WYKONYWANE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W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RAMACH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PROGRAMU</w:t>
            </w:r>
          </w:p>
        </w:tc>
      </w:tr>
      <w:tr w:rsidR="00CA4C90" w:rsidRPr="003F2025" w14:paraId="44F8E75B" w14:textId="77777777" w:rsidTr="00A75F07">
        <w:trPr>
          <w:trHeight w:val="20"/>
        </w:trPr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0DF85" w14:textId="2CF4FE85" w:rsidR="00CA4C90" w:rsidRPr="003F2025" w:rsidRDefault="00E027D2" w:rsidP="00A75F07">
            <w:pPr>
              <w:pStyle w:val="Tekstpodstawowywcity"/>
              <w:spacing w:before="120" w:after="60" w:line="276" w:lineRule="auto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sz w:val="20"/>
                <w:szCs w:val="20"/>
              </w:rPr>
              <w:t>Kryteria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sz w:val="20"/>
                <w:szCs w:val="20"/>
              </w:rPr>
              <w:t>kwalifikacji</w:t>
            </w:r>
          </w:p>
          <w:p w14:paraId="1F4BD6FF" w14:textId="7256DCCF" w:rsidR="00CA4C90" w:rsidRDefault="00901064" w:rsidP="00A75F07">
            <w:pPr>
              <w:pStyle w:val="Tekstpodstawowywcity"/>
              <w:numPr>
                <w:ilvl w:val="0"/>
                <w:numId w:val="26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Podczas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pierwszej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kwalifikacji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gdy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wskazane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opisie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udział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wymaga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uzyskania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akceptacji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pośrednictwem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aplikacji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SMPT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Zespół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Koordynacyjny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Spraw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Reumatycznych,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powoływany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Prezesa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Narodowego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Funduszu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Zdrowia.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czasu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aktualizacji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aplikacji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SMPT,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dopuszcza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udział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podstawie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akceptacji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Zespołu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Koordynacyjnego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Spraw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Reumatycznych,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uzyskanej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sposób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niż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pośrednictwem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aplikacji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SMPT.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Ponadto,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gdy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zaznaczone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opisie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udział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wymagać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uzyskania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indywidualnej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Zespołu,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mowa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powyżej.</w:t>
            </w:r>
          </w:p>
          <w:p w14:paraId="3B83BAC5" w14:textId="060C8403" w:rsidR="00CA4C90" w:rsidRPr="003F2025" w:rsidRDefault="00901064" w:rsidP="00A75F07">
            <w:pPr>
              <w:pStyle w:val="Tekstpodstawowywcity"/>
              <w:numPr>
                <w:ilvl w:val="0"/>
                <w:numId w:val="26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kwalifikuje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pacjentów:</w:t>
            </w:r>
          </w:p>
          <w:p w14:paraId="47A0F201" w14:textId="546BED97" w:rsidR="00CA4C90" w:rsidRPr="003F2025" w:rsidRDefault="00901064" w:rsidP="00A75F07">
            <w:pPr>
              <w:pStyle w:val="Akapitzlist"/>
              <w:numPr>
                <w:ilvl w:val="1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przewlekłym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bólem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krzyża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trwającym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&gt;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3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miesięcy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pojawieniem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objawów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przed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45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r.ż.,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obecnym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krzyżowo-biodrowych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badaniu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rezonansu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magnetycznego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(MR)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klasycznych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zmian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radiograficznych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krzyżowo-biodrowych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obserwowanych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zdjęciach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RTG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obecnym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antygenem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HLA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B27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ustalonym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rozpoznaniem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spondyloartropatii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osiowej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przyczepów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ścięgnistych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rozpoznaniem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spondyloatropatii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podstawie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kryteriów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klasyfikacyjnych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SpA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wg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ASAS</w:t>
            </w:r>
            <w:r w:rsidR="00A75F07">
              <w:rPr>
                <w:sz w:val="20"/>
                <w:szCs w:val="20"/>
              </w:rPr>
              <w:t xml:space="preserve"> </w:t>
            </w:r>
          </w:p>
          <w:p w14:paraId="0470F36C" w14:textId="77777777" w:rsidR="00CA4C90" w:rsidRPr="003F2025" w:rsidRDefault="00901064" w:rsidP="00A75F07">
            <w:pPr>
              <w:pStyle w:val="Akapitzlist"/>
              <w:spacing w:after="60" w:line="276" w:lineRule="auto"/>
              <w:ind w:left="284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oraz</w:t>
            </w:r>
          </w:p>
          <w:p w14:paraId="7C372EA7" w14:textId="240D55A2" w:rsidR="00CA4C90" w:rsidRPr="003F2025" w:rsidRDefault="00901064" w:rsidP="00A75F07">
            <w:pPr>
              <w:pStyle w:val="Akapitzlist"/>
              <w:spacing w:after="60" w:line="276" w:lineRule="auto"/>
              <w:ind w:left="284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lastRenderedPageBreak/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ciężką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postacią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musi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być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udokumentowana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dwukrotnie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odstępie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braku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zmian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okresie:</w:t>
            </w:r>
          </w:p>
          <w:p w14:paraId="6C05B440" w14:textId="2844C26D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przy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dominujących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objawach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strony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kręgosłupa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(postać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osiowa)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mimo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stosowania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dwóch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niesteroidowych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przeciwzapalnych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stosowanych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kolejno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każdy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(podawanych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różnym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czasie)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maksymalnej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rekomendowanej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tolerowanej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dawce;</w:t>
            </w:r>
          </w:p>
          <w:p w14:paraId="31E0F78F" w14:textId="4FC556EC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przy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dominujących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objawach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strony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(postać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obwodowa)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pomimo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dwoma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syntetycznymi,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konwencjonalnymi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modyfikującymi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postęp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choroby:</w:t>
            </w:r>
          </w:p>
          <w:p w14:paraId="1E85E99D" w14:textId="63EC453E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3F2025">
              <w:rPr>
                <w:sz w:val="20"/>
                <w:szCs w:val="20"/>
              </w:rPr>
              <w:t>sulfasalazyna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dawce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2-3g/dobę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maksymalnej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tolerowanej;</w:t>
            </w:r>
          </w:p>
          <w:p w14:paraId="125FFC83" w14:textId="50BD07A0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3F2025">
              <w:rPr>
                <w:sz w:val="20"/>
                <w:szCs w:val="20"/>
              </w:rPr>
              <w:t>metotreksat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dawce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25mg/tydzień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maksymalnej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tolerowanej;</w:t>
            </w:r>
          </w:p>
          <w:p w14:paraId="0766E437" w14:textId="4D9302E9" w:rsidR="00CA4C90" w:rsidRPr="00E027D2" w:rsidRDefault="00901064" w:rsidP="00A75F07">
            <w:pPr>
              <w:spacing w:after="60" w:line="276" w:lineRule="auto"/>
              <w:ind w:left="510"/>
              <w:jc w:val="both"/>
              <w:rPr>
                <w:sz w:val="20"/>
                <w:szCs w:val="20"/>
              </w:rPr>
            </w:pPr>
            <w:r w:rsidRPr="00E027D2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okres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minimum</w:t>
            </w:r>
            <w:r w:rsidR="00A75F07">
              <w:rPr>
                <w:sz w:val="20"/>
                <w:szCs w:val="20"/>
              </w:rPr>
              <w:t xml:space="preserve"> </w:t>
            </w:r>
            <w:r w:rsidR="00540B95">
              <w:rPr>
                <w:sz w:val="20"/>
                <w:szCs w:val="20"/>
              </w:rPr>
              <w:t>3</w:t>
            </w:r>
            <w:r w:rsidR="00A75F07">
              <w:rPr>
                <w:sz w:val="20"/>
                <w:szCs w:val="20"/>
              </w:rPr>
              <w:t xml:space="preserve"> </w:t>
            </w:r>
            <w:r w:rsidR="00540B95" w:rsidRPr="00E027D2">
              <w:rPr>
                <w:sz w:val="20"/>
                <w:szCs w:val="20"/>
              </w:rPr>
              <w:t>miesięcy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każdym</w:t>
            </w:r>
            <w:r w:rsidR="00A75F07">
              <w:rPr>
                <w:sz w:val="20"/>
                <w:szCs w:val="20"/>
              </w:rPr>
              <w:t xml:space="preserve"> </w:t>
            </w:r>
            <w:r w:rsidR="00540B9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po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niepowodzeniu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jednym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wstrzyknięciem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E027D2">
              <w:rPr>
                <w:sz w:val="20"/>
                <w:szCs w:val="20"/>
              </w:rPr>
              <w:t>dostawowym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E027D2">
              <w:rPr>
                <w:sz w:val="20"/>
                <w:szCs w:val="20"/>
              </w:rPr>
              <w:t>glikokortykosteroidów</w:t>
            </w:r>
            <w:proofErr w:type="spellEnd"/>
            <w:r w:rsidRPr="00E027D2">
              <w:rPr>
                <w:sz w:val="20"/>
                <w:szCs w:val="20"/>
              </w:rPr>
              <w:t>;</w:t>
            </w:r>
          </w:p>
          <w:p w14:paraId="114DD56B" w14:textId="4E7C1604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przy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ścięgien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(postać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obwodowa)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pomimo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stosowania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dwóch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niesteroidowych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przeciwzapalnych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kolejno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każdy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(podawanych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różnym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czasie)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maksymalnej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rekomendowanej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tolerowanej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dawce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jednokrotnego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miejscowego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podania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glikokortykosteroidów</w:t>
            </w:r>
            <w:proofErr w:type="spellEnd"/>
            <w:r w:rsidRPr="003F2025">
              <w:rPr>
                <w:sz w:val="20"/>
                <w:szCs w:val="20"/>
              </w:rPr>
              <w:t>.</w:t>
            </w:r>
          </w:p>
          <w:p w14:paraId="72012FA0" w14:textId="77777777" w:rsidR="00CA4C90" w:rsidRPr="003F2025" w:rsidRDefault="00901064" w:rsidP="00A75F07">
            <w:pPr>
              <w:pStyle w:val="Akapitzlist"/>
              <w:spacing w:after="60" w:line="276" w:lineRule="auto"/>
              <w:ind w:left="284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lub</w:t>
            </w:r>
          </w:p>
          <w:p w14:paraId="328D1173" w14:textId="6900C573" w:rsidR="00CA4C90" w:rsidRPr="003F2025" w:rsidRDefault="00901064" w:rsidP="00A75F07">
            <w:pPr>
              <w:pStyle w:val="Akapitzlist"/>
              <w:numPr>
                <w:ilvl w:val="1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0" w:name="_Hlk38970946"/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ustalonym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rozpoznaniem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spondyloartropatii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osiowej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</w:t>
            </w:r>
            <w:proofErr w:type="spellStart"/>
            <w:r w:rsidRPr="003F2025">
              <w:rPr>
                <w:sz w:val="20"/>
                <w:szCs w:val="20"/>
              </w:rPr>
              <w:t>SpA</w:t>
            </w:r>
            <w:proofErr w:type="spellEnd"/>
            <w:r w:rsidRPr="003F2025">
              <w:rPr>
                <w:sz w:val="20"/>
                <w:szCs w:val="20"/>
              </w:rPr>
              <w:t>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zmian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radiograficznych</w:t>
            </w:r>
            <w:bookmarkEnd w:id="0"/>
            <w:r w:rsidRPr="003F2025">
              <w:rPr>
                <w:sz w:val="20"/>
                <w:szCs w:val="20"/>
              </w:rPr>
              <w:t>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wcześniej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leczonych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„Leczenie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inhibitorami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TNF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alfa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świadczeniobiorców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ciężką,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postacią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zesztywniającego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kręgosłupa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(ZZSK)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(ICD-10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45)”,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wystąpił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brak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skuteczności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trakcie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jednym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inhibitorem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TNF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alfa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wystąpiły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działania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niepożądane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trakcie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maksymalnie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dwoma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inhibitorami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TNF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alfa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obecnie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spełniają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pozostałe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kryteria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kwalifikacyjne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niniejszego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lekowego.</w:t>
            </w:r>
          </w:p>
          <w:p w14:paraId="703D878D" w14:textId="031866DF" w:rsidR="00CA4C90" w:rsidRPr="003F2025" w:rsidRDefault="00901064" w:rsidP="00A75F07">
            <w:pPr>
              <w:pStyle w:val="Tekstpodstawowywcity"/>
              <w:numPr>
                <w:ilvl w:val="0"/>
                <w:numId w:val="26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Aktywną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stwierdza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gdy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spełnione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poniższe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kryteria:</w:t>
            </w:r>
          </w:p>
          <w:p w14:paraId="03862D2E" w14:textId="43DB1C47" w:rsidR="00CA4C90" w:rsidRPr="003F2025" w:rsidRDefault="00901064" w:rsidP="00A75F07">
            <w:pPr>
              <w:pStyle w:val="Akapitzlist"/>
              <w:numPr>
                <w:ilvl w:val="1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osiowej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dominujących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objawach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strony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kręgosłupa:</w:t>
            </w:r>
          </w:p>
          <w:p w14:paraId="4D7FE20D" w14:textId="7ED1587A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lastRenderedPageBreak/>
              <w:t>wartość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wskaźnika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BASDAI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≥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ASDAS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≥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2,1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dwukrotnych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pomiarach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odstępie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tygodni;</w:t>
            </w:r>
          </w:p>
          <w:p w14:paraId="3E0FEA3C" w14:textId="3BE3577B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ból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kręgosłupa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≥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oceniony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pomocą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wizualnej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skali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analogowej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VAS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0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10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dwukrotnych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pomiarach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odstępie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tygodni;</w:t>
            </w:r>
          </w:p>
          <w:p w14:paraId="0399CDA7" w14:textId="5E5B83B5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ogólna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ocena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stanu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(aktywności,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ciężkości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dalszej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prognozy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zawodowej)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większa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niż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5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skali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0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10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cm:</w:t>
            </w:r>
          </w:p>
          <w:p w14:paraId="3E732894" w14:textId="479B7DAB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powinna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być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dokonana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przez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prowadzącego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oraz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drugiego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eksperta,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specjalistę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reumatologa,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doświadczonego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chorób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kręgu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spondyloartropatii</w:t>
            </w:r>
            <w:proofErr w:type="spellEnd"/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zapalnych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lekami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biologicznymi;</w:t>
            </w:r>
          </w:p>
          <w:p w14:paraId="62E89659" w14:textId="30814585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eksperta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uwzględnia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się:</w:t>
            </w:r>
          </w:p>
          <w:p w14:paraId="0FDCB358" w14:textId="62F82DB5" w:rsidR="00CA4C90" w:rsidRPr="003F2025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obraz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kliniczny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choroby,</w:t>
            </w:r>
          </w:p>
          <w:p w14:paraId="20D8F6BC" w14:textId="22A08AC7" w:rsidR="00CA4C90" w:rsidRPr="003F2025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czynniki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ryzyka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szybkiej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progresji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choroby,</w:t>
            </w:r>
          </w:p>
          <w:p w14:paraId="3E7E53E0" w14:textId="3F535BF0" w:rsidR="00CA4C90" w:rsidRPr="003F2025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wyniki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badania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wskaźników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ostrej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fazy,</w:t>
            </w:r>
          </w:p>
          <w:p w14:paraId="0F64A074" w14:textId="6F732925" w:rsidR="00CA4C90" w:rsidRPr="003F2025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wyniki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badań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obrazowych,</w:t>
            </w:r>
            <w:r>
              <w:rPr>
                <w:sz w:val="20"/>
                <w:szCs w:val="20"/>
              </w:rPr>
              <w:t xml:space="preserve"> </w:t>
            </w:r>
          </w:p>
          <w:p w14:paraId="226C4115" w14:textId="6F3DB3A5" w:rsidR="00CA4C90" w:rsidRPr="003F2025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aktywności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zawodowej,</w:t>
            </w:r>
          </w:p>
          <w:p w14:paraId="2E098C49" w14:textId="4D66263E" w:rsidR="00CA4C90" w:rsidRPr="003F2025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występowanie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powikłań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narządowych,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tym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wtórnej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01064" w:rsidRPr="003F2025">
              <w:rPr>
                <w:sz w:val="20"/>
                <w:szCs w:val="20"/>
              </w:rPr>
              <w:t>amyloidozy</w:t>
            </w:r>
            <w:proofErr w:type="spellEnd"/>
            <w:r w:rsidR="00901064" w:rsidRPr="003F2025">
              <w:rPr>
                <w:sz w:val="20"/>
                <w:szCs w:val="20"/>
              </w:rPr>
              <w:t>,</w:t>
            </w:r>
          </w:p>
          <w:p w14:paraId="3F579533" w14:textId="4E186171" w:rsidR="00CA4C90" w:rsidRDefault="00A75F07" w:rsidP="00A75F07">
            <w:pPr>
              <w:pStyle w:val="Akapitzlist"/>
              <w:numPr>
                <w:ilvl w:val="4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współistnienie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zapalenia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przyczepów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ścięgnistych,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zajęcia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narządu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wzroku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częstymi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zaostrzeniami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zapalenia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błony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naczyniowej,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możliwości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alternatywnych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sposobów</w:t>
            </w:r>
            <w:r>
              <w:rPr>
                <w:sz w:val="20"/>
                <w:szCs w:val="20"/>
              </w:rPr>
              <w:t xml:space="preserve"> </w:t>
            </w:r>
            <w:r w:rsidR="00901064" w:rsidRPr="003F2025">
              <w:rPr>
                <w:sz w:val="20"/>
                <w:szCs w:val="20"/>
              </w:rPr>
              <w:t>leczenia;</w:t>
            </w:r>
          </w:p>
          <w:p w14:paraId="1E03A6B6" w14:textId="4C2F6727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przez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eksperta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jest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prowadzona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jednokrotnie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drugim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pomiarze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BASDAI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lub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ASDAS;</w:t>
            </w:r>
          </w:p>
          <w:p w14:paraId="0D1F5E26" w14:textId="6852C19D" w:rsidR="00CA4C90" w:rsidRPr="003F2025" w:rsidRDefault="00901064" w:rsidP="00A75F07">
            <w:pPr>
              <w:pStyle w:val="Akapitzlist"/>
              <w:numPr>
                <w:ilvl w:val="1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dominujących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objawach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strony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i/lub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przyczepów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ścięgnistych:</w:t>
            </w:r>
          </w:p>
          <w:p w14:paraId="076B9CF8" w14:textId="11D4B048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liczba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obrzękniętych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i/lub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zmienionych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przyczepów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ścięgnistych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(spośród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ścięgien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Achillesa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rozcięgien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podeszwowych)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–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="00F85471">
              <w:rPr>
                <w:sz w:val="20"/>
                <w:szCs w:val="20"/>
              </w:rPr>
              <w:t>3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łącznie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–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dwukrotnych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pomiarach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odstępie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</w:p>
          <w:p w14:paraId="46717C4F" w14:textId="571B3881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lastRenderedPageBreak/>
              <w:t>liczba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tkliwych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i/lub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przyczepów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ścięgnistych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(spośród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ścięgien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Achillesa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rozcięgien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podeszwowych)–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najmniej</w:t>
            </w:r>
            <w:r w:rsidR="00A75F07">
              <w:rPr>
                <w:sz w:val="20"/>
                <w:szCs w:val="20"/>
              </w:rPr>
              <w:t xml:space="preserve"> </w:t>
            </w:r>
            <w:r w:rsidR="00F85471">
              <w:rPr>
                <w:sz w:val="20"/>
                <w:szCs w:val="20"/>
              </w:rPr>
              <w:t>3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łącznie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-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dwukrotnych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pomiarach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odstępie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przynajmniej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tygodni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</w:p>
          <w:p w14:paraId="0ABAAE9B" w14:textId="42DC32C2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ogólna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ocena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odpowiadająca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wartości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4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5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pięciostopniowej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skali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Likerta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</w:p>
          <w:p w14:paraId="36C923DC" w14:textId="33F5DF76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ogólna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ocena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lekarza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prowadzącego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odpowiadająca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lub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iCs/>
                <w:sz w:val="20"/>
                <w:szCs w:val="20"/>
                <w:lang w:eastAsia="en-US"/>
              </w:rPr>
              <w:t>5</w:t>
            </w:r>
            <w:r w:rsidR="00A75F07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pięciostopniowej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skali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Likerta</w:t>
            </w:r>
            <w:proofErr w:type="spellEnd"/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</w:p>
          <w:p w14:paraId="5D718790" w14:textId="4E47133B" w:rsidR="00CA4C90" w:rsidRPr="003F2025" w:rsidRDefault="00901064" w:rsidP="00A75F07">
            <w:pPr>
              <w:pStyle w:val="Akapitzlist"/>
              <w:numPr>
                <w:ilvl w:val="2"/>
                <w:numId w:val="26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ogólna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stanu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(aktywności,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ciężkości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dalszej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prognozy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oraz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zawodowej),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dokonana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jednokrotnie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drugim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pomiarze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ilości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zajętych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stawów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przyczepów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ścięgnistych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przez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prowadzącego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oraz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drugiego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eksperta,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specjalistę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reumatologa,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doświadczonego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chorób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kręgu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spondyloartropatii</w:t>
            </w:r>
            <w:proofErr w:type="spellEnd"/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zapalnych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lekami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biologicznymi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więcej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niż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cm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skali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od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cm,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czym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eksperta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uwzględnia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się:</w:t>
            </w:r>
          </w:p>
          <w:p w14:paraId="676A7494" w14:textId="3C3E36D4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obraz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kliniczny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choroby,</w:t>
            </w:r>
          </w:p>
          <w:p w14:paraId="7A0746BA" w14:textId="7698C3A7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czynniki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ryzyka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szybkiej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progresji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choroby,</w:t>
            </w:r>
          </w:p>
          <w:p w14:paraId="04313C2B" w14:textId="157786F2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wyniki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badania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wskaźników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ostrej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fazy,</w:t>
            </w:r>
          </w:p>
          <w:p w14:paraId="6FDDF4FE" w14:textId="4811D40A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wyniki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badań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obrazowych,</w:t>
            </w:r>
            <w:r w:rsidR="00A75F07">
              <w:rPr>
                <w:sz w:val="20"/>
                <w:szCs w:val="20"/>
              </w:rPr>
              <w:t xml:space="preserve"> </w:t>
            </w:r>
          </w:p>
          <w:p w14:paraId="310C9708" w14:textId="406BBB34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status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zawodowej,</w:t>
            </w:r>
          </w:p>
          <w:p w14:paraId="4B0AD0F7" w14:textId="732E1962" w:rsidR="00CA4C90" w:rsidRPr="003F2025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występowanie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powikłań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narządowych,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wtórnej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amyloidozy</w:t>
            </w:r>
            <w:proofErr w:type="spellEnd"/>
            <w:r w:rsidRPr="003F2025">
              <w:rPr>
                <w:sz w:val="20"/>
                <w:szCs w:val="20"/>
              </w:rPr>
              <w:t>,</w:t>
            </w:r>
          </w:p>
          <w:p w14:paraId="78FF835F" w14:textId="225275E2" w:rsidR="00CA4C90" w:rsidRDefault="00901064" w:rsidP="00A75F07">
            <w:pPr>
              <w:pStyle w:val="Akapitzlist"/>
              <w:numPr>
                <w:ilvl w:val="3"/>
                <w:numId w:val="2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współistnienie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przyczepów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ścięgnistych,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zajęcia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narządu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wzroku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częstymi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zaostrzeniami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błony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naczyniowej,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możliwości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alternatywnych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sposobów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leczenia.</w:t>
            </w:r>
          </w:p>
          <w:p w14:paraId="7D5FC613" w14:textId="69169F9A" w:rsidR="00CA4C90" w:rsidRPr="001C5FD7" w:rsidRDefault="00901064" w:rsidP="00A75F07">
            <w:pPr>
              <w:pStyle w:val="Tekstpodstawowywcity"/>
              <w:numPr>
                <w:ilvl w:val="0"/>
                <w:numId w:val="26"/>
              </w:numPr>
              <w:spacing w:after="6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przypadkach,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sz w:val="20"/>
                <w:szCs w:val="20"/>
              </w:rPr>
              <w:t>których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pacjentowi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grozi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kalectwo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zagrożone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życie,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decyzją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Zespołu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Koordynacyjnego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Spraw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Reumatycznych,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być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zakwalifikowany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przypadku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niespełnienia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części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kryteriów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opisanych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jeśli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aktualnie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obowiązującymi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rekomendacjami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wiedzą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medyczną.</w:t>
            </w:r>
          </w:p>
          <w:p w14:paraId="5E3EBCC3" w14:textId="10EF5742" w:rsidR="00CA4C90" w:rsidRPr="003F2025" w:rsidRDefault="00901064" w:rsidP="00A75F07">
            <w:pPr>
              <w:pStyle w:val="Tekstpodstawowywcity"/>
              <w:numPr>
                <w:ilvl w:val="0"/>
                <w:numId w:val="26"/>
              </w:numPr>
              <w:spacing w:after="6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przypadku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sz w:val="20"/>
                <w:szCs w:val="20"/>
              </w:rPr>
              <w:t>kobiet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wymagana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świadomą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kontrolę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urodzeń,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Charakterystyką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Produktu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Leczniczego,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odbywa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biologiczne.</w:t>
            </w:r>
          </w:p>
          <w:p w14:paraId="27DC7A67" w14:textId="77777777" w:rsidR="00CA4C90" w:rsidRPr="003F2025" w:rsidRDefault="00CA4C90" w:rsidP="00A75F07">
            <w:pPr>
              <w:pStyle w:val="Akapitzlist"/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0509B08" w14:textId="046B08FE" w:rsidR="00CA4C90" w:rsidRPr="003F2025" w:rsidRDefault="001C5FD7" w:rsidP="00A75F07">
            <w:pPr>
              <w:pStyle w:val="Tekstpodstawowywcity"/>
              <w:spacing w:after="60" w:line="276" w:lineRule="auto"/>
              <w:ind w:left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B.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Kryteria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stanowiące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przeciwwskazania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kwalifikacji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programu</w:t>
            </w:r>
          </w:p>
          <w:p w14:paraId="3F586509" w14:textId="249F5DD1" w:rsidR="00CA4C90" w:rsidRPr="003F2025" w:rsidRDefault="00901064" w:rsidP="00A75F07">
            <w:pPr>
              <w:pStyle w:val="Tekstpodstawowywcity"/>
              <w:spacing w:after="60" w:line="276" w:lineRule="auto"/>
              <w:ind w:left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F2025">
              <w:rPr>
                <w:sz w:val="20"/>
                <w:szCs w:val="20"/>
              </w:rPr>
              <w:t>Przeciwwskazania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udziału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wynikają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przeciwwskazań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stosowania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określonych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Charakterystyce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Produktu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Leczniczego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ujętej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lekowym,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uwzględnieniem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rekomendacji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EULAR/ASAS.</w:t>
            </w:r>
          </w:p>
          <w:p w14:paraId="3D28F006" w14:textId="77777777" w:rsidR="00CA4C90" w:rsidRPr="003F2025" w:rsidRDefault="00CA4C90" w:rsidP="00A75F07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68CE347" w14:textId="31BB8362" w:rsidR="00CA4C90" w:rsidRPr="003F2025" w:rsidRDefault="001C5FD7" w:rsidP="00A75F07">
            <w:pPr>
              <w:pStyle w:val="Tekstpodstawowywcity"/>
              <w:spacing w:after="60" w:line="276" w:lineRule="auto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sz w:val="20"/>
                <w:szCs w:val="20"/>
              </w:rPr>
              <w:t>Adekwatna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sz w:val="20"/>
                <w:szCs w:val="20"/>
              </w:rPr>
              <w:t>odpowiedź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sz w:val="20"/>
                <w:szCs w:val="20"/>
              </w:rPr>
              <w:t>na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sz w:val="20"/>
                <w:szCs w:val="20"/>
              </w:rPr>
              <w:t>leczenie</w:t>
            </w:r>
          </w:p>
          <w:p w14:paraId="45F81779" w14:textId="15E676A3" w:rsidR="00CA4C90" w:rsidRPr="003F2025" w:rsidRDefault="00901064" w:rsidP="00A75F07">
            <w:pPr>
              <w:pStyle w:val="Akapitzlist"/>
              <w:numPr>
                <w:ilvl w:val="0"/>
                <w:numId w:val="28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przypadku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postaci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osiowej:</w:t>
            </w:r>
          </w:p>
          <w:p w14:paraId="59A96063" w14:textId="771DEEE0" w:rsidR="00CA4C90" w:rsidRPr="003F2025" w:rsidRDefault="00901064" w:rsidP="00A75F07">
            <w:pPr>
              <w:pStyle w:val="Akapitzlist"/>
              <w:numPr>
                <w:ilvl w:val="3"/>
                <w:numId w:val="28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miesiącach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(±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miesiąc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terapii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zmniejszenie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BASDAI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≥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50%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lub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≥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jednostki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albo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zmniejszenie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ASDAS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50%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lub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≥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1,1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jednostki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stosunku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sprzed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leczenia,</w:t>
            </w:r>
          </w:p>
          <w:p w14:paraId="51E3913A" w14:textId="6453BBF4" w:rsidR="00CA4C90" w:rsidRPr="003F2025" w:rsidRDefault="00901064" w:rsidP="00A75F07">
            <w:pPr>
              <w:pStyle w:val="Akapitzlist"/>
              <w:numPr>
                <w:ilvl w:val="3"/>
                <w:numId w:val="28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miesiącach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(±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miesiąc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terapii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uzyskanie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niskiej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mierzonej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BASDAI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&lt;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albo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ASDAS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&lt;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1,3;</w:t>
            </w:r>
          </w:p>
          <w:p w14:paraId="2247410D" w14:textId="5A7F3186" w:rsidR="00CA4C90" w:rsidRPr="003F2025" w:rsidRDefault="00901064" w:rsidP="00A75F07">
            <w:pPr>
              <w:pStyle w:val="Akapitzlist"/>
              <w:numPr>
                <w:ilvl w:val="0"/>
                <w:numId w:val="28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przypadku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postaci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obwodowej:</w:t>
            </w:r>
          </w:p>
          <w:p w14:paraId="2297678A" w14:textId="0268AD4C" w:rsidR="00CA4C90" w:rsidRPr="003F2025" w:rsidRDefault="00901064" w:rsidP="00A75F07">
            <w:pPr>
              <w:pStyle w:val="Akapitzlist"/>
              <w:numPr>
                <w:ilvl w:val="3"/>
                <w:numId w:val="28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miesiącach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(±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miesiąc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terapii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zmniejszenie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najmniej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30%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stosunku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sprzed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łącznej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liczby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zajętych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stawów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przyczepów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ścięgnistych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oraz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zmniejszenie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wg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skali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Likerta</w:t>
            </w:r>
            <w:proofErr w:type="spellEnd"/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najmniej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jedną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jednostkę,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zarówno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chorego,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jak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lekarza,</w:t>
            </w:r>
          </w:p>
          <w:p w14:paraId="256BEE7A" w14:textId="5D47D03E" w:rsidR="00CA4C90" w:rsidRDefault="00901064" w:rsidP="00A75F07">
            <w:pPr>
              <w:pStyle w:val="Akapitzlist"/>
              <w:numPr>
                <w:ilvl w:val="3"/>
                <w:numId w:val="28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miesiącach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(±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85471">
              <w:rPr>
                <w:rFonts w:eastAsiaTheme="minorHAnsi"/>
                <w:sz w:val="20"/>
                <w:szCs w:val="20"/>
                <w:lang w:eastAsia="en-US"/>
              </w:rPr>
              <w:t>miesiąc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terapii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osiągnięcie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niskiej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definiowanej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jako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zmniejszenie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najmniej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50%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stosunku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wartości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sprzed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łącznej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liczby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zajętych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stawów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przyczepów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ścięgnistych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oraz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wg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skali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Likerta</w:t>
            </w:r>
            <w:proofErr w:type="spellEnd"/>
            <w:r w:rsidRPr="003F2025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zarówno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ocenie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chorego,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jak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lekarza.</w:t>
            </w:r>
          </w:p>
          <w:p w14:paraId="3A1EE6C2" w14:textId="77777777" w:rsidR="001C5FD7" w:rsidRPr="003F2025" w:rsidRDefault="001C5FD7" w:rsidP="00A75F07">
            <w:pPr>
              <w:pStyle w:val="Akapitzlist"/>
              <w:spacing w:after="60" w:line="276" w:lineRule="auto"/>
              <w:ind w:left="737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8A893E4" w14:textId="42BECF50" w:rsidR="00CA4C90" w:rsidRPr="003F2025" w:rsidRDefault="001C5FD7" w:rsidP="00A75F07">
            <w:pPr>
              <w:pStyle w:val="Tekstpodstawowywcity"/>
              <w:spacing w:after="60" w:line="276" w:lineRule="auto"/>
              <w:ind w:left="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D.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Kryteria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i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warunki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zamiany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terapii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na</w:t>
            </w:r>
            <w:r w:rsidR="00A75F0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901064" w:rsidRPr="003F2025">
              <w:rPr>
                <w:b/>
                <w:bCs/>
                <w:iCs/>
                <w:sz w:val="20"/>
                <w:szCs w:val="20"/>
              </w:rPr>
              <w:t>inną</w:t>
            </w:r>
          </w:p>
          <w:p w14:paraId="363E55F0" w14:textId="30890A53" w:rsidR="00CA4C90" w:rsidRPr="003F2025" w:rsidRDefault="00901064" w:rsidP="00A75F07">
            <w:pPr>
              <w:numPr>
                <w:ilvl w:val="0"/>
                <w:numId w:val="29"/>
              </w:numPr>
              <w:suppressAutoHyphens/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lastRenderedPageBreak/>
              <w:t>Zmiana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inną,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wymienioną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możliwa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tylko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następujących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sytuacjach:</w:t>
            </w:r>
          </w:p>
          <w:p w14:paraId="1073B64D" w14:textId="2E16C2F3" w:rsidR="00CA4C90" w:rsidRPr="003F2025" w:rsidRDefault="00901064" w:rsidP="00A75F07">
            <w:pPr>
              <w:widowControl w:val="0"/>
              <w:numPr>
                <w:ilvl w:val="3"/>
                <w:numId w:val="2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wystąpienie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ciężkiej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reakcji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uczuleniowej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pomocniczą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</w:p>
          <w:p w14:paraId="422560D8" w14:textId="3008E8B8" w:rsidR="00CA4C90" w:rsidRPr="003F2025" w:rsidRDefault="00901064" w:rsidP="00A75F07">
            <w:pPr>
              <w:widowControl w:val="0"/>
              <w:numPr>
                <w:ilvl w:val="3"/>
                <w:numId w:val="2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wystąpienie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ciężkich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działań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niepożądanych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uniemożliwiających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kontynuowanie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ustępują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mimo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dostosowywania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dawki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ChPL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</w:p>
          <w:p w14:paraId="2F011324" w14:textId="61351943" w:rsidR="00CA4C90" w:rsidRPr="003F2025" w:rsidRDefault="00901064" w:rsidP="00A75F07">
            <w:pPr>
              <w:widowControl w:val="0"/>
              <w:numPr>
                <w:ilvl w:val="3"/>
                <w:numId w:val="2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brak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uzyskania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adekwatnej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odpowiedzi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zastosowaną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pkt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utrata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adekwatnej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odpowiedzi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stwierdzona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trakcie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dwóch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kolejnych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wizyt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monitorujących.</w:t>
            </w:r>
          </w:p>
          <w:p w14:paraId="5748094B" w14:textId="3D3C5526" w:rsidR="00CA4C90" w:rsidRPr="003F2025" w:rsidRDefault="00901064" w:rsidP="00A75F07">
            <w:pPr>
              <w:numPr>
                <w:ilvl w:val="0"/>
                <w:numId w:val="2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ramach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lekowego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dotyczącego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SpA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możliwe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zastosowanie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więcej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niż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dwóch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inhibitorów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TNF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alfa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przypadku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osiowej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</w:t>
            </w:r>
            <w:proofErr w:type="spellStart"/>
            <w:r w:rsidRPr="003F2025">
              <w:rPr>
                <w:sz w:val="20"/>
                <w:szCs w:val="20"/>
              </w:rPr>
              <w:t>certolizumab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pegol</w:t>
            </w:r>
            <w:proofErr w:type="spellEnd"/>
            <w:r w:rsidRPr="003F2025">
              <w:rPr>
                <w:sz w:val="20"/>
                <w:szCs w:val="20"/>
              </w:rPr>
              <w:t>,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etanercept</w:t>
            </w:r>
            <w:proofErr w:type="spellEnd"/>
            <w:r w:rsidRPr="003F2025">
              <w:rPr>
                <w:sz w:val="20"/>
                <w:szCs w:val="20"/>
              </w:rPr>
              <w:t>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więcej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niż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jednego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inhibitora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TNF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alfa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przypadku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postaci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</w:t>
            </w:r>
            <w:proofErr w:type="spellStart"/>
            <w:r w:rsidRPr="003F2025">
              <w:rPr>
                <w:sz w:val="20"/>
                <w:szCs w:val="20"/>
              </w:rPr>
              <w:t>certolizumab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pegol</w:t>
            </w:r>
            <w:proofErr w:type="spellEnd"/>
            <w:r w:rsidRPr="003F2025">
              <w:rPr>
                <w:sz w:val="20"/>
                <w:szCs w:val="20"/>
              </w:rPr>
              <w:t>)</w:t>
            </w:r>
          </w:p>
          <w:p w14:paraId="01996B73" w14:textId="4AB5EC05" w:rsidR="00CA4C90" w:rsidRPr="003F2025" w:rsidRDefault="00901064" w:rsidP="00A75F07">
            <w:pPr>
              <w:numPr>
                <w:ilvl w:val="0"/>
                <w:numId w:val="2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ramach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dopuszcza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możliwości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ponownej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kwalifikacji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był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przeszłości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nieskutecznie.</w:t>
            </w:r>
          </w:p>
          <w:p w14:paraId="75BBCF26" w14:textId="7ECA06DC" w:rsidR="00CA4C90" w:rsidRPr="001C5FD7" w:rsidRDefault="00901064" w:rsidP="00A75F07">
            <w:pPr>
              <w:numPr>
                <w:ilvl w:val="0"/>
                <w:numId w:val="29"/>
              </w:numPr>
              <w:spacing w:after="6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sz w:val="20"/>
                <w:szCs w:val="20"/>
              </w:rPr>
              <w:t>Kwalifikacja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drugiego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ramach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lekowego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wymaga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Zespołu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Koordynacyjnego,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jeśli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opisem.</w:t>
            </w:r>
            <w:r w:rsidR="00A75F07">
              <w:rPr>
                <w:sz w:val="20"/>
                <w:szCs w:val="20"/>
              </w:rPr>
              <w:t xml:space="preserve"> </w:t>
            </w:r>
          </w:p>
          <w:p w14:paraId="4E67167B" w14:textId="77777777" w:rsidR="001C5FD7" w:rsidRPr="003F2025" w:rsidRDefault="001C5FD7" w:rsidP="00A75F07">
            <w:pPr>
              <w:spacing w:after="60" w:line="276" w:lineRule="auto"/>
              <w:ind w:left="22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106E3BC" w14:textId="4EA604D9" w:rsidR="00CA4C90" w:rsidRPr="003F2025" w:rsidRDefault="001C5FD7" w:rsidP="00A75F07">
            <w:pPr>
              <w:pStyle w:val="Tekstpodstawowywcity"/>
              <w:spacing w:after="60" w:line="276" w:lineRule="auto"/>
              <w:ind w:left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E.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Kryteria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wyłączenia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programu</w:t>
            </w:r>
          </w:p>
          <w:p w14:paraId="405B7D23" w14:textId="19EEB8AA" w:rsidR="00CA4C90" w:rsidRPr="003F2025" w:rsidRDefault="00901064" w:rsidP="00A75F07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brak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uzyskania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adekwatnej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odpowiedzi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zgodnie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pkt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C;</w:t>
            </w:r>
          </w:p>
          <w:p w14:paraId="10DC7964" w14:textId="50BD7005" w:rsidR="00CA4C90" w:rsidRPr="003F2025" w:rsidRDefault="00901064" w:rsidP="00A75F07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utrata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adekwatnej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odpowiedzi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zgodnie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pkt.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stwierdzony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trakcie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dwóch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wizyt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monitorujących;</w:t>
            </w:r>
          </w:p>
          <w:p w14:paraId="59930548" w14:textId="6751971F" w:rsidR="00CA4C90" w:rsidRPr="003F2025" w:rsidRDefault="00901064" w:rsidP="00A75F07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wystąpienie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działań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niepożądanych,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które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opinii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lekarza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prowadzącego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oraz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zgodnie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Charakterystyką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produktu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Leczniczego,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którym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prowadzona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jest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terapia,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przeciwwskazaniami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daną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substancją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czynną.</w:t>
            </w:r>
          </w:p>
          <w:p w14:paraId="783E8D45" w14:textId="77777777" w:rsidR="00CA4C90" w:rsidRPr="003F2025" w:rsidRDefault="00CA4C90" w:rsidP="00A75F07">
            <w:pPr>
              <w:pStyle w:val="Akapitzlist"/>
              <w:spacing w:after="60" w:line="276" w:lineRule="auto"/>
              <w:ind w:left="360"/>
              <w:contextualSpacing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2BE8269" w14:textId="076076EE" w:rsidR="00CA4C90" w:rsidRPr="003F2025" w:rsidRDefault="001C5FD7" w:rsidP="00A75F07">
            <w:pPr>
              <w:pStyle w:val="Tekstpodstawowywcity"/>
              <w:spacing w:after="60" w:line="276" w:lineRule="auto"/>
              <w:ind w:left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F.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Czas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programie</w:t>
            </w:r>
          </w:p>
          <w:p w14:paraId="319DB0D1" w14:textId="77A07FE4" w:rsidR="00CA4C90" w:rsidRPr="003F2025" w:rsidRDefault="00901064" w:rsidP="00A75F07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Kryteria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kwalifikacji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wyłączenia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programu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określają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czas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programie.</w:t>
            </w:r>
          </w:p>
          <w:p w14:paraId="33E1D338" w14:textId="2A92F243" w:rsidR="00CA4C90" w:rsidRPr="003F2025" w:rsidRDefault="00901064" w:rsidP="00A75F07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lastRenderedPageBreak/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przypadku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istotnej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czasowej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przerwy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schemat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monitorowania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ulega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modyfikacji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uwzględnieniem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okresu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przerwy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podawaniu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leku.</w:t>
            </w:r>
          </w:p>
          <w:p w14:paraId="644DD84C" w14:textId="2CEBB1B5" w:rsidR="00CA4C90" w:rsidRPr="003F2025" w:rsidRDefault="00901064" w:rsidP="00A75F07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Lekarz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prowadzący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zwrócić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Zespołu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Koordynacyjnego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Spraw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Biologicznego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Reumatycznych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wyrażenie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kontynuację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.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uzasadnionych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sytuacjach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klinicznych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przypadku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nieuzyskania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niskiej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pkt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ppkt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1b)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2b),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szczególnie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wyjściową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bardzo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dużą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występowaniem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czynników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złej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prognozy.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Zespołu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Koordynacyjnego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dalsze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przypadku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braku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uzyskania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niskiej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aktywności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choroby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6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miesiącach</w:t>
            </w:r>
            <w:r w:rsidR="00A75F07">
              <w:rPr>
                <w:sz w:val="20"/>
                <w:szCs w:val="20"/>
              </w:rPr>
              <w:t xml:space="preserve"> </w:t>
            </w:r>
            <w:r w:rsidR="005239A8">
              <w:rPr>
                <w:sz w:val="20"/>
                <w:szCs w:val="20"/>
              </w:rPr>
              <w:t>(</w:t>
            </w:r>
            <w:r w:rsidR="005239A8" w:rsidRPr="00A72E26">
              <w:rPr>
                <w:sz w:val="20"/>
                <w:szCs w:val="20"/>
              </w:rPr>
              <w:t>±</w:t>
            </w:r>
            <w:r w:rsidR="005239A8">
              <w:rPr>
                <w:sz w:val="20"/>
                <w:szCs w:val="20"/>
              </w:rPr>
              <w:t>1</w:t>
            </w:r>
            <w:r w:rsidR="00A75F07">
              <w:rPr>
                <w:sz w:val="20"/>
                <w:szCs w:val="20"/>
              </w:rPr>
              <w:t xml:space="preserve"> </w:t>
            </w:r>
            <w:r w:rsidR="005239A8">
              <w:rPr>
                <w:sz w:val="20"/>
                <w:szCs w:val="20"/>
              </w:rPr>
              <w:t>miesiąc)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możliwe.</w:t>
            </w:r>
          </w:p>
          <w:p w14:paraId="196FB78D" w14:textId="77777777" w:rsidR="00CA4C90" w:rsidRPr="003F2025" w:rsidRDefault="00CA4C90" w:rsidP="00A75F07">
            <w:pPr>
              <w:pStyle w:val="Akapitzlist"/>
              <w:spacing w:after="60" w:line="276" w:lineRule="auto"/>
              <w:ind w:left="360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DE14AD3" w14:textId="58F99D56" w:rsidR="00CA4C90" w:rsidRPr="003F2025" w:rsidRDefault="001C5FD7" w:rsidP="00A75F07">
            <w:pPr>
              <w:pStyle w:val="Tekstpodstawowywcity"/>
              <w:spacing w:after="60" w:line="276" w:lineRule="auto"/>
              <w:ind w:left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G.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Kryteria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ponownego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włączenia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901064" w:rsidRPr="003F2025">
              <w:rPr>
                <w:rFonts w:eastAsiaTheme="minorHAnsi"/>
                <w:b/>
                <w:sz w:val="20"/>
                <w:szCs w:val="20"/>
                <w:lang w:eastAsia="en-US"/>
              </w:rPr>
              <w:t>programu</w:t>
            </w:r>
          </w:p>
          <w:p w14:paraId="7700801A" w14:textId="27AFF505" w:rsidR="00CA4C90" w:rsidRPr="003F2025" w:rsidRDefault="00901064" w:rsidP="00A75F07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Pacjent,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którego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zakończono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ramach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programu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substancją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czynną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leku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biologicznego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zastosowaną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zgodnie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zapisami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programu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powodu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uzyskania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niskiej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aktywności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którego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trakcie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badania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kontrolnego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stwierdzono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nawrót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zgodny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kryteriami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udziału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programie,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jest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włączany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ramach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programu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bez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kwalifikacji.</w:t>
            </w:r>
          </w:p>
          <w:p w14:paraId="693F6499" w14:textId="579135EB" w:rsidR="00CA4C90" w:rsidRPr="003F2025" w:rsidRDefault="00901064" w:rsidP="00A75F07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Pacjent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jest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włączany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do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ponownego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leczenia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substancją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czynną,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której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zastosowanie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wywołało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niską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aktywność</w:t>
            </w:r>
            <w:r w:rsidR="00A75F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2025">
              <w:rPr>
                <w:rFonts w:eastAsiaTheme="minorHAnsi"/>
                <w:sz w:val="20"/>
                <w:szCs w:val="20"/>
                <w:lang w:eastAsia="en-US"/>
              </w:rPr>
              <w:t>choroby.</w:t>
            </w:r>
          </w:p>
          <w:p w14:paraId="31657180" w14:textId="1822B9AE" w:rsidR="00CA4C90" w:rsidRPr="001C5FD7" w:rsidRDefault="00901064" w:rsidP="00A75F07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być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ponownie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włączony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zaprzestano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podawania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wymienionej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zastosowanej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jego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treścią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powodu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wystąpienia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działań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niepożądanych,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ustąpiły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odstawieniu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bądź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zastosowanym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opinii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lekarza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prowadzącego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powrót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samą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stanowi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ryzyka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dla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pacjenta.</w:t>
            </w:r>
            <w:r w:rsidR="00A75F07">
              <w:rPr>
                <w:sz w:val="20"/>
                <w:szCs w:val="20"/>
              </w:rPr>
              <w:t xml:space="preserve"> </w:t>
            </w:r>
          </w:p>
          <w:p w14:paraId="400324DD" w14:textId="4BC0756B" w:rsidR="001C5FD7" w:rsidRPr="003F2025" w:rsidRDefault="001C5FD7" w:rsidP="00A75F07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9FF9C" w14:textId="4C5A5C70" w:rsidR="00CA4C90" w:rsidRPr="001C5FD7" w:rsidRDefault="00901064" w:rsidP="00A75F07">
            <w:pPr>
              <w:spacing w:before="120" w:after="60" w:line="276" w:lineRule="auto"/>
              <w:rPr>
                <w:b/>
                <w:sz w:val="20"/>
                <w:szCs w:val="20"/>
              </w:rPr>
            </w:pPr>
            <w:r w:rsidRPr="001C5FD7">
              <w:rPr>
                <w:b/>
                <w:sz w:val="20"/>
                <w:szCs w:val="20"/>
              </w:rPr>
              <w:lastRenderedPageBreak/>
              <w:t>Dawkowanie</w:t>
            </w:r>
          </w:p>
          <w:p w14:paraId="3BBFEEE5" w14:textId="2CA266D0" w:rsidR="00CA4C90" w:rsidRPr="003F2025" w:rsidRDefault="00901064" w:rsidP="00A75F07">
            <w:pPr>
              <w:pStyle w:val="Akapitzlist"/>
              <w:numPr>
                <w:ilvl w:val="0"/>
                <w:numId w:val="3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3F2025">
              <w:rPr>
                <w:sz w:val="20"/>
                <w:szCs w:val="20"/>
              </w:rPr>
              <w:t>Certolizumab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pegol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etanercept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należy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podawać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dawkowaniem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określonym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aktualnej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dzień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wydania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decyzji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Charakterystyce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Produktu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Leczniczego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uwzględnieniem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rekomendacji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EULAR/ASAS,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możliwości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zmniejszenia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dawki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leku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wydłużenia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odstępu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pomiędzy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kolejnymi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dawkami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pacjentów,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których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uzyskano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cel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terapii.</w:t>
            </w:r>
          </w:p>
          <w:p w14:paraId="4D3C9E42" w14:textId="2EC59703" w:rsidR="00CA4C90" w:rsidRPr="003F2025" w:rsidRDefault="00901064" w:rsidP="00A75F07">
            <w:pPr>
              <w:pStyle w:val="Akapitzlist"/>
              <w:numPr>
                <w:ilvl w:val="0"/>
                <w:numId w:val="33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zapaleniem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stawów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obwodowych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należy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rozważyć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łączne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stosowanie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certolizumabu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pegol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metotreksatem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sulfasalazyną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skutecznych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klinicznie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dobrze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tolerowanych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dawkach.</w:t>
            </w:r>
          </w:p>
          <w:p w14:paraId="2990265D" w14:textId="77777777" w:rsidR="00CA4C90" w:rsidRPr="003F2025" w:rsidRDefault="00CA4C90" w:rsidP="00A75F07">
            <w:pPr>
              <w:spacing w:after="60" w:line="276" w:lineRule="auto"/>
              <w:ind w:left="-43"/>
              <w:rPr>
                <w:sz w:val="20"/>
                <w:szCs w:val="20"/>
              </w:rPr>
            </w:pPr>
          </w:p>
          <w:p w14:paraId="1A1C9634" w14:textId="77777777" w:rsidR="00CA4C90" w:rsidRPr="003F2025" w:rsidRDefault="00CA4C90" w:rsidP="00A75F07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5BB0941" w14:textId="77777777" w:rsidR="00CA4C90" w:rsidRPr="003F2025" w:rsidRDefault="00CA4C90" w:rsidP="00A75F07">
            <w:pPr>
              <w:pStyle w:val="Default"/>
              <w:spacing w:after="6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35EDD95" w14:textId="77777777" w:rsidR="00CA4C90" w:rsidRPr="003F2025" w:rsidRDefault="00CA4C90" w:rsidP="00A75F07">
            <w:pPr>
              <w:pStyle w:val="Default"/>
              <w:spacing w:after="60"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73DDF" w14:textId="5CD131B6" w:rsidR="00CA4C90" w:rsidRPr="003F2025" w:rsidRDefault="00901064" w:rsidP="00A75F07">
            <w:pPr>
              <w:pStyle w:val="Akapitzlist"/>
              <w:numPr>
                <w:ilvl w:val="0"/>
                <w:numId w:val="34"/>
              </w:numPr>
              <w:spacing w:before="120"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F2025">
              <w:rPr>
                <w:b/>
                <w:sz w:val="20"/>
                <w:szCs w:val="20"/>
              </w:rPr>
              <w:t>Badania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przy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kwalifikacji</w:t>
            </w:r>
          </w:p>
          <w:p w14:paraId="38BD7C50" w14:textId="7E1E2F61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oznaczenie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antygenu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HLA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B27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kiedykolwiek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w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przeszłości;</w:t>
            </w:r>
          </w:p>
          <w:p w14:paraId="5856DCE8" w14:textId="6A47A7E2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morfologia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krwi;</w:t>
            </w:r>
          </w:p>
          <w:p w14:paraId="176593F0" w14:textId="52888B6E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płytki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krwi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(PLT);</w:t>
            </w:r>
          </w:p>
          <w:p w14:paraId="2EE927FE" w14:textId="1DC20FB8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odczyn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Biernackiego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(OB);</w:t>
            </w:r>
          </w:p>
          <w:p w14:paraId="41B011E4" w14:textId="27367E76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aminotransferaza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bCs/>
                <w:iCs/>
                <w:sz w:val="20"/>
                <w:szCs w:val="20"/>
              </w:rPr>
              <w:t>asparaginianowa</w:t>
            </w:r>
            <w:proofErr w:type="spellEnd"/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</w:t>
            </w:r>
            <w:proofErr w:type="spellStart"/>
            <w:r w:rsidRPr="003F2025">
              <w:rPr>
                <w:bCs/>
                <w:iCs/>
                <w:sz w:val="20"/>
                <w:szCs w:val="20"/>
              </w:rPr>
              <w:t>AspAT</w:t>
            </w:r>
            <w:proofErr w:type="spellEnd"/>
            <w:r w:rsidRPr="003F2025">
              <w:rPr>
                <w:bCs/>
                <w:iCs/>
                <w:sz w:val="20"/>
                <w:szCs w:val="20"/>
              </w:rPr>
              <w:t>);</w:t>
            </w:r>
          </w:p>
          <w:p w14:paraId="1AAB30C5" w14:textId="1FF0BE65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aminotransferaza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alaninowa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</w:t>
            </w:r>
            <w:proofErr w:type="spellStart"/>
            <w:r w:rsidRPr="003F2025">
              <w:rPr>
                <w:bCs/>
                <w:iCs/>
                <w:sz w:val="20"/>
                <w:szCs w:val="20"/>
              </w:rPr>
              <w:t>AlAT</w:t>
            </w:r>
            <w:proofErr w:type="spellEnd"/>
            <w:r w:rsidRPr="003F2025">
              <w:rPr>
                <w:bCs/>
                <w:iCs/>
                <w:sz w:val="20"/>
                <w:szCs w:val="20"/>
              </w:rPr>
              <w:t>);</w:t>
            </w:r>
          </w:p>
          <w:p w14:paraId="347AC059" w14:textId="5B05D8AB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stężenie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kreatyniny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w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surowicy;</w:t>
            </w:r>
          </w:p>
          <w:p w14:paraId="6431D472" w14:textId="1135F9D3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stężenie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białka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C-reaktywnego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(CRP);</w:t>
            </w:r>
          </w:p>
          <w:p w14:paraId="66B00981" w14:textId="1BFDFFA1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badanie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ogólne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moczu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(do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decyzji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lekarza);</w:t>
            </w:r>
          </w:p>
          <w:p w14:paraId="0A698FE1" w14:textId="4E8B7D53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próba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tuberkulinowa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lub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test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bCs/>
                <w:iCs/>
                <w:sz w:val="20"/>
                <w:szCs w:val="20"/>
              </w:rPr>
              <w:t>Quantiferon</w:t>
            </w:r>
            <w:proofErr w:type="spellEnd"/>
            <w:r w:rsidRPr="003F2025">
              <w:rPr>
                <w:bCs/>
                <w:iCs/>
                <w:sz w:val="20"/>
                <w:szCs w:val="20"/>
              </w:rPr>
              <w:t>;</w:t>
            </w:r>
          </w:p>
          <w:p w14:paraId="0EC16170" w14:textId="36B46F72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obecność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antygenu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bCs/>
                <w:iCs/>
                <w:sz w:val="20"/>
                <w:szCs w:val="20"/>
              </w:rPr>
              <w:t>HBs</w:t>
            </w:r>
            <w:proofErr w:type="spellEnd"/>
            <w:r w:rsidRPr="003F2025">
              <w:rPr>
                <w:bCs/>
                <w:iCs/>
                <w:sz w:val="20"/>
                <w:szCs w:val="20"/>
              </w:rPr>
              <w:t>;</w:t>
            </w:r>
          </w:p>
          <w:p w14:paraId="2BC3D018" w14:textId="62141D84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przeciwciała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anty-HCV;</w:t>
            </w:r>
          </w:p>
          <w:p w14:paraId="1212EA5C" w14:textId="17CF4347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obecność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antygenu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wirusa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HIV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(HIV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Ag/Ab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Combo);</w:t>
            </w:r>
          </w:p>
          <w:p w14:paraId="7AB58364" w14:textId="63447346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RTG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klatki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piersiowej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z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opisem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(maksymalnie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do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6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miesięcy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przed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kwalifikacją);</w:t>
            </w:r>
          </w:p>
          <w:p w14:paraId="207E8778" w14:textId="3E076076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lastRenderedPageBreak/>
              <w:t>EKG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z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opisem;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11FCF0D" w14:textId="72B00CCC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badanie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obrazowe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RTG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stawów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krzyżowo-biodrowych;</w:t>
            </w:r>
          </w:p>
          <w:p w14:paraId="2C56F200" w14:textId="77143828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bCs/>
                <w:iCs/>
                <w:sz w:val="20"/>
                <w:szCs w:val="20"/>
              </w:rPr>
            </w:pPr>
            <w:r w:rsidRPr="003F2025">
              <w:rPr>
                <w:bCs/>
                <w:iCs/>
                <w:sz w:val="20"/>
                <w:szCs w:val="20"/>
              </w:rPr>
              <w:t>MR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stawów</w:t>
            </w:r>
            <w:r w:rsidR="00A75F07">
              <w:rPr>
                <w:bCs/>
                <w:iCs/>
                <w:sz w:val="20"/>
                <w:szCs w:val="20"/>
              </w:rPr>
              <w:t xml:space="preserve"> </w:t>
            </w:r>
            <w:r w:rsidRPr="003F2025">
              <w:rPr>
                <w:bCs/>
                <w:iCs/>
                <w:sz w:val="20"/>
                <w:szCs w:val="20"/>
              </w:rPr>
              <w:t>krzyżowo-biodrowych.</w:t>
            </w:r>
          </w:p>
          <w:p w14:paraId="1E8EC065" w14:textId="77777777" w:rsidR="00CA4C90" w:rsidRPr="003F2025" w:rsidRDefault="00CA4C90" w:rsidP="00A75F07">
            <w:pPr>
              <w:spacing w:after="60" w:line="276" w:lineRule="auto"/>
              <w:ind w:left="180"/>
              <w:jc w:val="both"/>
              <w:rPr>
                <w:bCs/>
                <w:iCs/>
                <w:sz w:val="20"/>
                <w:szCs w:val="20"/>
              </w:rPr>
            </w:pPr>
          </w:p>
          <w:p w14:paraId="6577A6B9" w14:textId="7338474A" w:rsidR="00CA4C90" w:rsidRPr="003F2025" w:rsidRDefault="00901064" w:rsidP="00A75F07">
            <w:pPr>
              <w:pStyle w:val="Akapitzlist"/>
              <w:numPr>
                <w:ilvl w:val="0"/>
                <w:numId w:val="34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F2025">
              <w:rPr>
                <w:b/>
                <w:sz w:val="20"/>
                <w:szCs w:val="20"/>
              </w:rPr>
              <w:t>Monitorowanie</w:t>
            </w:r>
            <w:r w:rsidR="00A75F07">
              <w:rPr>
                <w:b/>
                <w:sz w:val="20"/>
                <w:szCs w:val="20"/>
              </w:rPr>
              <w:t xml:space="preserve"> </w:t>
            </w:r>
            <w:r w:rsidRPr="003F2025">
              <w:rPr>
                <w:b/>
                <w:sz w:val="20"/>
                <w:szCs w:val="20"/>
              </w:rPr>
              <w:t>leczenia</w:t>
            </w:r>
          </w:p>
          <w:p w14:paraId="3A4404B6" w14:textId="64A6FED0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Po</w:t>
            </w:r>
            <w:r w:rsidR="00A75F07">
              <w:rPr>
                <w:sz w:val="20"/>
                <w:szCs w:val="20"/>
              </w:rPr>
              <w:t xml:space="preserve"> </w:t>
            </w:r>
            <w:r w:rsidR="00F67DD2">
              <w:rPr>
                <w:sz w:val="20"/>
                <w:szCs w:val="20"/>
              </w:rPr>
              <w:t>3</w:t>
            </w:r>
            <w:r w:rsidR="00A75F07">
              <w:rPr>
                <w:sz w:val="20"/>
                <w:szCs w:val="20"/>
              </w:rPr>
              <w:t xml:space="preserve"> </w:t>
            </w:r>
            <w:r w:rsidR="00F67DD2">
              <w:rPr>
                <w:sz w:val="20"/>
                <w:szCs w:val="20"/>
              </w:rPr>
              <w:t>miesiącach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(±</w:t>
            </w:r>
            <w:r w:rsidR="00F67DD2">
              <w:rPr>
                <w:sz w:val="20"/>
                <w:szCs w:val="20"/>
              </w:rPr>
              <w:t>1</w:t>
            </w:r>
            <w:r w:rsidR="00A75F07">
              <w:rPr>
                <w:sz w:val="20"/>
                <w:szCs w:val="20"/>
              </w:rPr>
              <w:t xml:space="preserve"> </w:t>
            </w:r>
            <w:r w:rsidR="00F67DD2">
              <w:rPr>
                <w:sz w:val="20"/>
                <w:szCs w:val="20"/>
              </w:rPr>
              <w:t>miesiąc</w:t>
            </w:r>
            <w:r w:rsidRPr="003F2025">
              <w:rPr>
                <w:sz w:val="20"/>
                <w:szCs w:val="20"/>
              </w:rPr>
              <w:t>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="00F67DD2">
              <w:rPr>
                <w:sz w:val="20"/>
                <w:szCs w:val="20"/>
              </w:rPr>
              <w:t>6</w:t>
            </w:r>
            <w:r w:rsidR="00A75F07">
              <w:rPr>
                <w:sz w:val="20"/>
                <w:szCs w:val="20"/>
              </w:rPr>
              <w:t xml:space="preserve"> </w:t>
            </w:r>
            <w:r w:rsidR="00F67DD2">
              <w:rPr>
                <w:sz w:val="20"/>
                <w:szCs w:val="20"/>
              </w:rPr>
              <w:t>miesiącach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(±</w:t>
            </w:r>
            <w:r w:rsidR="00F67DD2">
              <w:rPr>
                <w:sz w:val="20"/>
                <w:szCs w:val="20"/>
              </w:rPr>
              <w:t>1</w:t>
            </w:r>
            <w:r w:rsidR="00A75F07">
              <w:rPr>
                <w:sz w:val="20"/>
                <w:szCs w:val="20"/>
              </w:rPr>
              <w:t xml:space="preserve"> </w:t>
            </w:r>
            <w:r w:rsidR="00F67DD2">
              <w:rPr>
                <w:sz w:val="20"/>
                <w:szCs w:val="20"/>
              </w:rPr>
              <w:t>miesiąc</w:t>
            </w:r>
            <w:r w:rsidRPr="003F2025">
              <w:rPr>
                <w:sz w:val="20"/>
                <w:szCs w:val="20"/>
              </w:rPr>
              <w:t>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od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pierwszego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podania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substancji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czynnej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należy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wykonać:</w:t>
            </w:r>
          </w:p>
          <w:p w14:paraId="5E759D78" w14:textId="597AD20C" w:rsidR="00CA4C90" w:rsidRPr="003F2025" w:rsidRDefault="00901064" w:rsidP="00A75F07">
            <w:pPr>
              <w:pStyle w:val="Akapitzlist"/>
              <w:numPr>
                <w:ilvl w:val="3"/>
                <w:numId w:val="34"/>
              </w:numPr>
              <w:suppressAutoHyphens/>
              <w:spacing w:after="60" w:line="276" w:lineRule="auto"/>
              <w:ind w:left="637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morfologię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krwi;</w:t>
            </w:r>
          </w:p>
          <w:p w14:paraId="6126FF40" w14:textId="59931275" w:rsidR="00CA4C90" w:rsidRPr="003F2025" w:rsidRDefault="00901064" w:rsidP="00A75F07">
            <w:pPr>
              <w:pStyle w:val="Akapitzlist"/>
              <w:numPr>
                <w:ilvl w:val="3"/>
                <w:numId w:val="34"/>
              </w:numPr>
              <w:suppressAutoHyphens/>
              <w:spacing w:after="60" w:line="276" w:lineRule="auto"/>
              <w:ind w:left="637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odczyn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Biernackiego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(OB);</w:t>
            </w:r>
          </w:p>
          <w:p w14:paraId="301B215A" w14:textId="05663C8C" w:rsidR="00CA4C90" w:rsidRPr="003F2025" w:rsidRDefault="00901064" w:rsidP="00A75F07">
            <w:pPr>
              <w:pStyle w:val="Akapitzlist"/>
              <w:numPr>
                <w:ilvl w:val="3"/>
                <w:numId w:val="34"/>
              </w:numPr>
              <w:suppressAutoHyphens/>
              <w:spacing w:after="60" w:line="276" w:lineRule="auto"/>
              <w:ind w:left="637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stężenie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białka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C-reaktywnego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(CRP);</w:t>
            </w:r>
          </w:p>
          <w:p w14:paraId="1BDB5124" w14:textId="06264919" w:rsidR="00CA4C90" w:rsidRPr="003F2025" w:rsidRDefault="00901064" w:rsidP="00A75F07">
            <w:pPr>
              <w:pStyle w:val="Akapitzlist"/>
              <w:numPr>
                <w:ilvl w:val="3"/>
                <w:numId w:val="34"/>
              </w:numPr>
              <w:suppressAutoHyphens/>
              <w:spacing w:after="60" w:line="276" w:lineRule="auto"/>
              <w:ind w:left="637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stężenie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kreatyniny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surowicy;</w:t>
            </w:r>
          </w:p>
          <w:p w14:paraId="47C48494" w14:textId="0E015771" w:rsidR="00CA4C90" w:rsidRPr="003F2025" w:rsidRDefault="00901064" w:rsidP="00A75F07">
            <w:pPr>
              <w:pStyle w:val="Akapitzlist"/>
              <w:numPr>
                <w:ilvl w:val="3"/>
                <w:numId w:val="34"/>
              </w:numPr>
              <w:suppressAutoHyphens/>
              <w:spacing w:after="60" w:line="276" w:lineRule="auto"/>
              <w:ind w:left="637"/>
              <w:contextualSpacing w:val="0"/>
              <w:jc w:val="both"/>
              <w:rPr>
                <w:sz w:val="20"/>
                <w:szCs w:val="20"/>
              </w:rPr>
            </w:pPr>
            <w:proofErr w:type="spellStart"/>
            <w:r w:rsidRPr="003F2025">
              <w:rPr>
                <w:sz w:val="20"/>
                <w:szCs w:val="20"/>
              </w:rPr>
              <w:t>AspAT</w:t>
            </w:r>
            <w:proofErr w:type="spellEnd"/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proofErr w:type="spellStart"/>
            <w:r w:rsidRPr="003F2025">
              <w:rPr>
                <w:sz w:val="20"/>
                <w:szCs w:val="20"/>
              </w:rPr>
              <w:t>AlAT</w:t>
            </w:r>
            <w:proofErr w:type="spellEnd"/>
          </w:p>
          <w:p w14:paraId="591F0BF0" w14:textId="0F63CDD9" w:rsidR="00CA4C90" w:rsidRPr="003F2025" w:rsidRDefault="00901064" w:rsidP="00A75F07">
            <w:pPr>
              <w:pStyle w:val="Akapitzlist"/>
              <w:spacing w:after="60" w:line="276" w:lineRule="auto"/>
              <w:ind w:left="510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dokonać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oceny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skuteczności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zastosowanej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terapii.</w:t>
            </w:r>
            <w:r w:rsidR="00A75F07">
              <w:rPr>
                <w:sz w:val="20"/>
                <w:szCs w:val="20"/>
              </w:rPr>
              <w:t xml:space="preserve"> </w:t>
            </w:r>
          </w:p>
          <w:p w14:paraId="1719DECA" w14:textId="5C17FB8B" w:rsidR="00CA4C90" w:rsidRPr="001C5FD7" w:rsidRDefault="00901064" w:rsidP="00A75F07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C5FD7">
              <w:rPr>
                <w:sz w:val="20"/>
                <w:szCs w:val="20"/>
              </w:rPr>
              <w:t>Jeżeli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terapia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jest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kontynuowana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powyższe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badania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powtarzać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po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każdych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kolejnych</w:t>
            </w:r>
            <w:r w:rsidR="00A75F07">
              <w:rPr>
                <w:sz w:val="20"/>
                <w:szCs w:val="20"/>
              </w:rPr>
              <w:t xml:space="preserve"> </w:t>
            </w:r>
            <w:r w:rsidR="008C66C7">
              <w:rPr>
                <w:sz w:val="20"/>
                <w:szCs w:val="20"/>
              </w:rPr>
              <w:t>6</w:t>
            </w:r>
            <w:r w:rsidR="00A75F07">
              <w:rPr>
                <w:sz w:val="20"/>
                <w:szCs w:val="20"/>
              </w:rPr>
              <w:t xml:space="preserve"> </w:t>
            </w:r>
            <w:r w:rsidR="008C66C7">
              <w:rPr>
                <w:sz w:val="20"/>
                <w:szCs w:val="20"/>
              </w:rPr>
              <w:t>miesiącach</w:t>
            </w:r>
            <w:r w:rsidR="00A75F07">
              <w:rPr>
                <w:sz w:val="20"/>
                <w:szCs w:val="20"/>
              </w:rPr>
              <w:t xml:space="preserve"> </w:t>
            </w:r>
            <w:r w:rsidRPr="001C5FD7">
              <w:rPr>
                <w:sz w:val="20"/>
                <w:szCs w:val="20"/>
              </w:rPr>
              <w:t>(±</w:t>
            </w:r>
            <w:r w:rsidR="008C66C7">
              <w:rPr>
                <w:sz w:val="20"/>
                <w:szCs w:val="20"/>
              </w:rPr>
              <w:t>1</w:t>
            </w:r>
            <w:r w:rsidR="00A75F07">
              <w:rPr>
                <w:sz w:val="20"/>
                <w:szCs w:val="20"/>
              </w:rPr>
              <w:t xml:space="preserve"> </w:t>
            </w:r>
            <w:r w:rsidR="008C66C7">
              <w:rPr>
                <w:sz w:val="20"/>
                <w:szCs w:val="20"/>
              </w:rPr>
              <w:t>miesiąc</w:t>
            </w:r>
            <w:r w:rsidRPr="001C5FD7">
              <w:rPr>
                <w:sz w:val="20"/>
                <w:szCs w:val="20"/>
              </w:rPr>
              <w:t>).</w:t>
            </w:r>
          </w:p>
          <w:p w14:paraId="5684B4BD" w14:textId="77777777" w:rsidR="00CA4C90" w:rsidRPr="003F2025" w:rsidRDefault="00CA4C90" w:rsidP="00A75F07">
            <w:pPr>
              <w:pStyle w:val="Akapitzlist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</w:p>
          <w:p w14:paraId="3C1689D5" w14:textId="407D84B2" w:rsidR="00CA4C90" w:rsidRPr="003F2025" w:rsidRDefault="00901064" w:rsidP="00A75F07">
            <w:pPr>
              <w:pStyle w:val="Akapitzlist"/>
              <w:numPr>
                <w:ilvl w:val="0"/>
                <w:numId w:val="34"/>
              </w:numPr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F2025">
              <w:rPr>
                <w:b/>
                <w:bCs/>
                <w:sz w:val="20"/>
                <w:szCs w:val="20"/>
              </w:rPr>
              <w:t>Monitorowanie</w:t>
            </w:r>
            <w:r w:rsidR="00A75F0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F2025">
              <w:rPr>
                <w:rFonts w:eastAsia="Calibri"/>
                <w:b/>
                <w:sz w:val="20"/>
                <w:szCs w:val="20"/>
              </w:rPr>
              <w:t>programu</w:t>
            </w:r>
          </w:p>
          <w:p w14:paraId="47B27BAF" w14:textId="51A6FBC0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gromadzenie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dokumentacji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medycznej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pacjenta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dotyczących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monitorowania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każdorazowe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przedstawianie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żądanie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kontrolerów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Narodowego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Funduszu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Zdrowia;</w:t>
            </w:r>
          </w:p>
          <w:p w14:paraId="253FB11B" w14:textId="363D9510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uzupełnianie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danych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zawartych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rejestrze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(SMPT)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dostępnym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pomocą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aplikacji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internetowej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udostępnionej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NFZ,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lastRenderedPageBreak/>
              <w:t>częstotliwością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zgodną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opisem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programu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oraz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zakończenie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leczenia;</w:t>
            </w:r>
          </w:p>
          <w:p w14:paraId="177A2C0F" w14:textId="3193DCE8" w:rsidR="00CA4C90" w:rsidRPr="003F2025" w:rsidRDefault="00901064" w:rsidP="00A75F07">
            <w:pPr>
              <w:pStyle w:val="Akapitzlist"/>
              <w:numPr>
                <w:ilvl w:val="2"/>
                <w:numId w:val="34"/>
              </w:numPr>
              <w:spacing w:after="60" w:line="276" w:lineRule="auto"/>
              <w:ind w:left="353"/>
              <w:contextualSpacing w:val="0"/>
              <w:jc w:val="both"/>
              <w:rPr>
                <w:sz w:val="20"/>
                <w:szCs w:val="20"/>
              </w:rPr>
            </w:pPr>
            <w:r w:rsidRPr="003F2025">
              <w:rPr>
                <w:sz w:val="20"/>
                <w:szCs w:val="20"/>
              </w:rPr>
              <w:t>przekazywanie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informacji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sprawozdawczo-rozliczeniowych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NFZ: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informacje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przekazuje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się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do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NFZ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formie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papierowej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lub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formie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elektronicznej,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zgodnie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wymaganiami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opublikowanymi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przez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Narodowy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Fundusz</w:t>
            </w:r>
            <w:r w:rsidR="00A75F07">
              <w:rPr>
                <w:sz w:val="20"/>
                <w:szCs w:val="20"/>
              </w:rPr>
              <w:t xml:space="preserve"> </w:t>
            </w:r>
            <w:r w:rsidRPr="003F2025">
              <w:rPr>
                <w:sz w:val="20"/>
                <w:szCs w:val="20"/>
              </w:rPr>
              <w:t>Zdrowia.</w:t>
            </w:r>
          </w:p>
        </w:tc>
      </w:tr>
    </w:tbl>
    <w:p w14:paraId="1BD078D5" w14:textId="77777777" w:rsidR="00CA4C90" w:rsidRDefault="00CA4C90">
      <w:pPr>
        <w:rPr>
          <w:sz w:val="20"/>
          <w:szCs w:val="20"/>
        </w:rPr>
      </w:pPr>
    </w:p>
    <w:sectPr w:rsidR="00CA4C90" w:rsidSect="003F2025">
      <w:headerReference w:type="default" r:id="rId8"/>
      <w:footerReference w:type="default" r:id="rId9"/>
      <w:pgSz w:w="16838" w:h="11906" w:orient="landscape"/>
      <w:pgMar w:top="1588" w:right="720" w:bottom="1418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41DCB" w14:textId="77777777" w:rsidR="00E027D2" w:rsidRDefault="00E027D2">
      <w:r>
        <w:separator/>
      </w:r>
    </w:p>
  </w:endnote>
  <w:endnote w:type="continuationSeparator" w:id="0">
    <w:p w14:paraId="7EEF55E4" w14:textId="77777777" w:rsidR="00E027D2" w:rsidRDefault="00E0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2380" w14:textId="77777777" w:rsidR="00E027D2" w:rsidRDefault="00E027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5700" w14:textId="77777777" w:rsidR="00E027D2" w:rsidRDefault="00E027D2">
      <w:r>
        <w:separator/>
      </w:r>
    </w:p>
  </w:footnote>
  <w:footnote w:type="continuationSeparator" w:id="0">
    <w:p w14:paraId="065BC0EC" w14:textId="77777777" w:rsidR="00E027D2" w:rsidRDefault="00E0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4EAF" w14:textId="77777777" w:rsidR="00332924" w:rsidRDefault="0033292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242E"/>
    <w:multiLevelType w:val="multilevel"/>
    <w:tmpl w:val="AE5478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CC4745F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E003D95"/>
    <w:multiLevelType w:val="multilevel"/>
    <w:tmpl w:val="59E407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307CBA"/>
    <w:multiLevelType w:val="multilevel"/>
    <w:tmpl w:val="727437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054E"/>
    <w:multiLevelType w:val="multilevel"/>
    <w:tmpl w:val="7184337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156F7E1C"/>
    <w:multiLevelType w:val="multilevel"/>
    <w:tmpl w:val="4AAADA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73174EB"/>
    <w:multiLevelType w:val="multilevel"/>
    <w:tmpl w:val="4AAADA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87C13E8"/>
    <w:multiLevelType w:val="multilevel"/>
    <w:tmpl w:val="B9E07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40636"/>
    <w:multiLevelType w:val="multilevel"/>
    <w:tmpl w:val="F04400E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6A78"/>
    <w:multiLevelType w:val="multilevel"/>
    <w:tmpl w:val="4AAADA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7F47769"/>
    <w:multiLevelType w:val="multilevel"/>
    <w:tmpl w:val="9D401FC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8562582"/>
    <w:multiLevelType w:val="multilevel"/>
    <w:tmpl w:val="30B63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00C81"/>
    <w:multiLevelType w:val="multilevel"/>
    <w:tmpl w:val="4AAADA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C877277"/>
    <w:multiLevelType w:val="multilevel"/>
    <w:tmpl w:val="14EA9E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77FE"/>
    <w:multiLevelType w:val="multilevel"/>
    <w:tmpl w:val="4A16BEF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2715A"/>
    <w:multiLevelType w:val="multilevel"/>
    <w:tmpl w:val="C522421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2F8F4F0E"/>
    <w:multiLevelType w:val="multilevel"/>
    <w:tmpl w:val="3DD0D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F1B9F"/>
    <w:multiLevelType w:val="multilevel"/>
    <w:tmpl w:val="C9CADA04"/>
    <w:lvl w:ilvl="0">
      <w:start w:val="1"/>
      <w:numFmt w:val="decimal"/>
      <w:lvlText w:val="%1)"/>
      <w:lvlJc w:val="left"/>
      <w:pPr>
        <w:ind w:left="753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5C62153"/>
    <w:multiLevelType w:val="multilevel"/>
    <w:tmpl w:val="4BCAFF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AB577C6"/>
    <w:multiLevelType w:val="multilevel"/>
    <w:tmpl w:val="4AAADA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3D49668E"/>
    <w:multiLevelType w:val="multilevel"/>
    <w:tmpl w:val="615A3E1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67460"/>
    <w:multiLevelType w:val="multilevel"/>
    <w:tmpl w:val="C3DE9C0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A876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90309D"/>
    <w:multiLevelType w:val="multilevel"/>
    <w:tmpl w:val="7BB08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8A2031"/>
    <w:multiLevelType w:val="multilevel"/>
    <w:tmpl w:val="4AAADA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284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0" w:hanging="22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64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4BB6537D"/>
    <w:multiLevelType w:val="multilevel"/>
    <w:tmpl w:val="73840D6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4E6A0F01"/>
    <w:multiLevelType w:val="multilevel"/>
    <w:tmpl w:val="7A5463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127C"/>
    <w:multiLevelType w:val="multilevel"/>
    <w:tmpl w:val="A06A79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D33A6"/>
    <w:multiLevelType w:val="hybridMultilevel"/>
    <w:tmpl w:val="588EAB2E"/>
    <w:lvl w:ilvl="0" w:tplc="867826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34A4B"/>
    <w:multiLevelType w:val="multilevel"/>
    <w:tmpl w:val="AA38A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96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D83FCA"/>
    <w:multiLevelType w:val="multilevel"/>
    <w:tmpl w:val="ED30D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0048D"/>
    <w:multiLevelType w:val="multilevel"/>
    <w:tmpl w:val="9B8CF65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7E6346"/>
    <w:multiLevelType w:val="multilevel"/>
    <w:tmpl w:val="7BE45D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3"/>
  </w:num>
  <w:num w:numId="5">
    <w:abstractNumId w:val="33"/>
  </w:num>
  <w:num w:numId="6">
    <w:abstractNumId w:val="13"/>
  </w:num>
  <w:num w:numId="7">
    <w:abstractNumId w:val="23"/>
  </w:num>
  <w:num w:numId="8">
    <w:abstractNumId w:val="31"/>
  </w:num>
  <w:num w:numId="9">
    <w:abstractNumId w:val="17"/>
  </w:num>
  <w:num w:numId="10">
    <w:abstractNumId w:val="14"/>
  </w:num>
  <w:num w:numId="11">
    <w:abstractNumId w:val="8"/>
  </w:num>
  <w:num w:numId="12">
    <w:abstractNumId w:val="25"/>
  </w:num>
  <w:num w:numId="13">
    <w:abstractNumId w:val="10"/>
  </w:num>
  <w:num w:numId="14">
    <w:abstractNumId w:val="29"/>
  </w:num>
  <w:num w:numId="15">
    <w:abstractNumId w:val="20"/>
  </w:num>
  <w:num w:numId="16">
    <w:abstractNumId w:val="16"/>
  </w:num>
  <w:num w:numId="17">
    <w:abstractNumId w:val="21"/>
  </w:num>
  <w:num w:numId="18">
    <w:abstractNumId w:val="27"/>
  </w:num>
  <w:num w:numId="19">
    <w:abstractNumId w:val="7"/>
  </w:num>
  <w:num w:numId="20">
    <w:abstractNumId w:val="11"/>
  </w:num>
  <w:num w:numId="21">
    <w:abstractNumId w:val="32"/>
  </w:num>
  <w:num w:numId="22">
    <w:abstractNumId w:val="30"/>
  </w:num>
  <w:num w:numId="23">
    <w:abstractNumId w:val="18"/>
  </w:num>
  <w:num w:numId="24">
    <w:abstractNumId w:val="1"/>
  </w:num>
  <w:num w:numId="25">
    <w:abstractNumId w:val="22"/>
  </w:num>
  <w:num w:numId="26">
    <w:abstractNumId w:val="0"/>
  </w:num>
  <w:num w:numId="27">
    <w:abstractNumId w:val="28"/>
  </w:num>
  <w:num w:numId="28">
    <w:abstractNumId w:val="19"/>
  </w:num>
  <w:num w:numId="29">
    <w:abstractNumId w:val="9"/>
  </w:num>
  <w:num w:numId="30">
    <w:abstractNumId w:val="12"/>
  </w:num>
  <w:num w:numId="31">
    <w:abstractNumId w:val="24"/>
  </w:num>
  <w:num w:numId="32">
    <w:abstractNumId w:val="5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90"/>
    <w:rsid w:val="001C5FD7"/>
    <w:rsid w:val="00297DB0"/>
    <w:rsid w:val="00332924"/>
    <w:rsid w:val="003F2025"/>
    <w:rsid w:val="004E03DF"/>
    <w:rsid w:val="005239A8"/>
    <w:rsid w:val="00540B95"/>
    <w:rsid w:val="00547447"/>
    <w:rsid w:val="005A471C"/>
    <w:rsid w:val="006133D4"/>
    <w:rsid w:val="00664165"/>
    <w:rsid w:val="006A7F28"/>
    <w:rsid w:val="008C66C7"/>
    <w:rsid w:val="00901064"/>
    <w:rsid w:val="00A24DFA"/>
    <w:rsid w:val="00A44832"/>
    <w:rsid w:val="00A75F07"/>
    <w:rsid w:val="00B96196"/>
    <w:rsid w:val="00CA4C90"/>
    <w:rsid w:val="00CE647F"/>
    <w:rsid w:val="00E027D2"/>
    <w:rsid w:val="00EF4AF8"/>
    <w:rsid w:val="00F67DD2"/>
    <w:rsid w:val="00F85471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0FD7"/>
  <w15:docId w15:val="{CFB6ADF8-6F67-420F-8535-9A39A65A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3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33A6"/>
    <w:pPr>
      <w:keepNext/>
      <w:outlineLvl w:val="0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4E33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E33A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4E33A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4E33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4E33A6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33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D35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D3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78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78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78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8A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E33A6"/>
    <w:pPr>
      <w:widowControl w:val="0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E33A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4E33A6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4E33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56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7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A78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8A2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A661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7510-F67F-4AC4-900F-63BCBA60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1955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Bołzan Renata</dc:creator>
  <dc:description/>
  <cp:lastModifiedBy>Królak-Buzakowska Joanna</cp:lastModifiedBy>
  <cp:revision>2</cp:revision>
  <cp:lastPrinted>2016-11-29T09:09:00Z</cp:lastPrinted>
  <dcterms:created xsi:type="dcterms:W3CDTF">2021-04-12T20:42:00Z</dcterms:created>
  <dcterms:modified xsi:type="dcterms:W3CDTF">2021-04-12T20:42:00Z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