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B840" w14:textId="77777777" w:rsidR="003A4100" w:rsidRPr="00584AAF" w:rsidRDefault="00391F56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</w:rPr>
        <w:t>Ogłoszenie o przetargu ustnym nieograniczonym na sprzedaż nieruchomości</w:t>
      </w:r>
    </w:p>
    <w:p w14:paraId="3E1E2C18" w14:textId="77777777" w:rsidR="003A4100" w:rsidRPr="00584AAF" w:rsidRDefault="003A4100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68E5B14" w14:textId="77777777" w:rsidR="003A4100" w:rsidRPr="00584AAF" w:rsidRDefault="00391F56">
      <w:pPr>
        <w:spacing w:after="0" w:line="264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Katowicka Specjalna Strefa Ekonomiczna S.A. ogłasza:</w:t>
      </w:r>
    </w:p>
    <w:p w14:paraId="3E48D73F" w14:textId="77777777" w:rsidR="003A4100" w:rsidRPr="00584AAF" w:rsidRDefault="003A4100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B766295" w14:textId="77777777" w:rsidR="003A4100" w:rsidRPr="00584AAF" w:rsidRDefault="00391F56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</w:rPr>
        <w:t>I przetarg ustny nieograniczony</w:t>
      </w:r>
    </w:p>
    <w:p w14:paraId="57B0A7AC" w14:textId="77777777" w:rsidR="003A4100" w:rsidRPr="00584AAF" w:rsidRDefault="00391F56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</w:rPr>
        <w:t>na sprzedaż prawa własności nieruchomości gruntowej</w:t>
      </w:r>
    </w:p>
    <w:p w14:paraId="2F1D5E82" w14:textId="77777777" w:rsidR="003A4100" w:rsidRPr="00584AAF" w:rsidRDefault="00391F56">
      <w:pPr>
        <w:spacing w:after="0" w:line="264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stanowiącej własność Katowickiej Specjalnej Strefy Ekonomicznej S.A. </w:t>
      </w:r>
    </w:p>
    <w:p w14:paraId="14BF5FB8" w14:textId="77777777" w:rsidR="003A4100" w:rsidRPr="00584AAF" w:rsidRDefault="003A4100">
      <w:pPr>
        <w:spacing w:after="0"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CC7DC0E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Przedmiotem przetargu jest prawo własności niezabudowanej nieruchomości położonej w powiecie bieruńsko-lędzińskim w miejscowoś</w:t>
      </w:r>
      <w:r w:rsidRPr="00584AAF">
        <w:rPr>
          <w:rFonts w:ascii="Times New Roman" w:hAnsi="Times New Roman" w:cs="Times New Roman"/>
          <w:sz w:val="24"/>
          <w:szCs w:val="24"/>
          <w:lang w:val="de-DE"/>
        </w:rPr>
        <w:t>ci Bieru</w:t>
      </w:r>
      <w:r w:rsidRPr="00584AAF">
        <w:rPr>
          <w:rFonts w:ascii="Times New Roman" w:hAnsi="Times New Roman" w:cs="Times New Roman"/>
          <w:sz w:val="24"/>
          <w:szCs w:val="24"/>
        </w:rPr>
        <w:t xml:space="preserve">ń </w:t>
      </w:r>
      <w:r w:rsidRPr="00584AAF">
        <w:rPr>
          <w:rFonts w:ascii="Times New Roman" w:hAnsi="Times New Roman" w:cs="Times New Roman"/>
          <w:sz w:val="24"/>
          <w:szCs w:val="24"/>
          <w:lang w:val="pt-PT"/>
        </w:rPr>
        <w:t>(obr</w:t>
      </w:r>
      <w:r w:rsidRPr="00584AAF">
        <w:rPr>
          <w:rFonts w:ascii="Times New Roman" w:hAnsi="Times New Roman" w:cs="Times New Roman"/>
          <w:sz w:val="24"/>
          <w:szCs w:val="24"/>
        </w:rPr>
        <w:t>ę</w:t>
      </w:r>
      <w:r w:rsidRPr="00584AAF">
        <w:rPr>
          <w:rFonts w:ascii="Times New Roman" w:hAnsi="Times New Roman" w:cs="Times New Roman"/>
          <w:sz w:val="24"/>
          <w:szCs w:val="24"/>
          <w:lang w:val="de-DE"/>
        </w:rPr>
        <w:t>b 0002 Bieru</w:t>
      </w:r>
      <w:r w:rsidRPr="00584AAF">
        <w:rPr>
          <w:rFonts w:ascii="Times New Roman" w:hAnsi="Times New Roman" w:cs="Times New Roman"/>
          <w:sz w:val="24"/>
          <w:szCs w:val="24"/>
        </w:rPr>
        <w:t>ń Stary, k.m. 12) w rejonie ulic Turyńskiej, Ekonomicznej i Hodowlanej na terenach inwestycyjnych w sąsiedztwie grunt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w objętych granicami Katowickiej Specjalnej Strefy Ekonomicznej, Podstrefy Tyskiej </w:t>
      </w:r>
      <w:r w:rsidRPr="00584AAF">
        <w:rPr>
          <w:rFonts w:ascii="Times New Roman" w:hAnsi="Times New Roman" w:cs="Times New Roman"/>
          <w:sz w:val="24"/>
          <w:szCs w:val="24"/>
          <w:lang w:val="pt-PT"/>
        </w:rPr>
        <w:t xml:space="preserve">o łącznej </w:t>
      </w:r>
      <w:r w:rsidRPr="00584AAF">
        <w:rPr>
          <w:rFonts w:ascii="Times New Roman" w:hAnsi="Times New Roman" w:cs="Times New Roman"/>
          <w:sz w:val="24"/>
          <w:szCs w:val="24"/>
        </w:rPr>
        <w:t>powierzchni 11,6115 ha, składającej się z następujących dział</w:t>
      </w:r>
      <w:r w:rsidRPr="00584AAF">
        <w:rPr>
          <w:rFonts w:ascii="Times New Roman" w:hAnsi="Times New Roman" w:cs="Times New Roman"/>
          <w:sz w:val="24"/>
          <w:szCs w:val="24"/>
          <w:lang w:val="nl-NL"/>
        </w:rPr>
        <w:t>ek:</w:t>
      </w:r>
    </w:p>
    <w:p w14:paraId="6A51C021" w14:textId="77777777" w:rsidR="003A4100" w:rsidRPr="00584AAF" w:rsidRDefault="003A4100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0"/>
        <w:gridCol w:w="1993"/>
        <w:gridCol w:w="2223"/>
        <w:gridCol w:w="4190"/>
      </w:tblGrid>
      <w:tr w:rsidR="003A4100" w:rsidRPr="00584AAF" w14:paraId="60C5F7DE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90E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8CE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FAE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E487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Nr KW</w:t>
            </w:r>
          </w:p>
        </w:tc>
      </w:tr>
      <w:tr w:rsidR="003A4100" w:rsidRPr="00584AAF" w14:paraId="071ACB99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DDE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FA7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009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0,1309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9F0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269221AB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51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887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C25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0,1264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D17A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74833675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69C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A3C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C54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0,2345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9AC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AEAF77B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291A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BB5D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AE5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0,2671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D58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BA32811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EAF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27C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92F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0,5568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3AB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KA1T/00083919/0</w:t>
            </w:r>
          </w:p>
        </w:tc>
      </w:tr>
      <w:tr w:rsidR="003A4100" w:rsidRPr="00584AAF" w14:paraId="2F330B10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E6BE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0DA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42B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0,4540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7DE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1C0C1F71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34F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8F0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AD1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0,2713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82B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6069EAC3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E2AF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02A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B707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0,2271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479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143FA46C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129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AC8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AA8D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0,2328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CD5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04A4BADC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90B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3746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E40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0,5531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61A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262F95E2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465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545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48F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0,3074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66B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1D9D9ACB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CE7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F95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E66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0,3261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E3E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65FF87DE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3137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F22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C6F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1,0039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E04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46BFE77D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3BB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F2A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EC7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0,5070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D45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B7A0083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8BF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54BF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061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0,2320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9C7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75D38E16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75A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A69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D2A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0,2559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752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01B7C760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E20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AA2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1C3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0,0707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801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686FBD8D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4E0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ECB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451/35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CDC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0,0502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E87D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3EE3BD5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C8A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8C6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081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0,4078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D2DD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9B0B87D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2229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592F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777/41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353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0,3372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7FD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18479599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706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BC7E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778/41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F387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0,2212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865E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61E7BEB4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D312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0DC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780/5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E2D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0,5728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DBE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4FBB4DEB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F4A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8EC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0F2F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0,2743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3BF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750D7BB9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90C7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C76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784/36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1D7FE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0,8212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04D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12AD67BE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521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BC6F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A8C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1,4351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5B1E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7F89CAF9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8F5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894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790/34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EA4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0,7941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0B0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55BF8EA2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9B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02FD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828/6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5A2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0,2842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9DD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KA1T/00083921/7</w:t>
            </w:r>
          </w:p>
        </w:tc>
      </w:tr>
      <w:tr w:rsidR="003A4100" w:rsidRPr="00584AAF" w14:paraId="02512698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BFE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0611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8B66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0,2648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9E00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06B145E8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385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028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831/33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F58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0,0126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C30B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3C7B7044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7EA4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3D9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832/5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4FF5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0,3603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2C0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KA1T/00083918/3</w:t>
            </w:r>
          </w:p>
        </w:tc>
      </w:tr>
      <w:tr w:rsidR="003A4100" w:rsidRPr="00584AAF" w14:paraId="5E887738" w14:textId="77777777">
        <w:trPr>
          <w:trHeight w:val="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C03C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AE58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834/5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12B3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0,0187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47BA" w14:textId="77777777" w:rsidR="003A4100" w:rsidRPr="00584AAF" w:rsidRDefault="00391F56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AF">
              <w:rPr>
                <w:rFonts w:ascii="Times New Roman" w:hAnsi="Times New Roman" w:cs="Times New Roman"/>
                <w:sz w:val="24"/>
                <w:szCs w:val="24"/>
              </w:rPr>
              <w:t>KA1T/00083920/0</w:t>
            </w:r>
          </w:p>
        </w:tc>
      </w:tr>
    </w:tbl>
    <w:p w14:paraId="205DB5F7" w14:textId="77777777" w:rsidR="003A4100" w:rsidRPr="00584AAF" w:rsidRDefault="003A4100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61A967A" w14:textId="77777777" w:rsidR="003A4100" w:rsidRPr="00584AAF" w:rsidRDefault="003A4100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50BA6AF" w14:textId="77777777" w:rsidR="003A4100" w:rsidRPr="00584AAF" w:rsidRDefault="00391F56">
      <w:pPr>
        <w:pStyle w:val="DomylneA"/>
        <w:widowControl w:val="0"/>
        <w:numPr>
          <w:ilvl w:val="0"/>
          <w:numId w:val="5"/>
        </w:num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Zgodnie z obowiązującym miejscowym planem zagospodarowania przestrzennego teren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położonych w rejonie ul. Turyńskiej w Bieruniu - część A, zatwierdzonym Uchwałą Nr II/3/2020 Rady Miejskiej w Bieruniu z dnia 27.02.2020r. i opublikowanym w Dzienniku Urzędowym Wojew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dztwa Śląskiego poz. 2083 z dnia 09.03.2020r. działki będące przedmiotem przetargu znajdują się na terenach oznaczonych symbolem 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>B6.P-U – teren obiekt</w:t>
      </w:r>
      <w:r w:rsidRPr="00584AA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>w produkcyjnych, skład</w:t>
      </w:r>
      <w:r w:rsidRPr="00584AA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>w i magazyn</w:t>
      </w:r>
      <w:r w:rsidRPr="00584AA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w lub zabudowy usługowej. </w:t>
      </w:r>
      <w:r w:rsidRPr="00584AAF">
        <w:rPr>
          <w:rFonts w:ascii="Times New Roman" w:hAnsi="Times New Roman" w:cs="Times New Roman"/>
          <w:sz w:val="24"/>
          <w:szCs w:val="24"/>
        </w:rPr>
        <w:t>Szczegółowe warunki zagospodarowania przedmiotowych nieruchomości (w tym nakazy i zakazy) są zamieszczone w ustaleniach ww. miejscowego planu zagospodarowania przestrzennego, z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rymi można zapoznać się w Wydziale Gospodarki Przestrzennej i Nieruchomości, Urzędu Miejskiego w Bieruniu lub w siedzibie Zarządzającego.</w:t>
      </w:r>
    </w:p>
    <w:p w14:paraId="2B062B51" w14:textId="588F33AF" w:rsidR="003A4100" w:rsidRPr="00584AAF" w:rsidRDefault="00391F5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 xml:space="preserve">Cena wywoławcza nieruchomości wynosi: </w:t>
      </w:r>
      <w:r w:rsidR="00584AAF" w:rsidRPr="00584AAF">
        <w:rPr>
          <w:rFonts w:ascii="Times New Roman" w:hAnsi="Times New Roman" w:cs="Times New Roman"/>
          <w:b/>
          <w:bCs/>
          <w:sz w:val="24"/>
          <w:szCs w:val="24"/>
        </w:rPr>
        <w:t>23.600.609,80</w:t>
      </w:r>
      <w:r w:rsidRPr="00584AA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ł </w:t>
      </w:r>
      <w:r w:rsidRPr="00584AAF">
        <w:rPr>
          <w:rFonts w:ascii="Times New Roman" w:hAnsi="Times New Roman" w:cs="Times New Roman"/>
          <w:b/>
          <w:bCs/>
          <w:sz w:val="24"/>
          <w:szCs w:val="24"/>
          <w:lang w:val="it-IT"/>
        </w:rPr>
        <w:t>netto (s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łownie: </w:t>
      </w:r>
      <w:r w:rsidR="00584AAF" w:rsidRPr="00584AAF">
        <w:rPr>
          <w:rFonts w:ascii="Times New Roman" w:hAnsi="Times New Roman" w:cs="Times New Roman"/>
          <w:b/>
          <w:bCs/>
          <w:sz w:val="24"/>
          <w:szCs w:val="24"/>
        </w:rPr>
        <w:t>dwadzieścia trzy miliony sześćset tysięcy sześćset dziewięć złotych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AAF" w:rsidRPr="00584AAF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>/100 groszy)</w:t>
      </w:r>
      <w:r w:rsidRPr="00584AAF">
        <w:rPr>
          <w:rFonts w:ascii="Times New Roman" w:hAnsi="Times New Roman" w:cs="Times New Roman"/>
          <w:sz w:val="24"/>
          <w:szCs w:val="24"/>
        </w:rPr>
        <w:t xml:space="preserve">. Do ceny sprzedaży zostanie doliczony podatek VAT w wysokości 23 %. </w:t>
      </w:r>
    </w:p>
    <w:p w14:paraId="26B88E8E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A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Zgodnie z wpisami zawartymi w księgach wieczystych przedmiotowa nieruchomość stanowi własność Katowickiej Specjalnej Strefy Ekonomicznej, nie jest obciążona ograniczonymi prawami rzeczowymi i nie jest przedmiotem zobowiązań, za wyjątkiem służebności przesyłu (działka nr 834/5). Nieruchomość nie jest przedmiotem dzierżawy. </w:t>
      </w:r>
    </w:p>
    <w:p w14:paraId="1141A60B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Nieruchomość jest niezabudowana, położona jest na terenie 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rniczym KWK Piast-Ziemowit, w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rym do 2040 r. planuje się eksploatację 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rniczą pokład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węgla kamiennego. W rejonie nieruchomości nie występują złoża innych kopalin. W związku z planowaną inwestycją, przedsiębiorca 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rniczy (PGG) na wniosek inwestora, na etapie sporządzania projektu budowlanego, ma możliwość odstąpienia od eksploatacji 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rniczej poprzez wyznaczenie w złożu tzw. filara ochronnego. Nieruchomość jest niezabudowana, nieogrodzona i nieporośnięta drzewami ani krzewami. Posiada nieregularny kształt zbliżony do trapezu, rzeźba terenu jest mocno zróżnicowana (o różnicy poziom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w 1m), konieczne jest szczegółowe rozpoznanie geotechniczne terenu oraz jego ewentualna makroniwelacja. </w:t>
      </w:r>
    </w:p>
    <w:p w14:paraId="1E8BC047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Nieruchomość posiada dobre zlokalizowanie (miasto Bieruń oddalone jest w linii prostej 20 km od Katowic, 6 km od Tych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w, 61 km od Krakowa i 273 km od Warszawy) oraz skomunikowanie przez dogodny układ komunikacyjny,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ry zapewnia: autostrada A4 relacji Bolesławiec – Krak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w, droga ekspresowa S1, droga krajowa DK44 z Gliwic do Krakowa, drogi wojew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dzkie z Mysłowic do Pszczyny (nr 931 i 934), bezkolizyjny wjazd na nieruchomość drogami asfaltowymi tj. ul. Ekonomiczna i ul. Turyńską, daje możliwość bezproblemowemu dostępu do nieruchomości.</w:t>
      </w:r>
    </w:p>
    <w:p w14:paraId="725C13D2" w14:textId="4C51B1D3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 xml:space="preserve">Przetarg na sprzedaż nieruchomości odbędzie się 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8F665B">
        <w:rPr>
          <w:rFonts w:ascii="Times New Roman" w:hAnsi="Times New Roman" w:cs="Times New Roman"/>
          <w:b/>
          <w:bCs/>
          <w:sz w:val="24"/>
          <w:szCs w:val="24"/>
        </w:rPr>
        <w:t>16.08.2023</w:t>
      </w:r>
      <w:r w:rsidRPr="00584AAF">
        <w:rPr>
          <w:rFonts w:ascii="Times New Roman" w:hAnsi="Times New Roman" w:cs="Times New Roman"/>
          <w:b/>
          <w:bCs/>
          <w:sz w:val="24"/>
          <w:szCs w:val="24"/>
        </w:rPr>
        <w:t xml:space="preserve"> r. o godz. 10:00</w:t>
      </w:r>
      <w:r w:rsidRPr="00584AAF">
        <w:rPr>
          <w:rFonts w:ascii="Times New Roman" w:hAnsi="Times New Roman" w:cs="Times New Roman"/>
          <w:sz w:val="24"/>
          <w:szCs w:val="24"/>
        </w:rPr>
        <w:t xml:space="preserve"> w siedzibie Katowickiej Specjalnej Strefy Ekonomicznej S.A. w Katowicach przy ul. Wojew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dzkiej 42.</w:t>
      </w:r>
    </w:p>
    <w:p w14:paraId="517149B0" w14:textId="2B9B3F5E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 xml:space="preserve">Warunkiem uczestnictwa w przetargu jest wniesienie w pieniądzu do dnia </w:t>
      </w:r>
      <w:r w:rsidR="008F665B">
        <w:rPr>
          <w:rFonts w:ascii="Times New Roman" w:hAnsi="Times New Roman" w:cs="Times New Roman"/>
          <w:sz w:val="24"/>
          <w:szCs w:val="24"/>
        </w:rPr>
        <w:t>10.08.2023</w:t>
      </w:r>
      <w:r w:rsidRPr="00584AAF">
        <w:rPr>
          <w:rFonts w:ascii="Times New Roman" w:hAnsi="Times New Roman" w:cs="Times New Roman"/>
          <w:sz w:val="24"/>
          <w:szCs w:val="24"/>
        </w:rPr>
        <w:t xml:space="preserve"> r. wadium w wysokoś</w:t>
      </w:r>
      <w:r w:rsidRPr="00584AAF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="00584AAF" w:rsidRPr="00584AAF">
        <w:rPr>
          <w:rFonts w:ascii="Times New Roman" w:hAnsi="Times New Roman" w:cs="Times New Roman"/>
          <w:sz w:val="24"/>
          <w:szCs w:val="24"/>
        </w:rPr>
        <w:t>5.805.750</w:t>
      </w:r>
      <w:r w:rsidRPr="00584AAF">
        <w:rPr>
          <w:rFonts w:ascii="Times New Roman" w:hAnsi="Times New Roman" w:cs="Times New Roman"/>
          <w:sz w:val="24"/>
          <w:szCs w:val="24"/>
        </w:rPr>
        <w:t xml:space="preserve">,00 zł (słownie: </w:t>
      </w:r>
      <w:r w:rsidR="00584AAF" w:rsidRPr="00584AAF">
        <w:rPr>
          <w:rFonts w:ascii="Times New Roman" w:hAnsi="Times New Roman" w:cs="Times New Roman"/>
          <w:sz w:val="24"/>
          <w:szCs w:val="24"/>
        </w:rPr>
        <w:t>pięć milionów osiemset pięć tysięcy siedemset pięćdziesiąt złotych</w:t>
      </w:r>
      <w:r w:rsidRPr="00584AAF">
        <w:rPr>
          <w:rFonts w:ascii="Times New Roman" w:hAnsi="Times New Roman" w:cs="Times New Roman"/>
          <w:sz w:val="24"/>
          <w:szCs w:val="24"/>
        </w:rPr>
        <w:t xml:space="preserve">) na rachunek Katowickiej SSE S.A. (nr </w:t>
      </w:r>
      <w:r w:rsidR="00584AAF" w:rsidRPr="00584AAF">
        <w:rPr>
          <w:rFonts w:ascii="Times New Roman" w:hAnsi="Times New Roman" w:cs="Times New Roman"/>
          <w:sz w:val="24"/>
          <w:szCs w:val="24"/>
        </w:rPr>
        <w:t xml:space="preserve">09 1910 1048 2501 9911 2936 0001). </w:t>
      </w:r>
      <w:r w:rsidRPr="00584AAF">
        <w:rPr>
          <w:rFonts w:ascii="Times New Roman" w:hAnsi="Times New Roman" w:cs="Times New Roman"/>
          <w:sz w:val="24"/>
          <w:szCs w:val="24"/>
        </w:rPr>
        <w:t>Za termin wniesienia wadium uważa się dzień jego wpływu na wskazane wyżej konto.</w:t>
      </w:r>
    </w:p>
    <w:p w14:paraId="0224BC15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Wadium wpłacone przez uczestnika,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ry przetarg wygrał zalicza się na poczet ceny nabycia, a pozostałym uczestnikom przetargu zostanie zwr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cone niezwłocznie, w ciągu 3 dni od daty odwołania, zamknięcia, unieważnienia lub zakończenia wynikiem negatywnym przetargu.</w:t>
      </w:r>
    </w:p>
    <w:p w14:paraId="56502E9F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Oferenci przystępujący do przetargu zobowiązani są przedstawić Komisji Przetargowej przed otwarciem przetargu następujące dokumenty:</w:t>
      </w:r>
    </w:p>
    <w:p w14:paraId="5D195E0F" w14:textId="77777777" w:rsidR="003A4100" w:rsidRPr="00584AAF" w:rsidRDefault="00391F56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osoby fizyczne - dokument potwierdzający tożsamość (dow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d osobisty lub paszport);</w:t>
      </w:r>
    </w:p>
    <w:p w14:paraId="313A3D31" w14:textId="77777777" w:rsidR="003A4100" w:rsidRPr="00584AAF" w:rsidRDefault="00391F56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reprezentanci osoby prawnej - dokument potwierdzający tożsamość i aktualny odpis z właściwego rejestru, wskazujący umocowanie do reprezentowania danej osoby prawnej;</w:t>
      </w:r>
    </w:p>
    <w:p w14:paraId="224A4F2E" w14:textId="77777777" w:rsidR="003A4100" w:rsidRPr="00584AAF" w:rsidRDefault="00391F56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pełnomocnicy - dokument potwierdzający tożsamość i oryginał pełnomocnictwa upoważniającego do działania na każdym etapie postępowania przetargowego oraz w przypadku osoby prawnej - aktualny odpis z właściwego rejestru, wskazujący umocowanie os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b,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re podpisały pełnomocnictwo do reprezentowania danej osoby.</w:t>
      </w:r>
    </w:p>
    <w:p w14:paraId="17CC4B0A" w14:textId="77777777" w:rsidR="003A4100" w:rsidRPr="00584AAF" w:rsidRDefault="00391F56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lastRenderedPageBreak/>
        <w:t>oświadczenie oferenta o zapoznaniu się ze stanem prawnym i faktycznym nieruchomości i nie wnoszeniu żadnych zastrzeżeń.</w:t>
      </w:r>
    </w:p>
    <w:p w14:paraId="1367825F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Oferent wyłoniony w przetargu jako nabywca nieruchomości zobowiązany jest do:</w:t>
      </w:r>
    </w:p>
    <w:p w14:paraId="050131C9" w14:textId="77777777" w:rsidR="003A4100" w:rsidRPr="00584AAF" w:rsidRDefault="00391F56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zawarcia umowy sprzedaży nieruchomości w terminie do 30 dni od dnia zakończenia przetargu. Nabywca nieruchomości ponosi wszelkie koszty związane z zawarciem przedmiotowej umowy,</w:t>
      </w:r>
    </w:p>
    <w:p w14:paraId="55A3DFA0" w14:textId="674FDD35" w:rsidR="003A4100" w:rsidRPr="00584AAF" w:rsidRDefault="00391F56" w:rsidP="00202C5D">
      <w:pPr>
        <w:pStyle w:val="Akapitzlist"/>
        <w:numPr>
          <w:ilvl w:val="1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 xml:space="preserve">zapłaty ceny nieruchomości ustalonej w wyniku przetargu, pomniejszonej o wpłacone wadium, najpóźniej </w:t>
      </w:r>
      <w:r w:rsidR="00AE70B0">
        <w:rPr>
          <w:rFonts w:ascii="Times New Roman" w:hAnsi="Times New Roman" w:cs="Times New Roman"/>
          <w:sz w:val="24"/>
          <w:szCs w:val="24"/>
        </w:rPr>
        <w:t>na trzy dni przed dniem</w:t>
      </w:r>
      <w:r w:rsidRPr="00584AAF">
        <w:rPr>
          <w:rFonts w:ascii="Times New Roman" w:hAnsi="Times New Roman" w:cs="Times New Roman"/>
          <w:sz w:val="24"/>
          <w:szCs w:val="24"/>
        </w:rPr>
        <w:t xml:space="preserve"> zawarcia umowy sprzedaży nieruchomości, na rachunek bankowy Katowickiej SSE S.A. (nr </w:t>
      </w:r>
      <w:r w:rsidR="008F665B">
        <w:rPr>
          <w:rFonts w:ascii="Times New Roman" w:hAnsi="Times New Roman" w:cs="Times New Roman"/>
          <w:sz w:val="24"/>
          <w:szCs w:val="24"/>
        </w:rPr>
        <w:t>09 1910 1048 2501 9911 2936 0001</w:t>
      </w:r>
      <w:r w:rsidRPr="00584AAF">
        <w:rPr>
          <w:rFonts w:ascii="Times New Roman" w:hAnsi="Times New Roman" w:cs="Times New Roman"/>
          <w:sz w:val="24"/>
          <w:szCs w:val="24"/>
        </w:rPr>
        <w:t>), przy czym za dzień zapłaty uważa się dzień wpływu ceny na powyższy rachunek.</w:t>
      </w:r>
      <w:r w:rsidRPr="00584AAF">
        <w:rPr>
          <w:rFonts w:ascii="Times New Roman" w:hAnsi="Times New Roman" w:cs="Times New Roman"/>
          <w:strike/>
          <w:color w:val="FFFFFF"/>
          <w:sz w:val="24"/>
          <w:szCs w:val="24"/>
          <w:u w:color="FFFFFF"/>
        </w:rPr>
        <w:t>wy przeniesienia prawa własności nieruchomości.</w:t>
      </w:r>
      <w:r w:rsidRPr="00584AA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AC6CE80" w14:textId="77777777" w:rsidR="003A4100" w:rsidRPr="00584AAF" w:rsidRDefault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Skutek uchylenia się od zawarcia umowy sprzedaży nieruchomości: jeżeli osoba ustalona jako nabywca nieruchomości nie przystąpi bez usprawiedliwienia do zawarcia umowy w miejscu i terminie podanych w zawiadomieniu, Katowicka SSE S.A. może odstąpić od zawarcia umowy, a wpłacone wadium nie podlega zwrotowi.</w:t>
      </w:r>
    </w:p>
    <w:p w14:paraId="20DBF22A" w14:textId="2D763BBA" w:rsidR="003A4100" w:rsidRPr="00391F56" w:rsidRDefault="00391F56" w:rsidP="00391F56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Opis infrastruktury technicznej:</w:t>
      </w:r>
    </w:p>
    <w:p w14:paraId="30E5FF83" w14:textId="77777777" w:rsidR="003A4100" w:rsidRPr="00584AAF" w:rsidRDefault="00391F56">
      <w:pPr>
        <w:pStyle w:val="DomylneA"/>
        <w:keepNext/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Układ drogowy</w:t>
      </w:r>
    </w:p>
    <w:p w14:paraId="02881EA8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Nieruchomości posiadają bardzo dobrą dostępność komunikacyjną – ul. Turyńska (DK 44) i ul. Ekonomiczna. Są to drogi asfaltowe bez urządzonych poboczy. Dodatkowo w bezpośrednim sąsiedztwie nieruchomości będących przedmiotem przetargu zakończono I etap budowy nowego układu drogowego tzn. łącznika komunikującego nieruchomości z istniejącym układem drogowym. Do zrealizowania pozostał II etap inwestycji,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ry docelowo łączyć ma kompleks nieruchomości z ul. Hodowlaną. </w:t>
      </w:r>
    </w:p>
    <w:p w14:paraId="3B0CD33F" w14:textId="77777777" w:rsidR="003A4100" w:rsidRPr="00584AAF" w:rsidRDefault="00391F56">
      <w:pPr>
        <w:pStyle w:val="DomylneA"/>
        <w:keepNext/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Wodociąg</w:t>
      </w:r>
    </w:p>
    <w:p w14:paraId="7610E4EA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W bezpośrednim sąsiedztwie nieruchomości będących przedmiotem przetargu</w:t>
      </w:r>
      <w:r w:rsidRPr="00584AAF">
        <w:rPr>
          <w:rFonts w:ascii="Times New Roman" w:hAnsi="Times New Roman" w:cs="Times New Roman"/>
          <w:strike/>
          <w:sz w:val="24"/>
          <w:szCs w:val="24"/>
        </w:rPr>
        <w:t xml:space="preserve"> – </w:t>
      </w:r>
      <w:r w:rsidRPr="00584AAF">
        <w:rPr>
          <w:rFonts w:ascii="Times New Roman" w:hAnsi="Times New Roman" w:cs="Times New Roman"/>
          <w:sz w:val="24"/>
          <w:szCs w:val="24"/>
        </w:rPr>
        <w:t>brak sieci wodociągowej. Docelowo nieruchomości wymagają rozbudowy urządzeń wodociągowych przy udziale Inwestora tj. we własnym zakresie. Istnieje konieczność uzbrojenia terenu w pasie drogi dojazdowej do nieruchomości.</w:t>
      </w:r>
    </w:p>
    <w:p w14:paraId="012ACB5D" w14:textId="77777777" w:rsidR="003A4100" w:rsidRPr="00584AAF" w:rsidRDefault="00391F56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Kanalizacja deszczowa</w:t>
      </w:r>
    </w:p>
    <w:p w14:paraId="61C8670E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Nieruchomości będące przedmiotem przetargu nie posiadają dostępu. Istnieją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ca sie</w:t>
      </w:r>
      <w:r w:rsidRPr="00584AAF">
        <w:rPr>
          <w:rFonts w:ascii="Times New Roman" w:hAnsi="Times New Roman" w:cs="Times New Roman"/>
          <w:sz w:val="24"/>
          <w:szCs w:val="24"/>
        </w:rPr>
        <w:t>ć odwadniającą pasy drogowe nie daje tej możliwości. Gmina w 2023r rozpocznie opracowanie projektowe zbiornika, kt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ry zabezpieczy potrzeby w tym zakresie.  </w:t>
      </w:r>
    </w:p>
    <w:p w14:paraId="60266DBC" w14:textId="77777777" w:rsidR="003A4100" w:rsidRPr="00584AAF" w:rsidRDefault="00391F56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Kanalizacja sanitarna</w:t>
      </w:r>
    </w:p>
    <w:p w14:paraId="3D4CAEF2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Nieruchomości będące przedmiotem przetargu nie posiadają dostępu W ramach całego kompleksu inwestycyjnego (nieruchomości zbywanych) istnieje możliwość wpięcia do sieci gminnej poprzez realizację własnego przyłącza.</w:t>
      </w:r>
    </w:p>
    <w:p w14:paraId="41E05819" w14:textId="77777777" w:rsidR="003A4100" w:rsidRPr="00584AAF" w:rsidRDefault="00391F56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Gaz ziemny</w:t>
      </w:r>
    </w:p>
    <w:p w14:paraId="56A09D48" w14:textId="77777777" w:rsidR="003A4100" w:rsidRPr="00584AAF" w:rsidRDefault="00391F56">
      <w:pPr>
        <w:pStyle w:val="DomylneA"/>
        <w:numPr>
          <w:ilvl w:val="0"/>
          <w:numId w:val="9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lastRenderedPageBreak/>
        <w:t>Odległość przyłącza od granicy terenu nieruchomości ok. 620 m, ciepło spalania 41,036 (MJ/Nm3), średnica rury 160 mm, dostępna objętość ok. 2000 (Nm3/h) – konieczna przebudowa stacji zasilającej oraz połączenia istniejących gazociąg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6ABECA11" w14:textId="77777777" w:rsidR="003A4100" w:rsidRPr="00584AAF" w:rsidRDefault="00391F56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Energia elektryczna</w:t>
      </w:r>
    </w:p>
    <w:p w14:paraId="345AD222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Wymagane zasilenie poprzez budowę nowej infrastruktury 20 kV od strony miasta Bieruń, Lędzin lub Bojsz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w. Budowa nowych ciąg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liniowych od 6 do 10 km. Mniejszą moc rzę</w:t>
      </w:r>
      <w:r w:rsidRPr="00584AAF">
        <w:rPr>
          <w:rFonts w:ascii="Times New Roman" w:hAnsi="Times New Roman" w:cs="Times New Roman"/>
          <w:sz w:val="24"/>
          <w:szCs w:val="24"/>
          <w:lang w:val="de-DE"/>
        </w:rPr>
        <w:t>du 1-1,5 MW mo</w:t>
      </w:r>
      <w:r w:rsidRPr="00584AAF">
        <w:rPr>
          <w:rFonts w:ascii="Times New Roman" w:hAnsi="Times New Roman" w:cs="Times New Roman"/>
          <w:sz w:val="24"/>
          <w:szCs w:val="24"/>
        </w:rPr>
        <w:t xml:space="preserve">żna wpiąć do pobliskiej sieci 20 kV. </w:t>
      </w:r>
    </w:p>
    <w:p w14:paraId="1B3C21AB" w14:textId="77777777" w:rsidR="003A4100" w:rsidRPr="00584AAF" w:rsidRDefault="00391F56">
      <w:pPr>
        <w:pStyle w:val="DomylneA"/>
        <w:tabs>
          <w:tab w:val="left" w:pos="284"/>
        </w:tabs>
        <w:suppressAutoHyphens/>
        <w:spacing w:before="120" w:line="264" w:lineRule="auto"/>
        <w:jc w:val="both"/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</w:pPr>
      <w:r w:rsidRPr="00584AAF">
        <w:rPr>
          <w:rFonts w:ascii="Times New Roman" w:hAnsi="Times New Roman" w:cs="Times New Roman"/>
          <w:b/>
          <w:bCs/>
          <w:sz w:val="24"/>
          <w:szCs w:val="24"/>
          <w:u w:val="single"/>
        </w:rPr>
        <w:t>Teletechnika</w:t>
      </w:r>
    </w:p>
    <w:p w14:paraId="6CE46340" w14:textId="77777777" w:rsidR="003A4100" w:rsidRPr="00584AAF" w:rsidRDefault="00391F56">
      <w:pPr>
        <w:pStyle w:val="DomylneA"/>
        <w:numPr>
          <w:ilvl w:val="0"/>
          <w:numId w:val="8"/>
        </w:numPr>
        <w:suppressAutoHyphens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W ramach rozbudowy układu drogowego realizowany jest kanał technologiczny co umożliwi zabezpieczenie nieruchomości w przyłącza teletechniczne.</w:t>
      </w:r>
    </w:p>
    <w:p w14:paraId="10C08F0E" w14:textId="77777777" w:rsidR="003A4100" w:rsidRPr="00584AAF" w:rsidRDefault="00391F56">
      <w:pPr>
        <w:pStyle w:val="DomylneA"/>
        <w:suppressAutoHyphens/>
        <w:spacing w:line="264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84AAF">
        <w:rPr>
          <w:rFonts w:ascii="Times New Roman" w:eastAsia="Verdana" w:hAnsi="Times New Roman" w:cs="Times New Roman"/>
          <w:sz w:val="24"/>
          <w:szCs w:val="24"/>
        </w:rPr>
        <w:br/>
      </w:r>
      <w:r w:rsidRPr="00584AAF">
        <w:rPr>
          <w:rFonts w:ascii="Times New Roman" w:hAnsi="Times New Roman" w:cs="Times New Roman"/>
          <w:sz w:val="24"/>
          <w:szCs w:val="24"/>
        </w:rPr>
        <w:t>Szczegółowe warunki i miejsce podłączenia medi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określają właściciele infrastruktury technicznej poprzez wydanie, na wniosek inwestora, warunk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technicznych przyłączenia do sieci.</w:t>
      </w:r>
    </w:p>
    <w:p w14:paraId="463CC8DA" w14:textId="77777777" w:rsidR="003A4100" w:rsidRPr="00584AAF" w:rsidRDefault="003A4100">
      <w:pPr>
        <w:pStyle w:val="Akapitzlist"/>
        <w:spacing w:after="0" w:line="264" w:lineRule="auto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4F238F3" w14:textId="77777777" w:rsidR="003A4100" w:rsidRPr="00584AAF" w:rsidRDefault="00391F56" w:rsidP="00391F56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AF">
        <w:rPr>
          <w:rFonts w:ascii="Times New Roman" w:hAnsi="Times New Roman" w:cs="Times New Roman"/>
          <w:sz w:val="24"/>
          <w:szCs w:val="24"/>
        </w:rPr>
        <w:t>Szczegółowych informacji na temat warunk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w i przedmiotu przetargu udziela Katowicka Specjalna Strefa Ekonomiczna S. A. w Katowicach przy ul. Wojew</w:t>
      </w:r>
      <w:r w:rsidRPr="00584AAF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84AAF">
        <w:rPr>
          <w:rFonts w:ascii="Times New Roman" w:hAnsi="Times New Roman" w:cs="Times New Roman"/>
          <w:sz w:val="24"/>
          <w:szCs w:val="24"/>
        </w:rPr>
        <w:t>dzkiej 42  tel. +48 32  251 07 36.</w:t>
      </w:r>
    </w:p>
    <w:sectPr w:rsidR="003A4100" w:rsidRPr="00584AA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1269" w14:textId="77777777" w:rsidR="004B5DC3" w:rsidRDefault="004B5DC3">
      <w:pPr>
        <w:spacing w:after="0" w:line="240" w:lineRule="auto"/>
      </w:pPr>
      <w:r>
        <w:separator/>
      </w:r>
    </w:p>
  </w:endnote>
  <w:endnote w:type="continuationSeparator" w:id="0">
    <w:p w14:paraId="6DCA45FF" w14:textId="77777777" w:rsidR="004B5DC3" w:rsidRDefault="004B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DC1" w14:textId="77777777" w:rsidR="003A4100" w:rsidRDefault="003A410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589C" w14:textId="77777777" w:rsidR="004B5DC3" w:rsidRDefault="004B5DC3">
      <w:pPr>
        <w:spacing w:after="0" w:line="240" w:lineRule="auto"/>
      </w:pPr>
      <w:r>
        <w:separator/>
      </w:r>
    </w:p>
  </w:footnote>
  <w:footnote w:type="continuationSeparator" w:id="0">
    <w:p w14:paraId="269C72D8" w14:textId="77777777" w:rsidR="004B5DC3" w:rsidRDefault="004B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9681" w14:textId="77777777" w:rsidR="003A4100" w:rsidRDefault="003A41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70F6"/>
    <w:multiLevelType w:val="hybridMultilevel"/>
    <w:tmpl w:val="C88AF154"/>
    <w:styleLink w:val="Zaimportowanystyl1"/>
    <w:lvl w:ilvl="0" w:tplc="C4266F4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638C8">
      <w:start w:val="1"/>
      <w:numFmt w:val="lowerLetter"/>
      <w:lvlText w:val="%2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F4CF7A">
      <w:start w:val="1"/>
      <w:numFmt w:val="lowerRoman"/>
      <w:lvlText w:val="%3."/>
      <w:lvlJc w:val="left"/>
      <w:pPr>
        <w:ind w:left="22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48A584">
      <w:start w:val="1"/>
      <w:numFmt w:val="decimal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6CE96">
      <w:start w:val="1"/>
      <w:numFmt w:val="lowerLetter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89526">
      <w:start w:val="1"/>
      <w:numFmt w:val="lowerRoman"/>
      <w:lvlText w:val="%6."/>
      <w:lvlJc w:val="left"/>
      <w:pPr>
        <w:ind w:left="43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C90BA">
      <w:start w:val="1"/>
      <w:numFmt w:val="decimal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183CCE">
      <w:start w:val="1"/>
      <w:numFmt w:val="lowerLetter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47EA2">
      <w:start w:val="1"/>
      <w:numFmt w:val="lowerRoman"/>
      <w:lvlText w:val="%9."/>
      <w:lvlJc w:val="left"/>
      <w:pPr>
        <w:ind w:left="65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6E1DBC"/>
    <w:multiLevelType w:val="hybridMultilevel"/>
    <w:tmpl w:val="12CC5F5C"/>
    <w:numStyleLink w:val="Zaimportowanystyl2"/>
  </w:abstractNum>
  <w:abstractNum w:abstractNumId="2" w15:restartNumberingAfterBreak="0">
    <w:nsid w:val="20767D7B"/>
    <w:multiLevelType w:val="hybridMultilevel"/>
    <w:tmpl w:val="5ECC4C1A"/>
    <w:styleLink w:val="Zaimportowanystyl3"/>
    <w:lvl w:ilvl="0" w:tplc="079E98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852F0">
      <w:start w:val="1"/>
      <w:numFmt w:val="lowerLetter"/>
      <w:lvlText w:val="%2."/>
      <w:lvlJc w:val="left"/>
      <w:pPr>
        <w:ind w:left="122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AF55A">
      <w:start w:val="1"/>
      <w:numFmt w:val="lowerRoman"/>
      <w:lvlText w:val="%3."/>
      <w:lvlJc w:val="left"/>
      <w:pPr>
        <w:ind w:left="193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86D0">
      <w:start w:val="1"/>
      <w:numFmt w:val="decimal"/>
      <w:lvlText w:val="%4."/>
      <w:lvlJc w:val="left"/>
      <w:pPr>
        <w:ind w:left="266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63B48">
      <w:start w:val="1"/>
      <w:numFmt w:val="lowerLetter"/>
      <w:lvlText w:val="%5."/>
      <w:lvlJc w:val="left"/>
      <w:pPr>
        <w:ind w:left="338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44006">
      <w:start w:val="1"/>
      <w:numFmt w:val="lowerRoman"/>
      <w:lvlText w:val="%6."/>
      <w:lvlJc w:val="left"/>
      <w:pPr>
        <w:ind w:left="409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074D4">
      <w:start w:val="1"/>
      <w:numFmt w:val="decimal"/>
      <w:lvlText w:val="%7."/>
      <w:lvlJc w:val="left"/>
      <w:pPr>
        <w:ind w:left="482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6ECBC">
      <w:start w:val="1"/>
      <w:numFmt w:val="lowerLetter"/>
      <w:lvlText w:val="%8."/>
      <w:lvlJc w:val="left"/>
      <w:pPr>
        <w:ind w:left="5546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CCA62">
      <w:start w:val="1"/>
      <w:numFmt w:val="lowerRoman"/>
      <w:lvlText w:val="%9."/>
      <w:lvlJc w:val="left"/>
      <w:pPr>
        <w:ind w:left="6251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B91A82"/>
    <w:multiLevelType w:val="hybridMultilevel"/>
    <w:tmpl w:val="8874357A"/>
    <w:numStyleLink w:val="Zaimportowanystyl10"/>
  </w:abstractNum>
  <w:abstractNum w:abstractNumId="4" w15:restartNumberingAfterBreak="0">
    <w:nsid w:val="348A55C4"/>
    <w:multiLevelType w:val="hybridMultilevel"/>
    <w:tmpl w:val="12CC5F5C"/>
    <w:styleLink w:val="Zaimportowanystyl2"/>
    <w:lvl w:ilvl="0" w:tplc="BCC68A4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38847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E7647D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EC0CA6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25EC6C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2C8699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26A74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9DA33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F30F77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5D576BF"/>
    <w:multiLevelType w:val="hybridMultilevel"/>
    <w:tmpl w:val="C88AF154"/>
    <w:numStyleLink w:val="Zaimportowanystyl1"/>
  </w:abstractNum>
  <w:abstractNum w:abstractNumId="6" w15:restartNumberingAfterBreak="0">
    <w:nsid w:val="61D9203A"/>
    <w:multiLevelType w:val="multilevel"/>
    <w:tmpl w:val="A470E13E"/>
    <w:lvl w:ilvl="0">
      <w:start w:val="14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26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31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66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86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91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826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46" w:hanging="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51" w:hanging="35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4D7636"/>
    <w:multiLevelType w:val="hybridMultilevel"/>
    <w:tmpl w:val="8874357A"/>
    <w:styleLink w:val="Zaimportowanystyl10"/>
    <w:lvl w:ilvl="0" w:tplc="E60882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AE72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EA4E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671A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AA12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CB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EBC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E38D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6E6D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6300587">
    <w:abstractNumId w:val="0"/>
  </w:num>
  <w:num w:numId="2" w16cid:durableId="793133008">
    <w:abstractNumId w:val="5"/>
  </w:num>
  <w:num w:numId="3" w16cid:durableId="721901952">
    <w:abstractNumId w:val="7"/>
  </w:num>
  <w:num w:numId="4" w16cid:durableId="1438134517">
    <w:abstractNumId w:val="3"/>
  </w:num>
  <w:num w:numId="5" w16cid:durableId="531647051">
    <w:abstractNumId w:val="3"/>
    <w:lvlOverride w:ilvl="0">
      <w:startOverride w:val="2"/>
    </w:lvlOverride>
  </w:num>
  <w:num w:numId="6" w16cid:durableId="1208685311">
    <w:abstractNumId w:val="5"/>
    <w:lvlOverride w:ilvl="0">
      <w:startOverride w:val="3"/>
    </w:lvlOverride>
  </w:num>
  <w:num w:numId="7" w16cid:durableId="610936027">
    <w:abstractNumId w:val="4"/>
  </w:num>
  <w:num w:numId="8" w16cid:durableId="389811766">
    <w:abstractNumId w:val="1"/>
  </w:num>
  <w:num w:numId="9" w16cid:durableId="39013893">
    <w:abstractNumId w:val="1"/>
    <w:lvlOverride w:ilvl="0">
      <w:lvl w:ilvl="0" w:tplc="7E36426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78A9CC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82A12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96BED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947E9A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80B59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DADD8C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7438B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F81BE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6683800">
    <w:abstractNumId w:val="2"/>
  </w:num>
  <w:num w:numId="11" w16cid:durableId="779253134">
    <w:abstractNumId w:val="6"/>
  </w:num>
  <w:num w:numId="12" w16cid:durableId="1381517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00"/>
    <w:rsid w:val="00202C5D"/>
    <w:rsid w:val="00391F56"/>
    <w:rsid w:val="003A4100"/>
    <w:rsid w:val="004B5DC3"/>
    <w:rsid w:val="00584AAF"/>
    <w:rsid w:val="008F665B"/>
    <w:rsid w:val="00AE70B0"/>
    <w:rsid w:val="00B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D8E9"/>
  <w15:docId w15:val="{1F76EB31-E1F6-43BB-9904-8F1DF0AF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A">
    <w:name w:val="Domyślne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3">
    <w:name w:val="Zaimportowany styl 3"/>
    <w:pPr>
      <w:numPr>
        <w:numId w:val="10"/>
      </w:numPr>
    </w:pPr>
  </w:style>
  <w:style w:type="paragraph" w:styleId="Poprawka">
    <w:name w:val="Revision"/>
    <w:hidden/>
    <w:uiPriority w:val="99"/>
    <w:semiHidden/>
    <w:rsid w:val="00202C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Kama</cp:lastModifiedBy>
  <cp:revision>3</cp:revision>
  <dcterms:created xsi:type="dcterms:W3CDTF">2023-06-07T08:39:00Z</dcterms:created>
  <dcterms:modified xsi:type="dcterms:W3CDTF">2023-06-07T10:08:00Z</dcterms:modified>
</cp:coreProperties>
</file>