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46" w:type="dxa"/>
        <w:tblInd w:w="-714" w:type="dxa"/>
        <w:tblLook w:val="04A0" w:firstRow="1" w:lastRow="0" w:firstColumn="1" w:lastColumn="0" w:noHBand="0" w:noVBand="1"/>
      </w:tblPr>
      <w:tblGrid>
        <w:gridCol w:w="1060"/>
        <w:gridCol w:w="1439"/>
        <w:gridCol w:w="2598"/>
        <w:gridCol w:w="5638"/>
        <w:gridCol w:w="11"/>
      </w:tblGrid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8B032C" w:rsidRDefault="008B032C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B032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39" w:type="dxa"/>
          </w:tcPr>
          <w:p w:rsidR="000E671A" w:rsidRPr="009102CA" w:rsidRDefault="000E671A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2CA">
              <w:rPr>
                <w:rFonts w:ascii="Arial" w:hAnsi="Arial" w:cs="Arial"/>
                <w:b/>
                <w:sz w:val="24"/>
                <w:szCs w:val="24"/>
              </w:rPr>
              <w:t>TAK/NIE</w:t>
            </w:r>
          </w:p>
        </w:tc>
        <w:tc>
          <w:tcPr>
            <w:tcW w:w="2598" w:type="dxa"/>
          </w:tcPr>
          <w:p w:rsidR="000E671A" w:rsidRPr="009102CA" w:rsidRDefault="000E671A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2CA">
              <w:rPr>
                <w:rFonts w:ascii="Arial" w:hAnsi="Arial" w:cs="Arial"/>
                <w:b/>
                <w:sz w:val="24"/>
                <w:szCs w:val="24"/>
              </w:rPr>
              <w:t xml:space="preserve">W przypadku </w:t>
            </w:r>
            <w:r w:rsidR="00297A67">
              <w:rPr>
                <w:rFonts w:ascii="Arial" w:hAnsi="Arial" w:cs="Arial"/>
                <w:b/>
                <w:sz w:val="24"/>
                <w:szCs w:val="24"/>
              </w:rPr>
              <w:t xml:space="preserve">braku </w:t>
            </w:r>
            <w:r w:rsidRPr="009102CA">
              <w:rPr>
                <w:rFonts w:ascii="Arial" w:hAnsi="Arial" w:cs="Arial"/>
                <w:b/>
                <w:sz w:val="24"/>
                <w:szCs w:val="24"/>
              </w:rPr>
              <w:t>zabezpieczenia należy uzasadnić</w:t>
            </w:r>
          </w:p>
        </w:tc>
        <w:tc>
          <w:tcPr>
            <w:tcW w:w="5638" w:type="dxa"/>
          </w:tcPr>
          <w:p w:rsidR="000E671A" w:rsidRPr="009102CA" w:rsidRDefault="00297A67" w:rsidP="008B03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Wdrożone środki bezpieczeństwa</w:t>
            </w:r>
          </w:p>
        </w:tc>
      </w:tr>
      <w:tr w:rsidR="00297A67" w:rsidRPr="009102CA" w:rsidTr="007C5D4B">
        <w:trPr>
          <w:gridAfter w:val="1"/>
          <w:wAfter w:w="11" w:type="dxa"/>
        </w:trPr>
        <w:tc>
          <w:tcPr>
            <w:tcW w:w="10735" w:type="dxa"/>
            <w:gridSpan w:val="4"/>
          </w:tcPr>
          <w:p w:rsidR="00B6414C" w:rsidRDefault="00B6414C" w:rsidP="00297A6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97A67" w:rsidRDefault="00297A67" w:rsidP="00297A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7A67">
              <w:rPr>
                <w:rFonts w:ascii="Arial" w:hAnsi="Arial" w:cs="Arial"/>
                <w:b/>
                <w:sz w:val="28"/>
                <w:szCs w:val="28"/>
              </w:rPr>
              <w:t>I.  Środki ochrony fizycznej</w:t>
            </w:r>
          </w:p>
          <w:p w:rsidR="00B6414C" w:rsidRPr="00297A67" w:rsidRDefault="00B6414C" w:rsidP="00297A6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9102CA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Serwery zlokalizowane są na terytorium Europejskiego Obszaru Gospodarczego.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Serwery zlokalizowane są w pomieszczeniach z dostępem wyłącznie dla osób posiadających nadane uprawnienia (System Kontroli Dostępu – SKD, System Zarzadzania Kluczami - SZK).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Służba ochrony prowadzi całodobową, fizyczną ochronę budynku.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Hol główny i teren wokół budynku jest objęty monitoringiem wizyjnym (CCTV).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0E671A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są przechowywane w pomieszczeniu zabezpieczonym drzwiami zwykłymi (nie</w:t>
            </w:r>
            <w:r w:rsidR="00AE2ABE">
              <w:rPr>
                <w:rFonts w:ascii="Arial" w:hAnsi="Arial" w:cs="Arial"/>
              </w:rPr>
              <w:t xml:space="preserve"> </w:t>
            </w:r>
            <w:r w:rsidRPr="009102CA">
              <w:rPr>
                <w:rFonts w:ascii="Arial" w:hAnsi="Arial" w:cs="Arial"/>
              </w:rPr>
              <w:t>wzmacnianymi, nie przeciwpożarowymi).</w:t>
            </w:r>
          </w:p>
        </w:tc>
      </w:tr>
      <w:tr w:rsidR="00297A67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0E671A" w:rsidRPr="00297A67" w:rsidRDefault="000E671A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0E671A" w:rsidRPr="009102CA" w:rsidRDefault="000E671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0E671A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są przechowywane w pomieszczeniu zabezpieczonym drzwiami o podwyższone</w:t>
            </w:r>
            <w:r w:rsidR="006B7441">
              <w:rPr>
                <w:rFonts w:ascii="Arial" w:hAnsi="Arial" w:cs="Arial"/>
              </w:rPr>
              <w:t>j odporności ogniowej.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są przechowywane w pomieszczeniu zabezpieczonym drzwiami o podwyższonej odporno</w:t>
            </w:r>
            <w:r w:rsidR="006B7441">
              <w:rPr>
                <w:rFonts w:ascii="Arial" w:hAnsi="Arial" w:cs="Arial"/>
              </w:rPr>
              <w:t>ści na włamanie.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Dane osobowe Zamawiającego (w tym dane są przechowywane w pomieszczeniu, w którym okna zabezpieczone są za pomocą krat, rolet lub folii antywłamaniowej.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Pomieszczenia wyposażone są w system alarmowy przeciwwłamaniowy (SSWiN).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pomieszczeń objęty jest systemem kontroli dostępu (SKD).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pomieszczeń objęty jest zasadami zarządzania dostępem do kluczy do pomieszczeń (np. system zarzadzania kluczami, depozytory - SZK)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pomieszczeń kontrolowany jest przez system monitoringu z zastosowaniem kamer przemysłowych (CCTV).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pomieszczeń  w czasie nieobecności zatrudnionych tam pracowników nadzorowany przez służbę ochrony.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Pomieszczenia są zabezpieczone przed skutkami pożaru za pomocą systemu przeciwpożarowego i / lub wolnostojącej gaśnicy.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422C65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Kopie zapasowe przechowywane są w różnych lokalizacjach, na różnych nośnikach</w:t>
            </w:r>
            <w:r w:rsidR="00B6414C">
              <w:rPr>
                <w:rFonts w:ascii="Arial" w:hAnsi="Arial" w:cs="Arial"/>
              </w:rPr>
              <w:t>.</w:t>
            </w:r>
          </w:p>
        </w:tc>
      </w:tr>
      <w:tr w:rsidR="009102CA" w:rsidRPr="009102CA" w:rsidTr="00B6414C">
        <w:trPr>
          <w:trHeight w:val="219"/>
        </w:trPr>
        <w:tc>
          <w:tcPr>
            <w:tcW w:w="10746" w:type="dxa"/>
            <w:gridSpan w:val="5"/>
          </w:tcPr>
          <w:p w:rsidR="00B6414C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02CA" w:rsidRDefault="009102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02CA">
              <w:rPr>
                <w:rFonts w:ascii="Arial" w:hAnsi="Arial" w:cs="Arial"/>
                <w:b/>
                <w:sz w:val="28"/>
                <w:szCs w:val="28"/>
              </w:rPr>
              <w:lastRenderedPageBreak/>
              <w:t>II. Środki sprzętowe infrastruktury informatycznej i telekomunikacyjnej</w:t>
            </w:r>
          </w:p>
          <w:p w:rsidR="00B6414C" w:rsidRPr="009102CA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urządzenia typu UPS, generator prądu i / lub wydzieloną sieć elektroenergetyczną, chroniące system informatyczny przed skutkami awarii zasilania.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Każdy pracownik otrzymuje imienny identyfikator do systemów informatycznych.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zasobów Zamawiającego zabezpieczony jest za pomocą procesu uwierzytelnienia z wykorzystaniem identyfikatora użytkownika oraz hasła.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System informatyczny zapewnia wymuszenie na użytkowniku okresową zmianę hasła.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8C562D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System informatyczny zapewnia zmianę hasła w razie zaistniałej potrzeby.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środki uniemożliwiające wykonywanie nieautoryzowanych kopii  przy użyciu systemów informatycznych.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system rejestracji dostępu do systemu.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środki kryptograficznej ochrony danych przekazywanych drogą teletransmisji.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środków teletransmisji zabezpieczono za pomocą mechanizmów uwierzytelnienia.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Zastosowano środki ochrony przed szkodliwym oprogramowaniem, takim jak np. robaki, wirusy, konie trojańskie, rootkity. (oprogramowanie antywirusowe).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Oprogramowanie posiada licencje i jest na bieżąco aktualizowane.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Użyto system Firewall do ochrony dostępu do sieci komputerowej.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Użyto system IDS/IPS do ochrony dostępu do sieci komputerowej.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Zapewniono zdolność do szybkiego przywrócenia dostępności informacji i dostępu do nich w razie incydentu fizycznego i technicznego.</w:t>
            </w: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Dostęp do danych osobowych Zamawiającego zabezpieczony został przed nieautoryzowanym uruchomieniem za pomocą hasła BIOS.</w:t>
            </w:r>
          </w:p>
        </w:tc>
      </w:tr>
      <w:tr w:rsidR="009102CA" w:rsidRPr="009102CA" w:rsidTr="00297A67">
        <w:tc>
          <w:tcPr>
            <w:tcW w:w="10746" w:type="dxa"/>
            <w:gridSpan w:val="5"/>
          </w:tcPr>
          <w:p w:rsidR="00B6414C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02CA" w:rsidRDefault="009102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02CA">
              <w:rPr>
                <w:rFonts w:ascii="Arial" w:hAnsi="Arial" w:cs="Arial"/>
                <w:b/>
                <w:sz w:val="28"/>
                <w:szCs w:val="28"/>
              </w:rPr>
              <w:t>III. Środki ochrony w ramach narzędzi programowych i baz danych</w:t>
            </w:r>
          </w:p>
          <w:p w:rsidR="00B6414C" w:rsidRPr="009102CA" w:rsidRDefault="00B64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562D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8C562D" w:rsidRPr="00297A67" w:rsidRDefault="008C562D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8C562D" w:rsidRPr="009102CA" w:rsidRDefault="008C562D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8C562D" w:rsidRPr="009102CA" w:rsidRDefault="009102CA" w:rsidP="008B032C">
            <w:pPr>
              <w:jc w:val="both"/>
              <w:rPr>
                <w:rFonts w:ascii="Arial" w:hAnsi="Arial" w:cs="Arial"/>
              </w:rPr>
            </w:pPr>
            <w:r w:rsidRPr="009102CA">
              <w:rPr>
                <w:rFonts w:ascii="Arial" w:hAnsi="Arial" w:cs="Arial"/>
              </w:rPr>
              <w:t>Wykorzystano środki pozwalające na rejestrację zmian wykonywanych na poszczególnych elementach danych.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środki umożliwiające określenie praw dostępu do wskazanego zakresu danych w ramach przetwarzanych informacji.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Dostęp do zasobów Zamawiającego  wymaga uwierzytelnienia z wykorzystaniem identyfikatora użytkownika oraz hasła.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Dostęp do zasobów Zamawiającego wymaga uwierzytelnienia przy użyciu karty procesorowej oraz kodu PIN lub tokena.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Dostęp do zasobów Zamawiającego wymaga logowania/uwierzytelnienia poprzez uwierzytelnianie wielopoziomowe, np. 2FA (uwierzytelnianie dwuskładnikowe).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Dostęp do zasobów Zamawiającego wymaga uwierzytelnienia z wykorzystaniem technologii biometrycznej.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systemowe środki pozwalające na określenie odpowiednich praw dostępu do zasobów informatycznych dla poszczególnych użytkowników systemu informatycznego.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mechanizm wymuszający okresową zmianę haseł dostępu do zasobów Zamawiającego.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kryptograficzne środki ochrony danych.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Zainstalowano wygaszacze ekranów na stanowiskach, na których przetwarzane są  dane osobowe Zamawiającego.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FF7B06" w:rsidP="008B032C">
            <w:pPr>
              <w:jc w:val="both"/>
              <w:rPr>
                <w:rFonts w:ascii="Arial" w:hAnsi="Arial" w:cs="Arial"/>
              </w:rPr>
            </w:pPr>
            <w:r w:rsidRPr="00FF7B06">
              <w:rPr>
                <w:rFonts w:ascii="Arial" w:hAnsi="Arial" w:cs="Arial"/>
              </w:rPr>
              <w:t>Zastosowano mechanizm automatycznej blokady dostępu do systemu informatycznego służącego do przetwarzania informacji Zamawiającego ( w tym danych osobowych) w przypadku dłuższej nieaktywności pracy użytkownika.</w:t>
            </w:r>
          </w:p>
        </w:tc>
      </w:tr>
      <w:tr w:rsidR="00FF7B06" w:rsidRPr="009102CA" w:rsidTr="00297A67">
        <w:tc>
          <w:tcPr>
            <w:tcW w:w="10746" w:type="dxa"/>
            <w:gridSpan w:val="5"/>
          </w:tcPr>
          <w:p w:rsidR="00B6414C" w:rsidRDefault="00B6414C" w:rsidP="00FF7B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F7B06" w:rsidRDefault="00FF7B06" w:rsidP="00FF7B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7B06">
              <w:rPr>
                <w:rFonts w:ascii="Arial" w:hAnsi="Arial" w:cs="Arial"/>
                <w:b/>
                <w:sz w:val="28"/>
                <w:szCs w:val="28"/>
              </w:rPr>
              <w:t>IV. Środki organizacyjne</w:t>
            </w:r>
          </w:p>
          <w:p w:rsidR="00B6414C" w:rsidRPr="00FF7B06" w:rsidRDefault="00B6414C" w:rsidP="00FF7B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Osoby zatrudnione przy przetwarzaniu danych zostały zaznajomione z przepisami dotyczącymi  ochrony danych osobowych.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Przeszkolono osoby zatrudnione przy przetwarzaniu danych osobowych w zakresie zabezpieczeń systemu informatycznego.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Cyklicznie doskonalona jest wiedza osób zatrudnionych przy przetwarzaniu informacji poprzez cykliczne szkolenia oraz inne działania podnoszące świadomość w przedmiotowym obszarze.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Wprowadzono/określono zasady ochrony danych osobowych przetwarzanych w systemach teleinformatycznych.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Osoby zatrudnione przy przetwarzaniu danych osobowych  zobowiązane zostały do zachowania ich w tajemnicy.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Dostęp do pomieszczeń po godzinach pracy nie jest możliwy dla osób trzecich (np. firmy sprzątającej) bądź dostęp ten jest szczegółowo nadzorowany.</w:t>
            </w:r>
          </w:p>
        </w:tc>
      </w:tr>
      <w:tr w:rsidR="009102CA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102CA" w:rsidRPr="00297A67" w:rsidRDefault="009102CA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102CA" w:rsidRPr="009102CA" w:rsidRDefault="009102CA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102CA" w:rsidRPr="009102CA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Monitory komputerów, na których przetwarzane są dane osobowe ustawione są w sposób uniemożliwiający wgląd osobom postronnym w przetwarzane dane.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Osoby zatrudnione przy przetwarzaniu danych osobowych zobowiązane zostały do zabezpieczania nieużywanych w danym momencie systemów poprzez blokadę ekranu lub w inny równoważny sposób – zgodnie z polityką czystego ekranu.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Określono zakres oraz częstotliwość tworzenia kopii zapasowych.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Określono procedury odtwarzania systemu po awarii oraz ich testowania.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Przeprowadzono szacowanie ryzyka dla aktywów w których będą przetwarzane będą dane osobowe Zamawiającego.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Wdrożenie wymogów dotyczących bezpieczeństwa informacji potwierdzone jest stosownymi certyfikatami.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Wdrażanie nowych rozwiązań odbywa się zgodnie z zasadą „privacy by design”.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Wdrażanie nowych rozwiązań odbywa się zgodnie z zasadą z zasadą „privacy by default”.”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Prowadzona jest ocena skutków dla ochrony danych.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Gwarantowana jest realizacja praw osób, których dane dotyczą.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Gwarantowane jest przestrzeganie procedury informowania Administratora o naruszeniu ochrony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Prowadzony jest monitoring funkcjonującego systemu ochrony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Prowadzona jest ewidencja osób upoważnionych do przetwarzania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Do przetwarzania danych osobowych dopuszczone są jedynie osoby posiadające upoważnienie do przetwarzania danych osobowych.</w:t>
            </w:r>
          </w:p>
        </w:tc>
      </w:tr>
      <w:tr w:rsidR="009A705C" w:rsidRPr="009102CA" w:rsidTr="00297A67">
        <w:trPr>
          <w:gridAfter w:val="1"/>
          <w:wAfter w:w="11" w:type="dxa"/>
        </w:trPr>
        <w:tc>
          <w:tcPr>
            <w:tcW w:w="1060" w:type="dxa"/>
          </w:tcPr>
          <w:p w:rsidR="009A705C" w:rsidRPr="00297A67" w:rsidRDefault="009A705C" w:rsidP="00297A6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9A705C" w:rsidRPr="009102CA" w:rsidRDefault="009A705C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</w:tcPr>
          <w:p w:rsidR="009A705C" w:rsidRPr="009A705C" w:rsidRDefault="009A705C" w:rsidP="008B032C">
            <w:pPr>
              <w:jc w:val="both"/>
              <w:rPr>
                <w:rFonts w:ascii="Arial" w:hAnsi="Arial" w:cs="Arial"/>
              </w:rPr>
            </w:pPr>
            <w:r w:rsidRPr="009A705C">
              <w:rPr>
                <w:rFonts w:ascii="Arial" w:hAnsi="Arial" w:cs="Arial"/>
              </w:rPr>
              <w:t>Wdrożona i stosowana jest polityka określającą zasady ochrony danych osobowych.</w:t>
            </w:r>
          </w:p>
        </w:tc>
      </w:tr>
    </w:tbl>
    <w:p w:rsidR="006E3A73" w:rsidRDefault="008A50D7">
      <w:pPr>
        <w:rPr>
          <w:rFonts w:ascii="Arial" w:hAnsi="Arial" w:cs="Arial"/>
        </w:rPr>
      </w:pPr>
    </w:p>
    <w:p w:rsidR="009A705C" w:rsidRPr="009A705C" w:rsidRDefault="009A705C" w:rsidP="009A705C">
      <w:pPr>
        <w:rPr>
          <w:rFonts w:ascii="Arial" w:hAnsi="Arial" w:cs="Arial"/>
        </w:rPr>
      </w:pPr>
      <w:r w:rsidRPr="009A705C">
        <w:rPr>
          <w:rFonts w:ascii="Arial" w:hAnsi="Arial" w:cs="Arial"/>
        </w:rPr>
        <w:t>Ponadto zastosowano dodatkowo inne</w:t>
      </w:r>
      <w:r>
        <w:rPr>
          <w:rFonts w:ascii="Arial" w:hAnsi="Arial" w:cs="Arial"/>
        </w:rPr>
        <w:t xml:space="preserve"> poniżej wyszczególnione środki: </w:t>
      </w:r>
      <w:r w:rsidRPr="009A705C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…………..</w:t>
      </w:r>
    </w:p>
    <w:p w:rsidR="009A705C" w:rsidRPr="009A705C" w:rsidRDefault="009A705C" w:rsidP="009A705C">
      <w:pPr>
        <w:rPr>
          <w:rFonts w:ascii="Arial" w:hAnsi="Arial" w:cs="Arial"/>
        </w:rPr>
      </w:pPr>
      <w:r w:rsidRPr="009A705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9A705C" w:rsidRPr="009102CA" w:rsidRDefault="009A705C" w:rsidP="009A705C">
      <w:pPr>
        <w:rPr>
          <w:rFonts w:ascii="Arial" w:hAnsi="Arial" w:cs="Arial"/>
        </w:rPr>
      </w:pPr>
      <w:r w:rsidRPr="009A705C">
        <w:rPr>
          <w:rFonts w:ascii="Segoe UI Symbol" w:hAnsi="Segoe UI Symbol" w:cs="Segoe UI Symbol"/>
        </w:rPr>
        <w:t>☐</w:t>
      </w:r>
      <w:r w:rsidRPr="009A705C">
        <w:rPr>
          <w:rFonts w:ascii="Arial" w:hAnsi="Arial" w:cs="Arial"/>
        </w:rPr>
        <w:t xml:space="preserve"> wykazanie przestrzegania zasad dotyczących przetwarzania danych osobowych, jest możliwe m.in. poprzez przedstawienie obowiązujących  procedur i dokumentacji ochrony danych osobowych.</w:t>
      </w:r>
    </w:p>
    <w:sectPr w:rsidR="009A705C" w:rsidRPr="009102CA" w:rsidSect="00297A67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D7" w:rsidRDefault="008A50D7" w:rsidP="00FF7B06">
      <w:pPr>
        <w:spacing w:after="0" w:line="240" w:lineRule="auto"/>
      </w:pPr>
      <w:r>
        <w:separator/>
      </w:r>
    </w:p>
  </w:endnote>
  <w:endnote w:type="continuationSeparator" w:id="0">
    <w:p w:rsidR="008A50D7" w:rsidRDefault="008A50D7" w:rsidP="00FF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1529"/>
      <w:docPartObj>
        <w:docPartGallery w:val="Page Numbers (Bottom of Page)"/>
        <w:docPartUnique/>
      </w:docPartObj>
    </w:sdtPr>
    <w:sdtEndPr/>
    <w:sdtContent>
      <w:p w:rsidR="00B6414C" w:rsidRDefault="00B641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652">
          <w:rPr>
            <w:noProof/>
          </w:rPr>
          <w:t>1</w:t>
        </w:r>
        <w:r>
          <w:fldChar w:fldCharType="end"/>
        </w:r>
      </w:p>
    </w:sdtContent>
  </w:sdt>
  <w:p w:rsidR="00B6414C" w:rsidRDefault="00B64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D7" w:rsidRDefault="008A50D7" w:rsidP="00FF7B06">
      <w:pPr>
        <w:spacing w:after="0" w:line="240" w:lineRule="auto"/>
      </w:pPr>
      <w:r>
        <w:separator/>
      </w:r>
    </w:p>
  </w:footnote>
  <w:footnote w:type="continuationSeparator" w:id="0">
    <w:p w:rsidR="008A50D7" w:rsidRDefault="008A50D7" w:rsidP="00FF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67" w:rsidRDefault="00297A67">
    <w:pPr>
      <w:pStyle w:val="Nagwek"/>
    </w:pPr>
    <w:r>
      <w:t>Załącznik nr 1 do umowy powierzenia przetwarzania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09E"/>
    <w:multiLevelType w:val="hybridMultilevel"/>
    <w:tmpl w:val="5A9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8DA"/>
    <w:multiLevelType w:val="hybridMultilevel"/>
    <w:tmpl w:val="65247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0795"/>
    <w:multiLevelType w:val="hybridMultilevel"/>
    <w:tmpl w:val="3E42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65938"/>
    <w:multiLevelType w:val="hybridMultilevel"/>
    <w:tmpl w:val="0222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2A8E"/>
    <w:multiLevelType w:val="hybridMultilevel"/>
    <w:tmpl w:val="E252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B397D"/>
    <w:multiLevelType w:val="hybridMultilevel"/>
    <w:tmpl w:val="1CE4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1A"/>
    <w:rsid w:val="000C15E9"/>
    <w:rsid w:val="000E671A"/>
    <w:rsid w:val="00231177"/>
    <w:rsid w:val="00233652"/>
    <w:rsid w:val="00297A67"/>
    <w:rsid w:val="002D3134"/>
    <w:rsid w:val="00340EF3"/>
    <w:rsid w:val="00422C65"/>
    <w:rsid w:val="006B7441"/>
    <w:rsid w:val="00791E69"/>
    <w:rsid w:val="008A50D7"/>
    <w:rsid w:val="008B032C"/>
    <w:rsid w:val="008C562D"/>
    <w:rsid w:val="009102CA"/>
    <w:rsid w:val="009A705C"/>
    <w:rsid w:val="00AE2ABE"/>
    <w:rsid w:val="00B51888"/>
    <w:rsid w:val="00B6414C"/>
    <w:rsid w:val="00DC0D8D"/>
    <w:rsid w:val="00EA44FD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9704-482A-4B33-B499-F9BD13A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67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B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B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A67"/>
  </w:style>
  <w:style w:type="paragraph" w:styleId="Stopka">
    <w:name w:val="footer"/>
    <w:basedOn w:val="Normalny"/>
    <w:link w:val="StopkaZnak"/>
    <w:uiPriority w:val="99"/>
    <w:unhideWhenUsed/>
    <w:rsid w:val="0029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Monika</dc:creator>
  <cp:keywords/>
  <dc:description/>
  <cp:lastModifiedBy>Blaszczak Anna</cp:lastModifiedBy>
  <cp:revision>2</cp:revision>
  <dcterms:created xsi:type="dcterms:W3CDTF">2024-12-05T15:16:00Z</dcterms:created>
  <dcterms:modified xsi:type="dcterms:W3CDTF">2024-12-05T15:16:00Z</dcterms:modified>
</cp:coreProperties>
</file>