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8B" w:rsidRDefault="00DC228B" w:rsidP="00E527FB">
      <w:pPr>
        <w:tabs>
          <w:tab w:val="left" w:pos="1245"/>
          <w:tab w:val="center" w:pos="7002"/>
        </w:tabs>
        <w:suppressAutoHyphens w:val="0"/>
        <w:spacing w:line="259" w:lineRule="auto"/>
        <w:ind w:right="89"/>
        <w:jc w:val="right"/>
        <w:rPr>
          <w:rFonts w:ascii="Tahoma" w:hAnsi="Tahoma" w:cs="Tahoma"/>
          <w:b/>
          <w:sz w:val="20"/>
          <w:szCs w:val="20"/>
          <w:lang w:eastAsia="en-US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lang w:eastAsia="en-US"/>
        </w:rPr>
        <w:t xml:space="preserve">                                                      </w:t>
      </w:r>
      <w:r w:rsidRPr="004B41C8">
        <w:rPr>
          <w:rFonts w:ascii="Tahoma" w:hAnsi="Tahoma" w:cs="Tahoma"/>
          <w:b/>
          <w:sz w:val="20"/>
          <w:szCs w:val="20"/>
          <w:lang w:eastAsia="en-US"/>
        </w:rPr>
        <w:t xml:space="preserve">Załącznik Nr </w:t>
      </w:r>
      <w:r w:rsidR="00E527FB">
        <w:rPr>
          <w:rFonts w:ascii="Tahoma" w:hAnsi="Tahoma" w:cs="Tahoma"/>
          <w:b/>
          <w:sz w:val="20"/>
          <w:szCs w:val="20"/>
          <w:lang w:eastAsia="en-US"/>
        </w:rPr>
        <w:t>5</w:t>
      </w:r>
      <w:r w:rsidRPr="004B41C8">
        <w:rPr>
          <w:rFonts w:ascii="Tahoma" w:hAnsi="Tahoma" w:cs="Tahoma"/>
          <w:b/>
          <w:sz w:val="20"/>
          <w:szCs w:val="20"/>
          <w:lang w:eastAsia="en-US"/>
        </w:rPr>
        <w:t xml:space="preserve"> do </w:t>
      </w:r>
      <w:r w:rsidR="00E527FB">
        <w:rPr>
          <w:rFonts w:ascii="Tahoma" w:hAnsi="Tahoma" w:cs="Tahoma"/>
          <w:b/>
          <w:sz w:val="20"/>
          <w:szCs w:val="20"/>
          <w:lang w:eastAsia="en-US"/>
        </w:rPr>
        <w:t>Zapytania ofertowego</w:t>
      </w:r>
      <w:r w:rsidRPr="00B30D2F">
        <w:rPr>
          <w:rFonts w:ascii="Tahoma" w:hAnsi="Tahoma" w:cs="Tahoma"/>
          <w:b/>
          <w:sz w:val="20"/>
          <w:szCs w:val="20"/>
          <w:lang w:eastAsia="en-US"/>
        </w:rPr>
        <w:tab/>
      </w:r>
    </w:p>
    <w:p w:rsidR="00DC228B" w:rsidRDefault="00DC228B" w:rsidP="00DC228B">
      <w:pPr>
        <w:tabs>
          <w:tab w:val="left" w:pos="1245"/>
          <w:tab w:val="center" w:pos="7002"/>
        </w:tabs>
        <w:suppressAutoHyphens w:val="0"/>
        <w:spacing w:line="259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>Formularz</w:t>
      </w:r>
      <w:r w:rsidRPr="00B30D2F">
        <w:rPr>
          <w:rFonts w:ascii="Tahoma" w:hAnsi="Tahoma" w:cs="Tahoma"/>
          <w:b/>
          <w:sz w:val="20"/>
          <w:szCs w:val="20"/>
          <w:lang w:eastAsia="en-US"/>
        </w:rPr>
        <w:t xml:space="preserve"> asortymentowo-cenow</w:t>
      </w:r>
      <w:r w:rsidR="0084097D">
        <w:rPr>
          <w:rFonts w:ascii="Tahoma" w:hAnsi="Tahoma" w:cs="Tahoma"/>
          <w:b/>
          <w:sz w:val="20"/>
          <w:szCs w:val="20"/>
          <w:lang w:eastAsia="en-US"/>
        </w:rPr>
        <w:t>y</w:t>
      </w:r>
      <w:r w:rsidR="00595F65">
        <w:rPr>
          <w:rFonts w:ascii="Tahoma" w:hAnsi="Tahoma" w:cs="Tahoma"/>
          <w:b/>
          <w:sz w:val="20"/>
          <w:szCs w:val="20"/>
          <w:lang w:eastAsia="en-US"/>
        </w:rPr>
        <w:t xml:space="preserve"> </w:t>
      </w:r>
    </w:p>
    <w:p w:rsidR="00DC228B" w:rsidRPr="00B30D2F" w:rsidRDefault="00DC228B" w:rsidP="00DC228B">
      <w:pPr>
        <w:tabs>
          <w:tab w:val="left" w:pos="1245"/>
          <w:tab w:val="center" w:pos="7002"/>
        </w:tabs>
        <w:suppressAutoHyphens w:val="0"/>
        <w:spacing w:line="259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6520"/>
        <w:gridCol w:w="1843"/>
        <w:gridCol w:w="1402"/>
        <w:gridCol w:w="1291"/>
        <w:gridCol w:w="1843"/>
        <w:gridCol w:w="1701"/>
      </w:tblGrid>
      <w:tr w:rsidR="002653AF" w:rsidRPr="00613EA2" w:rsidTr="002653AF">
        <w:trPr>
          <w:trHeight w:val="1140"/>
        </w:trPr>
        <w:tc>
          <w:tcPr>
            <w:tcW w:w="421" w:type="dxa"/>
            <w:shd w:val="clear" w:color="auto" w:fill="D9D9D9" w:themeFill="background1" w:themeFillShade="D9"/>
            <w:noWrap/>
            <w:vAlign w:val="center"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  <w:hideMark/>
          </w:tcPr>
          <w:p w:rsidR="002653AF" w:rsidRPr="003A665C" w:rsidRDefault="002653AF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ZAPOTRZEBOWANIE NA PRZESYŁKI POCZTOWE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okres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ie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01.01.202</w:t>
            </w:r>
            <w:r w:rsidR="00E527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-31.12.202</w:t>
            </w:r>
            <w:r w:rsidR="00E527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Szacowana ilość przesyłek 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w trakcie realizacji umowy (szt</w:t>
            </w:r>
            <w:r w:rsidR="00E527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brutto (zł)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653AF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netto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brutto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653AF" w:rsidRPr="00613EA2" w:rsidTr="00E527FB">
        <w:trPr>
          <w:trHeight w:val="357"/>
        </w:trPr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653AF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= (3x4)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= (3x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E527FB" w:rsidRPr="00613EA2" w:rsidTr="00E527FB">
        <w:trPr>
          <w:trHeight w:val="373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nierejestrowane, ekonomiczne do 500 gram, Format 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270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nierejestrowane, ekonomiczne do 1000 gram, Format 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289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nierejestrowane, ekonomiczne do 2000 gram, Format L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445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nierejestrowane, priorytetowe najszybszej kategorii  do 500 gram, Format 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409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nierejestrowane, priorytetowe najszybszej kategorii do 1000 gram, Format 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450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nierejestrowane, priorytetowe najszybszej kategorii do 2000 gram, Format 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295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rejestrowane, polecone do 500 gram, Format 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329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rejestrowane, polecone do 1000 gram, Format 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350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rejestrowane, polecone do 2000 gram, Format 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450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rejestrowane, polecone za potwierdzeniem odbioru do 500 gram, Format 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3 156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359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rejestrowane, polecone za potwierdzeniem odbioru do 1000 gram, Format 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2367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437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rejestrowane, polecone za potwierdzeniem odbioru do 2000 gram, Format 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450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listy krajowe rejestrowane, polecone, priorytetowe najszybszej kategorii  do 500 gram, Format 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495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listy krajowe rejestrowane, polecone, priorytetowe najszybszej kategorii  do 1000 gram, Format 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302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listy krajowe rejestrowane, polecone, priorytetowe najszybszej kategorii  do 2000 gram, Format 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570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listy krajowe rejestrowane, polecone, priorytetowe najszybszej kategorii ZPO do 500 gram, Format 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732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615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listy krajowe rejestrowane, polecone, priorytetowe najszybszej kategorii ZPO do 1000 gram, Format 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557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listy krajowe rejestrowane, polecone, priorytetowe najszybszej kategorii ZPO do 2000 gram, Format 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666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nierejestrowane, priorytetowe najszybszej kategorii  do 50 gram, strefy A, , gdzie strefa A dotyczy Europy (łącznie z Cyprem, całą Rosją i Izraelem),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703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nierejestrowane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ponad 50 do 100 gram, strefy A,  gdzie strefa A dotyczy Europy (łącznie z Cyprem, całą Rosją i Izraelem),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557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listowe zagraniczne (europejskie) nierejestrowane, priorytetowe najszybszej kategorii  ponad 100 do 350 gram, strefy A gdzie strefa A dotyczy Europy (łącznie z Cyprem, całą Rosją i Izraelem),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651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nierejestrowane, priorytetowe najszybszej kategorii  ponad 350 do 500 gram, strefy A, gdzie strefa A dotyczy Europy (łącznie z Cyprem, całą Rosją i Izraelem),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689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nierejestrowane, priorytetowe najszybszej kategorii  ponad 500 do 1000 gram, strefy A, gdzie strefa A dotyczy Europy (łącznie z Cyprem, całą Rosją i Izraelem),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900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listowe zagraniczne (europejskie) nierejestrowane, priorytetowe najszybszej kategorii  ponad 1000 do 2000 gram, strefy A,  gdzie strefa A dotyczy Europy (łącznie z Cyprem, całą Rosją i Izraelem),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412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listowe zagraniczne (pozaeuropejskie) nierejestrowane, priorytetowe najszybszej kategorii do 50 gram, B, C i D, gdzie strefa B – Ameryki Północnej i 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Afryki, strefa C – Ameryki Południowej, Środkowej i Azji, strefa D – Australii i Oceanii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840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nierejestrowane, priorytetowe najszybszej kategorii ponad 50 do 100 gram, B, C i D, gdzie strefa B – Ameryki Północnej i Afryki, strefa C – Ameryki Południowej, Środkowej i Azji, strefa D – Australii i Oceanii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904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nierejestrowane, priorytetowe najszybszej kategorii ponad 100 do 350 gram, B, C i D, gdzie strefa B – Ameryki Północnej i Afryki, strefa C – Ameryki Południowej, Środkowej i Azji, strefa D – Australii i Oceanii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822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nierejestrowane, priorytetowe najszybszej kategorii ponad 350 do 500 gram, B, C i D, gdzie strefa B – Ameryki Północnej i Afryki, strefa C – Ameryki Południowej, Środkowej i Azji, strefa D – Australii i Oceanii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910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nierejestrowane, priorytetowe najszybszej kategorii ponad 500 do 1000 gram, B, C i D, gdzie strefa B – Ameryki Północnej i Afryki, strefa C – Ameryki Południowej, Środkowej i Azji, strefa D – Australii i Oceanii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929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nierejestrowane, priorytetowe najszybszej kategorii od 1000 do 2000 gram, B, C i D, gdzie strefa B – Ameryki Północnej i Afryki, strefa C – Ameryki Południowej, Środkowej i Azji, strefa D – Australii i Oceanii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687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do 50 gram, strefy A, gdzie strefa A dotyczy Europy (łącznie z Cyprem, całą Rosją i Izraelem),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620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ponad 50 do 100 gram , strefy A,  gdzie strefa A dotyczy Europy (łącznie z Cyprem, całą Rosją i Izraelem),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701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ponad 100 do 350 gram, strefy A, gdzie strefa A dotyczy Europy (łącznie z Cyprem, całą Rosją i Izraelem),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697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34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ponad 350 do 500 gram, strefy A, gdzie strefa A dotyczy Europy (łącznie z Cyprem, całą Rosją i Izraelem),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693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ponad 500 do 1000 gram, strefy A,  gdzie strefa A dotyczy Europy (łącznie z Cyprem, całą Rosją i Izraelem),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561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ponad 1000 do 2000 gram, strefy A,  gdzie strefa A dotyczy Europy (łącznie z Cyprem, całą Rosją i Izraelem),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782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listowe zagraniczne (europejskie) polecone, priorytetowe najszybszej kategorii za zwrotnym potwierdzeniem odbioru do 50 gram, strefy A,  gdzie strefa A dotyczy Europy (łącznie z Cyprem, całą Rosją i Izraelem),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552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838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listowe zagraniczne (europejskie) polecone, priorytetowe najszybszej kategorii  za zwrotnym potwierdzeniem odbioru od 50 do 100 gram, strefy A,  gdzie strefa A dotyczy Europy (łącznie z Cyprem, całą Rosją i Izraelem),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868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za zwrotnym potwierdzeniem odbioru od 100 do 350 gram, strefy A,  gdzie strefa A dotyczy Europy (łącznie z Cyprem, całą Rosją i Izraelem),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939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za zwrotnym potwierdzeniem odbioru od 350 do 500 gram, strefy A,  gdzie strefa A dotyczy Europy (łącznie z Cyprem, całą Rosją i Izraelem),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930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listowe zagraniczne (europejskie) polecone, priorytetowe najszybszej kategorii  za zwrotnym potwierdzeniem odbioru od 500 do 1000 gram, strefy A,  gdzie strefa A dotyczy Europy (łącznie z Cyprem, całą Rosją i Izraelem),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840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raniczne (europejskie) polecone, priorytetowe 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najszybszej kategorii  za zwrotnym potwierdzeniem odbioru od 1000 do 2000 gram, strefy A,  gdzie strefa A dotyczy Europy (łącznie z Cyprem, całą Rosją i Izraelem),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895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priorytetowe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najszybszej kategorii  za zwrotnym potwierdzeniem odbioru  do 50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907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44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polecone, priorytetowe najszybszej kategorii  za zwrotnym potwierdzeniem odbioru  ponad 50 do 100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848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polecone, priorytetowe najszybszej kategorii  za zwrotnym potwierdzeniem odbioru  ponad 100 do 350 gram, 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833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polecone, priorytetowe najszybszej kategorii  za zwrotnym potwierdzeniem odbioru  ponad 350 do 500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816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stowe zagraniczne (pozaeuropejskie) polecone, priorytetowe najszybszej kategorii  za zwrotnym potwierdzeniem odbioru  ponad 500 do 1000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815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priorytetowe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najszybszej kategorii  za zwrotnym potwierdzeniem odbioru  ponad 1000 do 2000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910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polecone, priorytetowe najszybszej kategorii    do 50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868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  ponad 50 do 100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839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polecone, priorytetowe najszybszej kategorii    ponad 100 do 350 gram, 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846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polecone, priorytetowe najszybszej kategorii    ponad 350 do 500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875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polecone, priorytetowe najszybszej kategorii   ponad 500 do 1000 gram, B, C i D, gdzie strefa B – Ameryki Północnej i Afryki, strefa C – Ameryki Południowej, Środkowej i Azji, strefa D – Australii i Oceani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836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520" w:type="dxa"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polecone, priorytetowe najszybszej kategorii ponad 1000 do 2000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527FB" w:rsidRPr="00613EA2" w:rsidTr="00BD0B3B">
        <w:trPr>
          <w:trHeight w:val="255"/>
        </w:trPr>
        <w:tc>
          <w:tcPr>
            <w:tcW w:w="421" w:type="dxa"/>
            <w:noWrap/>
            <w:hideMark/>
          </w:tcPr>
          <w:p w:rsidR="00E527FB" w:rsidRPr="003A665C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520" w:type="dxa"/>
            <w:hideMark/>
          </w:tcPr>
          <w:p w:rsidR="00E527FB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poczta firmowa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  <w:p w:rsidR="00E527FB" w:rsidRPr="00257925" w:rsidRDefault="00E527FB" w:rsidP="00E527FB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* w kolumnach</w:t>
            </w:r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nr 4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i 5</w:t>
            </w:r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nale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ży podać cenę jednostkową </w:t>
            </w:r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za świadczenie usługi P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oczta firmowa w okresie 1 miesią</w:t>
            </w:r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FB" w:rsidRDefault="00E527FB" w:rsidP="00E52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02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E527FB" w:rsidRPr="00613EA2" w:rsidRDefault="00E527FB" w:rsidP="00E527FB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255"/>
        </w:trPr>
        <w:tc>
          <w:tcPr>
            <w:tcW w:w="11477" w:type="dxa"/>
            <w:gridSpan w:val="5"/>
          </w:tcPr>
          <w:p w:rsidR="002653AF" w:rsidRPr="003A665C" w:rsidRDefault="002653AF" w:rsidP="001E504E">
            <w:pPr>
              <w:spacing w:before="120"/>
              <w:jc w:val="right"/>
              <w:outlineLvl w:val="2"/>
              <w:rPr>
                <w:rFonts w:asciiTheme="minorHAnsi" w:hAnsiTheme="minorHAnsi" w:cstheme="minorHAnsi"/>
                <w:b/>
                <w:bCs/>
              </w:rPr>
            </w:pPr>
            <w:r w:rsidRPr="003A665C">
              <w:rPr>
                <w:rFonts w:asciiTheme="minorHAnsi" w:hAnsiTheme="minorHAnsi" w:cstheme="minorHAnsi"/>
                <w:b/>
                <w:bCs/>
              </w:rPr>
              <w:t>SUMA</w:t>
            </w:r>
            <w:r>
              <w:rPr>
                <w:rFonts w:asciiTheme="minorHAnsi" w:hAnsiTheme="minorHAnsi" w:cstheme="minorHAnsi"/>
                <w:b/>
                <w:bCs/>
              </w:rPr>
              <w:t>*</w:t>
            </w:r>
            <w:r w:rsidRPr="003A665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2653AF" w:rsidRPr="00613EA2" w:rsidRDefault="002653AF" w:rsidP="001E504E">
            <w:pPr>
              <w:spacing w:before="120"/>
              <w:jc w:val="right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720"/>
        </w:trPr>
        <w:tc>
          <w:tcPr>
            <w:tcW w:w="15021" w:type="dxa"/>
            <w:gridSpan w:val="7"/>
          </w:tcPr>
          <w:p w:rsidR="002653AF" w:rsidRPr="00257925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 * Kwota przesyłek pocztowych zagranicznych do stref B,C i D  nie przekroczy 10 % ogółu wysyłek zagranicznych. Jeśli, takowe pojawią się, to wysyłka będzie przygotowana i rozliczana zgodnie z zapisami umowy</w:t>
            </w:r>
            <w:r w:rsidR="00E527FB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na podstawie aktualnego cennika</w:t>
            </w:r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wykonawcy. </w:t>
            </w:r>
          </w:p>
        </w:tc>
      </w:tr>
      <w:tr w:rsidR="002653AF" w:rsidRPr="00613EA2" w:rsidTr="002653AF">
        <w:trPr>
          <w:trHeight w:val="416"/>
        </w:trPr>
        <w:tc>
          <w:tcPr>
            <w:tcW w:w="15021" w:type="dxa"/>
            <w:gridSpan w:val="7"/>
          </w:tcPr>
          <w:p w:rsidR="002653AF" w:rsidRPr="00257925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 *  Ilości wysyłanej poczty mogą ulec zmianie.</w:t>
            </w:r>
          </w:p>
        </w:tc>
      </w:tr>
      <w:tr w:rsidR="002653AF" w:rsidRPr="00613EA2" w:rsidTr="002653AF">
        <w:trPr>
          <w:trHeight w:val="255"/>
        </w:trPr>
        <w:tc>
          <w:tcPr>
            <w:tcW w:w="15021" w:type="dxa"/>
            <w:gridSpan w:val="7"/>
          </w:tcPr>
          <w:p w:rsidR="002653AF" w:rsidRPr="00257925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 * Cena ta będzie służyła wyłącznie do oceny ofert w kryterium ceny</w:t>
            </w:r>
          </w:p>
        </w:tc>
      </w:tr>
    </w:tbl>
    <w:p w:rsidR="00DC228B" w:rsidRPr="00B30D2F" w:rsidRDefault="00DC228B" w:rsidP="002653AF">
      <w:pPr>
        <w:suppressAutoHyphens w:val="0"/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DC228B" w:rsidRPr="00DC228B" w:rsidRDefault="00DC228B" w:rsidP="00DC228B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</w:t>
      </w:r>
      <w:r w:rsidR="00E527FB"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podpisem </w:t>
      </w: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przez osobę lub osoby uprawnione do reprezentowania firmy i przekazany Zamawiającemu wraz z dokumentami potwierdzającymi prawo do reprezentacji Wykonawcy przez osobę podpisującą ofertę. </w:t>
      </w:r>
    </w:p>
    <w:p w:rsidR="00BE1192" w:rsidRPr="004A1D53" w:rsidRDefault="00DC228B" w:rsidP="00DC228B">
      <w:pPr>
        <w:tabs>
          <w:tab w:val="left" w:pos="1245"/>
          <w:tab w:val="center" w:pos="7002"/>
        </w:tabs>
        <w:suppressAutoHyphens w:val="0"/>
        <w:spacing w:line="259" w:lineRule="auto"/>
        <w:ind w:right="-1194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en-US"/>
        </w:rPr>
        <w:t xml:space="preserve">                                                                 </w:t>
      </w:r>
    </w:p>
    <w:sectPr w:rsidR="00BE1192" w:rsidRPr="004A1D53" w:rsidSect="00DC228B">
      <w:footerReference w:type="default" r:id="rId7"/>
      <w:pgSz w:w="16838" w:h="11906" w:orient="landscape"/>
      <w:pgMar w:top="1276" w:right="720" w:bottom="127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7AF" w:rsidRDefault="00E847AF">
      <w:r>
        <w:separator/>
      </w:r>
    </w:p>
  </w:endnote>
  <w:endnote w:type="continuationSeparator" w:id="0">
    <w:p w:rsidR="00E847AF" w:rsidRDefault="00E8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ED" w:rsidRDefault="001579A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04929">
      <w:rPr>
        <w:noProof/>
      </w:rPr>
      <w:t>2</w:t>
    </w:r>
    <w:r>
      <w:rPr>
        <w:noProof/>
      </w:rPr>
      <w:fldChar w:fldCharType="end"/>
    </w:r>
  </w:p>
  <w:p w:rsidR="00D133ED" w:rsidRDefault="00B04929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7AF" w:rsidRDefault="00E847AF">
      <w:r>
        <w:separator/>
      </w:r>
    </w:p>
  </w:footnote>
  <w:footnote w:type="continuationSeparator" w:id="0">
    <w:p w:rsidR="00E847AF" w:rsidRDefault="00E84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34A0364"/>
    <w:multiLevelType w:val="hybridMultilevel"/>
    <w:tmpl w:val="13867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56323"/>
    <w:multiLevelType w:val="hybridMultilevel"/>
    <w:tmpl w:val="13867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73339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12"/>
  </w:num>
  <w:num w:numId="9">
    <w:abstractNumId w:val="0"/>
  </w:num>
  <w:num w:numId="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0F49F0"/>
    <w:rsid w:val="001579AF"/>
    <w:rsid w:val="00206B94"/>
    <w:rsid w:val="002653AF"/>
    <w:rsid w:val="00366D5D"/>
    <w:rsid w:val="003A0CD2"/>
    <w:rsid w:val="003A0F48"/>
    <w:rsid w:val="0048432A"/>
    <w:rsid w:val="004A1D53"/>
    <w:rsid w:val="004E4749"/>
    <w:rsid w:val="004E7E50"/>
    <w:rsid w:val="00595F65"/>
    <w:rsid w:val="006A4876"/>
    <w:rsid w:val="0084097D"/>
    <w:rsid w:val="008B6B2E"/>
    <w:rsid w:val="008D7450"/>
    <w:rsid w:val="00A33A22"/>
    <w:rsid w:val="00B04929"/>
    <w:rsid w:val="00B56A5A"/>
    <w:rsid w:val="00BE1192"/>
    <w:rsid w:val="00DA558C"/>
    <w:rsid w:val="00DC1541"/>
    <w:rsid w:val="00DC228B"/>
    <w:rsid w:val="00DD747F"/>
    <w:rsid w:val="00DF262F"/>
    <w:rsid w:val="00E527FB"/>
    <w:rsid w:val="00E847A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rsid w:val="003A0CD2"/>
    <w:rPr>
      <w:b/>
      <w:i/>
      <w:spacing w:val="0"/>
    </w:rPr>
  </w:style>
  <w:style w:type="table" w:styleId="Tabela-Siatka">
    <w:name w:val="Table Grid"/>
    <w:basedOn w:val="Standardowy"/>
    <w:uiPriority w:val="3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1579A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79A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1579A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1638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Aneta Łabazy</cp:lastModifiedBy>
  <cp:revision>2</cp:revision>
  <dcterms:created xsi:type="dcterms:W3CDTF">2023-12-08T14:09:00Z</dcterms:created>
  <dcterms:modified xsi:type="dcterms:W3CDTF">2023-12-08T14:09:00Z</dcterms:modified>
</cp:coreProperties>
</file>