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6F00" w14:textId="77777777" w:rsidR="008676AC" w:rsidRPr="008676AC" w:rsidRDefault="008676AC" w:rsidP="008676AC">
      <w:pPr>
        <w:tabs>
          <w:tab w:val="left" w:pos="2333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676AC">
        <w:rPr>
          <w:rFonts w:ascii="Arial" w:hAnsi="Arial" w:cs="Arial"/>
          <w:sz w:val="24"/>
          <w:szCs w:val="24"/>
        </w:rPr>
        <w:t>Wykaz składników rzeczowych majątku ruchomego</w:t>
      </w:r>
    </w:p>
    <w:p w14:paraId="55354C4F" w14:textId="77777777" w:rsidR="008676AC" w:rsidRPr="008676AC" w:rsidRDefault="008676AC" w:rsidP="008676AC">
      <w:pPr>
        <w:tabs>
          <w:tab w:val="left" w:pos="2333"/>
        </w:tabs>
        <w:spacing w:after="240" w:line="240" w:lineRule="auto"/>
        <w:jc w:val="center"/>
        <w:rPr>
          <w:rFonts w:ascii="Arial" w:hAnsi="Arial" w:cs="Arial"/>
        </w:rPr>
      </w:pPr>
      <w:r w:rsidRPr="008676AC">
        <w:rPr>
          <w:rFonts w:ascii="Arial" w:hAnsi="Arial" w:cs="Arial"/>
          <w:sz w:val="24"/>
          <w:szCs w:val="24"/>
        </w:rPr>
        <w:t>przeznaczonych do sprzedaży</w:t>
      </w:r>
    </w:p>
    <w:p w14:paraId="3851FC7F" w14:textId="75D133C9" w:rsidR="008676AC" w:rsidRDefault="008676AC" w:rsidP="00B03109">
      <w:pPr>
        <w:tabs>
          <w:tab w:val="left" w:pos="5812"/>
        </w:tabs>
        <w:ind w:left="-284"/>
      </w:pPr>
      <w:bookmarkStart w:id="0" w:name="_GoBack"/>
      <w:r w:rsidRPr="00994628">
        <w:rPr>
          <w:noProof/>
        </w:rPr>
        <w:drawing>
          <wp:inline distT="0" distB="0" distL="0" distR="0" wp14:anchorId="75BC9B5B" wp14:editId="02C27115">
            <wp:extent cx="9977390" cy="6749415"/>
            <wp:effectExtent l="0" t="0" r="5080" b="0"/>
            <wp:docPr id="2083020237" name="Obraz 2" descr="Tabela zawiera wykaz składników rzeczowych majątku ruchomego&#10;przeznaczonych do sprzedaży - samochody. Kolejne kolumny tabeli zawierają markę, typ samochodu jego numer inwentarzowy, rok produkcji cenę wywoławczą ,wadium jakie należy wpłacić  oraz oceny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111" cy="677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76AC" w:rsidSect="00D979C3">
      <w:pgSz w:w="16838" w:h="11906" w:orient="landscape"/>
      <w:pgMar w:top="142" w:right="53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3"/>
    <w:rsid w:val="00855285"/>
    <w:rsid w:val="008676AC"/>
    <w:rsid w:val="00A47823"/>
    <w:rsid w:val="00B03109"/>
    <w:rsid w:val="00D979C3"/>
    <w:rsid w:val="00D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8072"/>
  <w15:chartTrackingRefBased/>
  <w15:docId w15:val="{35815DC8-1016-4524-97D0-9B25C0DC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- zaktualizowany wykaz składników rzeczowych majątku ruchomego przeznaczonych do sprzedaży</dc:title>
  <dc:subject/>
  <dc:creator>Przemysław Chrzanowski</dc:creator>
  <cp:keywords/>
  <dc:description/>
  <cp:lastModifiedBy>Monika Giedrojć</cp:lastModifiedBy>
  <cp:revision>8</cp:revision>
  <dcterms:created xsi:type="dcterms:W3CDTF">2024-09-17T05:46:00Z</dcterms:created>
  <dcterms:modified xsi:type="dcterms:W3CDTF">2024-09-17T06:04:00Z</dcterms:modified>
</cp:coreProperties>
</file>