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7B7050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7B7050" w:rsidRPr="007B7050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B7050" w:rsidRDefault="00A06425" w:rsidP="00AD457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D457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D457F">
              <w:rPr>
                <w:rFonts w:ascii="Calibri" w:hAnsi="Calibri"/>
                <w:b/>
              </w:rPr>
              <w:t>projekt rozporządzenia Ministra Sprawiedliwości zmieniającego rozporządzenie w sprawie szczegółowego sposobu prowadzenia rejestrów wchodzących w skład Krajowego Rejestru Sądowego oraz szczegółowej treści wpisów w tych rejestrach</w:t>
            </w:r>
          </w:p>
        </w:tc>
      </w:tr>
      <w:tr w:rsidR="007B7050" w:rsidRPr="007B7050" w:rsidTr="00A06425">
        <w:tc>
          <w:tcPr>
            <w:tcW w:w="562" w:type="dxa"/>
            <w:shd w:val="clear" w:color="auto" w:fill="auto"/>
            <w:vAlign w:val="center"/>
          </w:tcPr>
          <w:p w:rsidR="00A06425" w:rsidRPr="007B70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7B70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7B70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7B70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7B705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7B7050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B7050" w:rsidRPr="007B7050" w:rsidTr="00A06425">
        <w:tc>
          <w:tcPr>
            <w:tcW w:w="562" w:type="dxa"/>
            <w:shd w:val="clear" w:color="auto" w:fill="auto"/>
          </w:tcPr>
          <w:p w:rsidR="00A06425" w:rsidRPr="007B7050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7B7050" w:rsidRDefault="008502D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  <w:shd w:val="clear" w:color="auto" w:fill="auto"/>
          </w:tcPr>
          <w:p w:rsidR="00A06425" w:rsidRPr="007B7050" w:rsidRDefault="008502D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§1 pkt 1 (dotyczy §3 ust. 2 zmienianego aktu)</w:t>
            </w:r>
          </w:p>
        </w:tc>
        <w:tc>
          <w:tcPr>
            <w:tcW w:w="4678" w:type="dxa"/>
            <w:shd w:val="clear" w:color="auto" w:fill="auto"/>
          </w:tcPr>
          <w:p w:rsidR="00A06425" w:rsidRPr="007B7050" w:rsidRDefault="008502DC" w:rsidP="008502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Sugeruję przegląd rozporządzenia pod kątem możliwości wpisywania zamiast numeru PESEL również krajowego numeru identyfikacyjnego nie tylko w przypadkach</w:t>
            </w:r>
            <w:r w:rsidR="007213A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 xml:space="preserve"> o których może w § 137 aktu zmienianego.</w:t>
            </w:r>
          </w:p>
          <w:p w:rsidR="008502DC" w:rsidRPr="007B7050" w:rsidRDefault="00EE0C54" w:rsidP="008502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Istnieje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ryzyko, że </w:t>
            </w:r>
            <w:r w:rsidR="008502DC" w:rsidRPr="007B7050">
              <w:rPr>
                <w:rFonts w:asciiTheme="minorHAnsi" w:hAnsiTheme="minorHAnsi" w:cstheme="minorHAnsi"/>
                <w:sz w:val="22"/>
                <w:szCs w:val="22"/>
              </w:rPr>
              <w:t>brak możliwości wpisania krajowego numeru identyfikacyjnego zamiast daty 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odzenia</w:t>
            </w:r>
            <w:r w:rsidR="007213AC">
              <w:rPr>
                <w:rFonts w:asciiTheme="minorHAnsi" w:hAnsiTheme="minorHAnsi" w:cstheme="minorHAnsi"/>
                <w:sz w:val="22"/>
                <w:szCs w:val="22"/>
              </w:rPr>
              <w:t xml:space="preserve"> będzie kolidował w </w:t>
            </w:r>
            <w:r w:rsidR="008502DC" w:rsidRPr="007B7050">
              <w:rPr>
                <w:rFonts w:asciiTheme="minorHAnsi" w:hAnsiTheme="minorHAnsi" w:cstheme="minorHAnsi"/>
                <w:sz w:val="22"/>
                <w:szCs w:val="22"/>
              </w:rPr>
              <w:t>praktyce z przepisami Rozporządzenia Parlamentu Europejskiego i Rady (UE) nr 910/2014 z dnia 23 lipca 2014 r. w sprawie identyfikacji el</w:t>
            </w:r>
            <w:r w:rsidR="007213AC">
              <w:rPr>
                <w:rFonts w:asciiTheme="minorHAnsi" w:hAnsiTheme="minorHAnsi" w:cstheme="minorHAnsi"/>
                <w:sz w:val="22"/>
                <w:szCs w:val="22"/>
              </w:rPr>
              <w:t>ektronicznej i usług zaufania w </w:t>
            </w:r>
            <w:r w:rsidR="008502DC" w:rsidRPr="007B7050">
              <w:rPr>
                <w:rFonts w:asciiTheme="minorHAnsi" w:hAnsiTheme="minorHAnsi" w:cstheme="minorHAnsi"/>
                <w:sz w:val="22"/>
                <w:szCs w:val="22"/>
              </w:rPr>
              <w:t xml:space="preserve">odniesieniu do transakcji elektronicznych na rynku wewnętrznym oraz uchylające dyrektywę 1999/93/WE. Z przepisów tych wynika że jeżeli zgodnie </w:t>
            </w:r>
            <w:r w:rsidR="005664CC">
              <w:rPr>
                <w:rFonts w:asciiTheme="minorHAnsi" w:hAnsiTheme="minorHAnsi" w:cstheme="minorHAnsi"/>
                <w:sz w:val="22"/>
                <w:szCs w:val="22"/>
              </w:rPr>
              <w:t>z prawem krajowym lub zgodnie z </w:t>
            </w:r>
            <w:r w:rsidR="008502DC" w:rsidRPr="007B7050">
              <w:rPr>
                <w:rFonts w:asciiTheme="minorHAnsi" w:hAnsiTheme="minorHAnsi" w:cstheme="minorHAnsi"/>
                <w:sz w:val="22"/>
                <w:szCs w:val="22"/>
              </w:rPr>
              <w:t>krajową praktyką administracyjną dostęp do usługi online świadczonej przez podmiot sektora publicznego w jednym państwie członkowskim wymaga identyfikacji elektronicznej przy użyciu środka identyfikacji elektronicznej oraz uwierzytelnienia, w tym pierwszym państwie członkowskim na potrzeby transgranicznego uwierzytelnienia dla tej usługi online uznaje się środek identy</w:t>
            </w:r>
            <w:r w:rsidR="005664CC">
              <w:rPr>
                <w:rFonts w:asciiTheme="minorHAnsi" w:hAnsiTheme="minorHAnsi" w:cstheme="minorHAnsi"/>
                <w:sz w:val="22"/>
                <w:szCs w:val="22"/>
              </w:rPr>
              <w:t>fikacji elektronicznej wydany w </w:t>
            </w:r>
            <w:r w:rsidR="008502DC" w:rsidRPr="007B7050">
              <w:rPr>
                <w:rFonts w:asciiTheme="minorHAnsi" w:hAnsiTheme="minorHAnsi" w:cstheme="minorHAnsi"/>
                <w:sz w:val="22"/>
                <w:szCs w:val="22"/>
              </w:rPr>
              <w:t>innym państwie człon</w:t>
            </w:r>
            <w:r w:rsidR="005664CC">
              <w:rPr>
                <w:rFonts w:asciiTheme="minorHAnsi" w:hAnsiTheme="minorHAnsi" w:cstheme="minorHAnsi"/>
                <w:sz w:val="22"/>
                <w:szCs w:val="22"/>
              </w:rPr>
              <w:t>kowskim. W </w:t>
            </w:r>
            <w:r w:rsidR="008502DC" w:rsidRPr="007B7050">
              <w:rPr>
                <w:rFonts w:asciiTheme="minorHAnsi" w:hAnsiTheme="minorHAnsi" w:cstheme="minorHAnsi"/>
                <w:sz w:val="22"/>
                <w:szCs w:val="22"/>
              </w:rPr>
              <w:t xml:space="preserve">transgranicznym uwierzytelnianiu osoba chcąca skorzystać ze środka identyfikacji elektronicznej wydanego w swoim państwie </w:t>
            </w:r>
            <w:r w:rsidR="008502DC" w:rsidRPr="007B705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wysyła potwierdzony przez inne państwo członkowskie zestaw danych: </w:t>
            </w:r>
          </w:p>
          <w:p w:rsidR="008502DC" w:rsidRPr="007B7050" w:rsidRDefault="008502DC" w:rsidP="008502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Imię+nazwisko+data_urodzenia+nepowtarzalny</w:t>
            </w:r>
            <w:proofErr w:type="spellEnd"/>
            <w:r w:rsidRPr="007B7050">
              <w:rPr>
                <w:rFonts w:asciiTheme="minorHAnsi" w:hAnsiTheme="minorHAnsi" w:cstheme="minorHAnsi"/>
                <w:sz w:val="22"/>
                <w:szCs w:val="22"/>
              </w:rPr>
              <w:t xml:space="preserve"> identyfikator wydany przez państwo członkowskie. Jest to minimalny zestaw obowiązkowy, ponieważ sam zestaw </w:t>
            </w:r>
            <w:proofErr w:type="spellStart"/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Imię+nazwisko+data_urodzenia</w:t>
            </w:r>
            <w:proofErr w:type="spellEnd"/>
            <w:r w:rsidRPr="007B7050">
              <w:rPr>
                <w:rFonts w:asciiTheme="minorHAnsi" w:hAnsiTheme="minorHAnsi" w:cstheme="minorHAnsi"/>
                <w:sz w:val="22"/>
                <w:szCs w:val="22"/>
              </w:rPr>
              <w:t xml:space="preserve"> nie identyfikuje osoby fizyc</w:t>
            </w:r>
            <w:r w:rsidR="005664CC">
              <w:rPr>
                <w:rFonts w:asciiTheme="minorHAnsi" w:hAnsiTheme="minorHAnsi" w:cstheme="minorHAnsi"/>
                <w:sz w:val="22"/>
                <w:szCs w:val="22"/>
              </w:rPr>
              <w:t>znej jednoznacznie, zwłaszcza w </w:t>
            </w: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przypadku popularnych imion i nazwisk. Może to potem powodować problemy z tworzeniem usług online.</w:t>
            </w:r>
          </w:p>
          <w:p w:rsidR="008502DC" w:rsidRPr="007B7050" w:rsidRDefault="008502DC" w:rsidP="007213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 xml:space="preserve">Z praktyki wiadomo, że </w:t>
            </w:r>
            <w:r w:rsidR="007213AC">
              <w:rPr>
                <w:rFonts w:asciiTheme="minorHAnsi" w:hAnsiTheme="minorHAnsi" w:cstheme="minorHAnsi"/>
                <w:sz w:val="22"/>
                <w:szCs w:val="22"/>
              </w:rPr>
              <w:t>istnieją problemy z </w:t>
            </w: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wzajemnym transgranicznym uznawaniem środków identyfikacji elektronicznej wydawanych w innych krajach UE, ponieważ systemy teleinformatyczne i rejestry publiczne nie</w:t>
            </w:r>
            <w:r w:rsidR="007B7050">
              <w:rPr>
                <w:rFonts w:asciiTheme="minorHAnsi" w:hAnsiTheme="minorHAnsi" w:cstheme="minorHAnsi"/>
                <w:sz w:val="22"/>
                <w:szCs w:val="22"/>
              </w:rPr>
              <w:t xml:space="preserve"> przechowują  (nie przewidują o</w:t>
            </w: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7B705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ługi) zagranicznych numerów  identyfikacyjnych.</w:t>
            </w:r>
          </w:p>
        </w:tc>
        <w:tc>
          <w:tcPr>
            <w:tcW w:w="5812" w:type="dxa"/>
            <w:shd w:val="clear" w:color="auto" w:fill="auto"/>
          </w:tcPr>
          <w:p w:rsidR="008502DC" w:rsidRPr="007B7050" w:rsidRDefault="008502DC" w:rsidP="008502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1) w § 3 ust. 2 otrzymuje brzmienie:</w:t>
            </w:r>
          </w:p>
          <w:p w:rsidR="008502DC" w:rsidRPr="007B7050" w:rsidRDefault="008502DC" w:rsidP="008502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„2. Ilekroć przepisy rozporządzenia pozostawiają wybór pomiędzy wpisaniem daty urodzenia a numeru PESEL lub numeru identyfikacyjnego REGON, należy wpisać odpowiednio:</w:t>
            </w:r>
          </w:p>
          <w:p w:rsidR="008502DC" w:rsidRPr="007B7050" w:rsidRDefault="008502DC" w:rsidP="008502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 xml:space="preserve">1) dla osoby fizycznej – numer PESEL, a w przypadku gdy osoba, której dane umieszcza się w rejestrze nie ma obowiązku posiadania tego numeru, </w:t>
            </w:r>
            <w:r w:rsidRPr="007B705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krajowy numer identyfikacyjny lub</w:t>
            </w: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 xml:space="preserve"> datę urodzenia;</w:t>
            </w:r>
          </w:p>
          <w:p w:rsidR="00A06425" w:rsidRPr="007B7050" w:rsidRDefault="008502DC" w:rsidP="008502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sz w:val="22"/>
                <w:szCs w:val="22"/>
              </w:rPr>
              <w:t>2) dla pozostałych podmiotów – numer identyfikacyjny REGON, ”;</w:t>
            </w:r>
          </w:p>
        </w:tc>
        <w:tc>
          <w:tcPr>
            <w:tcW w:w="1359" w:type="dxa"/>
          </w:tcPr>
          <w:p w:rsidR="00A06425" w:rsidRPr="007B7050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7050" w:rsidRPr="007B7050" w:rsidTr="00A06425">
        <w:tc>
          <w:tcPr>
            <w:tcW w:w="562" w:type="dxa"/>
            <w:shd w:val="clear" w:color="auto" w:fill="auto"/>
          </w:tcPr>
          <w:p w:rsidR="00A06425" w:rsidRPr="007B7050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7B7050" w:rsidRDefault="007B705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050"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  <w:shd w:val="clear" w:color="auto" w:fill="auto"/>
          </w:tcPr>
          <w:p w:rsidR="00A06425" w:rsidRPr="007B7050" w:rsidRDefault="007B705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4678" w:type="dxa"/>
            <w:shd w:val="clear" w:color="auto" w:fill="auto"/>
          </w:tcPr>
          <w:p w:rsidR="00A06425" w:rsidRPr="007B7050" w:rsidRDefault="007B7050" w:rsidP="007213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050">
              <w:rPr>
                <w:rFonts w:asciiTheme="minorHAnsi" w:eastAsia="Calibri" w:hAnsiTheme="minorHAnsi" w:cstheme="minorHAnsi"/>
                <w:sz w:val="22"/>
                <w:szCs w:val="22"/>
              </w:rPr>
              <w:t>Zwraca się również uwagę, że OSR nie zawiera oceny wpływu projektowanej zmiany na systemy teleinformatyczne wymieniające z KRS informacje. Wskazano jedynie, że modyfikacja to koszt 1,5 mln zł. Wydaje się jednak, że ocena skutków regulacji powinna zawierać oszacowanie kosztów zmiany w systemach zintegrowanych z KRS.</w:t>
            </w:r>
          </w:p>
        </w:tc>
        <w:tc>
          <w:tcPr>
            <w:tcW w:w="5812" w:type="dxa"/>
            <w:shd w:val="clear" w:color="auto" w:fill="auto"/>
          </w:tcPr>
          <w:p w:rsidR="00A06425" w:rsidRPr="007B7050" w:rsidRDefault="00A06425" w:rsidP="007213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7B7050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7B7050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7B7050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664CC"/>
    <w:rsid w:val="005F6527"/>
    <w:rsid w:val="006705EC"/>
    <w:rsid w:val="006E16E9"/>
    <w:rsid w:val="00710A8A"/>
    <w:rsid w:val="007213AC"/>
    <w:rsid w:val="007B7050"/>
    <w:rsid w:val="00807385"/>
    <w:rsid w:val="008502DC"/>
    <w:rsid w:val="00944932"/>
    <w:rsid w:val="009E5FDB"/>
    <w:rsid w:val="00A06425"/>
    <w:rsid w:val="00AC7796"/>
    <w:rsid w:val="00AD457F"/>
    <w:rsid w:val="00B871B6"/>
    <w:rsid w:val="00BE3A61"/>
    <w:rsid w:val="00C64B1B"/>
    <w:rsid w:val="00CD5EB0"/>
    <w:rsid w:val="00D94B0B"/>
    <w:rsid w:val="00E14C33"/>
    <w:rsid w:val="00EE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4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Witkowska-Krzymowska Magdalena</cp:lastModifiedBy>
  <cp:revision>8</cp:revision>
  <dcterms:created xsi:type="dcterms:W3CDTF">2022-06-20T10:27:00Z</dcterms:created>
  <dcterms:modified xsi:type="dcterms:W3CDTF">2022-06-21T09:38:00Z</dcterms:modified>
</cp:coreProperties>
</file>