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766EEC" w:rsidRDefault="00766EEC" w:rsidP="00766EEC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6EEC">
        <w:rPr>
          <w:rFonts w:asciiTheme="minorHAnsi" w:hAnsiTheme="minorHAnsi" w:cstheme="minorHAnsi"/>
          <w:b/>
          <w:sz w:val="24"/>
          <w:szCs w:val="24"/>
        </w:rPr>
        <w:t>KOMUNIKAT NR 04</w:t>
      </w:r>
      <w:r w:rsidR="00F64BE6" w:rsidRPr="00766EEC">
        <w:rPr>
          <w:rFonts w:asciiTheme="minorHAnsi" w:hAnsiTheme="minorHAnsi" w:cstheme="minorHAnsi"/>
          <w:b/>
          <w:sz w:val="24"/>
          <w:szCs w:val="24"/>
        </w:rPr>
        <w:t>/2023</w:t>
      </w:r>
    </w:p>
    <w:p w:rsidR="00025037" w:rsidRPr="00766EEC" w:rsidRDefault="00025037" w:rsidP="00766EEC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6EEC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766EEC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766EEC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766EEC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766EEC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0A74FB" w:rsidRPr="00766EEC" w:rsidRDefault="004057C8" w:rsidP="00766EEC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6EEC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766EEC" w:rsidRPr="00766EEC">
        <w:rPr>
          <w:rFonts w:asciiTheme="minorHAnsi" w:hAnsiTheme="minorHAnsi" w:cstheme="minorHAnsi"/>
          <w:b/>
          <w:sz w:val="24"/>
          <w:szCs w:val="24"/>
        </w:rPr>
        <w:t>3-28.04</w:t>
      </w:r>
      <w:r w:rsidR="00F64BE6" w:rsidRPr="00766EEC">
        <w:rPr>
          <w:rFonts w:asciiTheme="minorHAnsi" w:hAnsiTheme="minorHAnsi" w:cstheme="minorHAnsi"/>
          <w:b/>
          <w:sz w:val="24"/>
          <w:szCs w:val="24"/>
        </w:rPr>
        <w:t>.2023</w:t>
      </w:r>
      <w:r w:rsidR="005F609B" w:rsidRPr="00766EEC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2F01AC" w:rsidRPr="00766EEC" w:rsidRDefault="00B067F2" w:rsidP="00766EEC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766EEC">
        <w:rPr>
          <w:rFonts w:asciiTheme="minorHAnsi" w:hAnsiTheme="minorHAnsi" w:cstheme="minorHAnsi"/>
          <w:sz w:val="24"/>
          <w:szCs w:val="24"/>
        </w:rPr>
        <w:t>W okresie objętym niniejszą informacją nie odbywały się posiedzenia Komitetu do Spraw Europejskich.</w:t>
      </w:r>
    </w:p>
    <w:p w:rsidR="001135AF" w:rsidRPr="00766EEC" w:rsidRDefault="000A74FB" w:rsidP="00766EEC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766EEC">
        <w:rPr>
          <w:rFonts w:asciiTheme="minorHAnsi" w:hAnsiTheme="minorHAnsi" w:cstheme="minorHAnsi"/>
          <w:sz w:val="24"/>
          <w:szCs w:val="24"/>
          <w:u w:val="single"/>
        </w:rPr>
        <w:t>Komitet do Spraw Europejskich w trybie obiegowym</w:t>
      </w:r>
      <w:r w:rsidR="001135AF" w:rsidRPr="00766EEC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766EEC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306705" w:rsidRPr="00766EEC" w:rsidRDefault="00A73FE5" w:rsidP="00766EEC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766EEC">
              <w:rPr>
                <w:rFonts w:asciiTheme="minorHAnsi" w:hAnsiTheme="minorHAnsi" w:cstheme="minorHAnsi"/>
                <w:b/>
              </w:rPr>
              <w:t>R</w:t>
            </w:r>
            <w:r w:rsidR="00B71F9D" w:rsidRPr="00766EEC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Informacja w sprawie zatwierdzenia kandydata Agencji Uzbrojenia na stanowisko eksperta narodowego w Europejskiej Agencji Obrony (EDA).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 xml:space="preserve">Informacja w sprawie zatwierdzenia kandydata Krajowej Administracji Skarbowej </w:t>
            </w:r>
            <w:r>
              <w:rPr>
                <w:rFonts w:asciiTheme="minorHAnsi" w:hAnsiTheme="minorHAnsi" w:cstheme="minorHAnsi"/>
              </w:rPr>
              <w:br/>
            </w:r>
            <w:r w:rsidRPr="00766EEC">
              <w:rPr>
                <w:rFonts w:asciiTheme="minorHAnsi" w:hAnsiTheme="minorHAnsi" w:cstheme="minorHAnsi"/>
              </w:rPr>
              <w:t xml:space="preserve">do oddelegowania do Misji Pomocy Granicznej dla Mołdawii i Ukrainy (EUBAM) </w:t>
            </w:r>
            <w:r>
              <w:rPr>
                <w:rFonts w:asciiTheme="minorHAnsi" w:hAnsiTheme="minorHAnsi" w:cstheme="minorHAnsi"/>
              </w:rPr>
              <w:br/>
            </w:r>
            <w:r w:rsidRPr="00766EEC">
              <w:rPr>
                <w:rFonts w:asciiTheme="minorHAnsi" w:hAnsiTheme="minorHAnsi" w:cstheme="minorHAnsi"/>
              </w:rPr>
              <w:t>w charakterze eksperta narodowego.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766EEC">
              <w:rPr>
                <w:rFonts w:asciiTheme="minorHAnsi" w:hAnsiTheme="minorHAnsi" w:cstheme="minorHAnsi"/>
              </w:rPr>
              <w:t>29 marca 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Informacja na temat realizacji Instrumentu Wsparcia Technicznego i Programu Wspierania Reform Strukturalnych oraz o wynikach naboru w ramach Instrumentu Wsparcia Technicznego w Polsce, za okres październik 2022 r. - marzec 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766EEC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rozporządzenia Parlamentu Europejskiego i Rady w sprawie przepisów szczegółowych odnoszących się do produktów leczniczych stosowanych u ludzi przeznaczonych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766EEC">
              <w:rPr>
                <w:rFonts w:asciiTheme="minorHAnsi" w:hAnsiTheme="minorHAnsi" w:cstheme="minorHAnsi"/>
                <w:bCs/>
                <w:i/>
                <w:iCs/>
              </w:rPr>
              <w:t xml:space="preserve">do wprowadzenia do obrotu w Irlandii Północnej </w:t>
            </w:r>
            <w:r w:rsidRPr="00766EEC">
              <w:rPr>
                <w:rFonts w:asciiTheme="minorHAnsi" w:hAnsiTheme="minorHAnsi" w:cstheme="minorHAnsi"/>
                <w:bCs/>
              </w:rPr>
              <w:t>(COM(2023) 122).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>Sprawozdanie z posiedzenia Rady do Spraw Zagranicznych w dniu 20 marca 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>
              <w:rPr>
                <w:rFonts w:asciiTheme="minorHAnsi" w:hAnsiTheme="minorHAnsi" w:cstheme="minorHAnsi"/>
              </w:rPr>
              <w:br/>
            </w:r>
            <w:r w:rsidRPr="00766EEC">
              <w:rPr>
                <w:rFonts w:asciiTheme="minorHAnsi" w:hAnsiTheme="minorHAnsi" w:cstheme="minorHAnsi"/>
              </w:rPr>
              <w:t>5 kwietnia 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>Sprawozdanie z posiedzenia Rady ds. Środowiska w dniu 16 marca 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>Informacja w sprawie zatwierdzenia kandydata Głównego Inspektoratu Rybołówstwa Morskiego w Słupsku na stanowisko eksperta narodowego w Europejskiej Agencji Kontroli Rybołówstwa (EFCA).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iCs/>
              </w:rPr>
            </w:pPr>
            <w:r w:rsidRPr="00766EEC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C-763/22 </w:t>
            </w:r>
            <w:r w:rsidRPr="00766EEC">
              <w:rPr>
                <w:rFonts w:asciiTheme="minorHAnsi" w:hAnsiTheme="minorHAnsi" w:cstheme="minorHAnsi"/>
                <w:bCs/>
                <w:i/>
                <w:iCs/>
              </w:rPr>
              <w:t>Procureur de la République</w:t>
            </w:r>
            <w:r w:rsidRPr="00766EEC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Raport z działalności Centrum SOLVIT Polska w roku 2022.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Informacja o stanie realizacji zadań nakładanych na ministerstwa i urzędy centralne.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 xml:space="preserve">Instrukcja na posiedzenie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766EEC">
              <w:rPr>
                <w:rFonts w:asciiTheme="minorHAnsi" w:hAnsiTheme="minorHAnsi" w:cstheme="minorHAnsi"/>
              </w:rPr>
              <w:t>5 kwietnia 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766EEC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Wniosek dotyczący rozporządzenia Parlamentu Europejskiego i Rady </w:t>
            </w:r>
            <w:r w:rsidRPr="00766EEC">
              <w:rPr>
                <w:rFonts w:asciiTheme="minorHAnsi" w:hAnsiTheme="minorHAnsi" w:cstheme="minorHAnsi"/>
                <w:bCs/>
                <w:i/>
              </w:rPr>
              <w:t xml:space="preserve">w sprawie środków mających na celu ograniczenie kosztów wdrażania gigabitowych sieci łączności elektronicznej </w:t>
            </w:r>
            <w:r>
              <w:rPr>
                <w:rFonts w:asciiTheme="minorHAnsi" w:hAnsiTheme="minorHAnsi" w:cstheme="minorHAnsi"/>
                <w:bCs/>
                <w:i/>
              </w:rPr>
              <w:br/>
            </w:r>
            <w:r w:rsidRPr="00766EEC">
              <w:rPr>
                <w:rFonts w:asciiTheme="minorHAnsi" w:hAnsiTheme="minorHAnsi" w:cstheme="minorHAnsi"/>
                <w:bCs/>
                <w:i/>
              </w:rPr>
              <w:t>i uchylającego dyrektywę 2014/61/UE (Gigabit Infrastructure Act)</w:t>
            </w:r>
            <w:r w:rsidRPr="00766EEC">
              <w:rPr>
                <w:rFonts w:asciiTheme="minorHAnsi" w:hAnsiTheme="minorHAnsi" w:cstheme="minorHAnsi"/>
              </w:rPr>
              <w:t xml:space="preserve"> (COM(2023) 094).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Lista koordynatorów instytucjonalnych w systemie Portal Delegatów.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Informacja w sprawie stanowiska RP w sprawie wyborów na stanowisko Dyrektora Wykonawczego Urzędu Unii Europejskiej ds. Własności Intelektualnej (EUIPO).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 xml:space="preserve">Założenia do odpowiedzi na uzasadnioną opinię w związku z nieprawidłowym wdrożeniem dyrektywy Parlamentu Europejskiego i Rady (UE) 2018/958 w sprawie analizy proporcjonalności przed przyjęciem nowych regulacji dotyczących zawodów (gwarancje proceduralne dotyczące ocen proporcjonalności, informacje </w:t>
            </w:r>
            <w:r>
              <w:rPr>
                <w:rFonts w:asciiTheme="minorHAnsi" w:hAnsiTheme="minorHAnsi" w:cstheme="minorHAnsi"/>
              </w:rPr>
              <w:br/>
            </w:r>
            <w:r w:rsidRPr="00766EEC">
              <w:rPr>
                <w:rFonts w:asciiTheme="minorHAnsi" w:hAnsiTheme="minorHAnsi" w:cstheme="minorHAnsi"/>
              </w:rPr>
              <w:t>i zaangażowanie zainteresowanych st</w:t>
            </w:r>
            <w:r>
              <w:rPr>
                <w:rFonts w:asciiTheme="minorHAnsi" w:hAnsiTheme="minorHAnsi" w:cstheme="minorHAnsi"/>
              </w:rPr>
              <w:t xml:space="preserve">ron) </w:t>
            </w:r>
            <w:r w:rsidRPr="00766EEC">
              <w:rPr>
                <w:rFonts w:asciiTheme="minorHAnsi" w:hAnsiTheme="minorHAnsi" w:cstheme="minorHAnsi"/>
              </w:rPr>
              <w:t>– naruszenie nr 2021/2208.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</w:rPr>
              <w:br/>
            </w:r>
            <w:r w:rsidRPr="00766EEC">
              <w:rPr>
                <w:rFonts w:asciiTheme="minorHAnsi" w:hAnsiTheme="minorHAnsi" w:cstheme="minorHAnsi"/>
              </w:rPr>
              <w:t>29 marca 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Sprawozdanie z posiedzenia Komitetu Stałych Przedstawicieli COREP</w:t>
            </w:r>
            <w:r>
              <w:rPr>
                <w:rFonts w:asciiTheme="minorHAnsi" w:hAnsiTheme="minorHAnsi" w:cstheme="minorHAnsi"/>
              </w:rPr>
              <w:t xml:space="preserve">ER II </w:t>
            </w:r>
            <w:r w:rsidRPr="00766EEC">
              <w:rPr>
                <w:rFonts w:asciiTheme="minorHAnsi" w:hAnsiTheme="minorHAnsi" w:cstheme="minorHAnsi"/>
              </w:rPr>
              <w:t xml:space="preserve">w dniu </w:t>
            </w:r>
            <w:r>
              <w:rPr>
                <w:rFonts w:asciiTheme="minorHAnsi" w:hAnsiTheme="minorHAnsi" w:cstheme="minorHAnsi"/>
              </w:rPr>
              <w:br/>
            </w:r>
            <w:r w:rsidRPr="00766EEC">
              <w:rPr>
                <w:rFonts w:asciiTheme="minorHAnsi" w:hAnsiTheme="minorHAnsi" w:cstheme="minorHAnsi"/>
              </w:rPr>
              <w:t>5 kwietnia 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Projekt fiszki informacyjnej do inicjatywy Komisji Europejskiej – Jednolity system opodatkowania transgranicznych podmiotów prawnych w UE (BEFIT).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Sprawozdanie z posiedzenia Rady ds. Rolnictwa i Rybo</w:t>
            </w:r>
            <w:r>
              <w:rPr>
                <w:rFonts w:asciiTheme="minorHAnsi" w:hAnsiTheme="minorHAnsi" w:cstheme="minorHAnsi"/>
              </w:rPr>
              <w:t xml:space="preserve">łówstwa w dniu </w:t>
            </w:r>
            <w:r w:rsidRPr="00766EEC">
              <w:rPr>
                <w:rFonts w:asciiTheme="minorHAnsi" w:hAnsiTheme="minorHAnsi" w:cstheme="minorHAnsi"/>
              </w:rPr>
              <w:t xml:space="preserve">20 marca </w:t>
            </w:r>
            <w:r>
              <w:rPr>
                <w:rFonts w:asciiTheme="minorHAnsi" w:hAnsiTheme="minorHAnsi" w:cstheme="minorHAnsi"/>
              </w:rPr>
              <w:br/>
            </w:r>
            <w:r w:rsidRPr="00766EEC">
              <w:rPr>
                <w:rFonts w:asciiTheme="minorHAnsi" w:hAnsiTheme="minorHAnsi" w:cstheme="minorHAnsi"/>
              </w:rPr>
              <w:t>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 xml:space="preserve">Założenia do odpowiedzi na uzasadnioną opinię w związku w związku z brakiem kompletnej transpozycji dyrektywy Parlamentu Europejskiego i Rady 2013/48/UE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766EEC">
              <w:rPr>
                <w:rFonts w:asciiTheme="minorHAnsi" w:hAnsiTheme="minorHAnsi" w:cstheme="minorHAnsi"/>
                <w:bCs/>
              </w:rPr>
              <w:t>w sprawie prawa dostępu do adwokata w postępowaniu karnym i w postępowaniu dotyczącym eu</w:t>
            </w:r>
            <w:r>
              <w:rPr>
                <w:rFonts w:asciiTheme="minorHAnsi" w:hAnsiTheme="minorHAnsi" w:cstheme="minorHAnsi"/>
                <w:bCs/>
              </w:rPr>
              <w:t xml:space="preserve">ropejskiego nakazu aresztowania </w:t>
            </w:r>
            <w:r w:rsidRPr="00766EEC">
              <w:rPr>
                <w:rFonts w:asciiTheme="minorHAnsi" w:hAnsiTheme="minorHAnsi" w:cstheme="minorHAnsi"/>
                <w:bCs/>
              </w:rPr>
              <w:t xml:space="preserve">oraz w sprawie prawa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766EEC">
              <w:rPr>
                <w:rFonts w:asciiTheme="minorHAnsi" w:hAnsiTheme="minorHAnsi" w:cstheme="minorHAnsi"/>
                <w:bCs/>
              </w:rPr>
              <w:t xml:space="preserve">do poinformowania osoby trzeciej o pozbawieniu wolności i prawa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766EEC">
              <w:rPr>
                <w:rFonts w:asciiTheme="minorHAnsi" w:hAnsiTheme="minorHAnsi" w:cstheme="minorHAnsi"/>
                <w:bCs/>
              </w:rPr>
              <w:t>do porozumiewania się z osobami trzecimi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766EEC">
              <w:rPr>
                <w:rFonts w:asciiTheme="minorHAnsi" w:hAnsiTheme="minorHAnsi" w:cstheme="minorHAnsi"/>
                <w:bCs/>
              </w:rPr>
              <w:t>i organami konsularnymi w czasie pozbawienia woln</w:t>
            </w:r>
            <w:r>
              <w:rPr>
                <w:rFonts w:asciiTheme="minorHAnsi" w:hAnsiTheme="minorHAnsi" w:cstheme="minorHAnsi"/>
                <w:bCs/>
              </w:rPr>
              <w:t xml:space="preserve">ości – naruszenie </w:t>
            </w:r>
            <w:r w:rsidRPr="00766EEC">
              <w:rPr>
                <w:rFonts w:asciiTheme="minorHAnsi" w:hAnsiTheme="minorHAnsi" w:cstheme="minorHAnsi"/>
                <w:bCs/>
              </w:rPr>
              <w:t>nr 2021/2077.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>Projekt stanowiska Rządu w odniesieniu do dokumentu pozalegislacyjnego UE</w:t>
            </w:r>
            <w:r w:rsidRPr="00766EEC">
              <w:rPr>
                <w:rFonts w:asciiTheme="minorHAnsi" w:hAnsiTheme="minorHAnsi" w:cstheme="minorHAnsi"/>
                <w:bCs/>
                <w:i/>
                <w:iCs/>
              </w:rPr>
              <w:t xml:space="preserve"> Sprawozdanie Komisji dla Rady z wdrażania zalecenia Rady w sprawie propagowania automatycznego wzajemnego uznawania kwalifikacji uzyskanych w ramach kształcenia i szkolenia na poziomie wyższym i średnim II stopnia oraz efektów uczenia się osiągniętych w okresach nauki za granicą</w:t>
            </w:r>
            <w:r w:rsidRPr="00766EEC">
              <w:rPr>
                <w:rFonts w:asciiTheme="minorHAnsi" w:hAnsiTheme="minorHAnsi" w:cstheme="minorHAnsi"/>
                <w:bCs/>
              </w:rPr>
              <w:t xml:space="preserve"> (COM(2023) 91).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iCs/>
              </w:rPr>
            </w:pPr>
            <w:r w:rsidRPr="00766EEC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C-59/23 P </w:t>
            </w:r>
            <w:r w:rsidRPr="00766EEC">
              <w:rPr>
                <w:rFonts w:asciiTheme="minorHAnsi" w:hAnsiTheme="minorHAnsi" w:cstheme="minorHAnsi"/>
                <w:bCs/>
                <w:i/>
                <w:iCs/>
              </w:rPr>
              <w:t>Republika Austrii przeciwko Komisji Europejskiej</w:t>
            </w:r>
            <w:r w:rsidRPr="00766EEC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Założenia do odpowiedzi na zarzuty formalne w związku z naruszeniem art. 24 dyrektywy 2006/123/WE Parlamentu Europejskiego i Rady dotyczącej usług na rynku wewnętrznym w związku z zakazem dostarczania informacji handlowych przez adwokatów – naruszenie nr 2022/2211.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Projekt oświadczenia Polski w sprawie przyjęcia przez Radę UE projektu rozporządzenia Parlamentu Europejskiego i Rady  w sprawie utworzenia Społecznego Funduszu Klimatycznego (SCF).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 xml:space="preserve">Projekt oświadczenia Polski w sprawie przyjęcia przez Radę UE projektu dyrektywy Parlamentu Europejskiego i Rady  zmieniającej dyrektywę 2003/87/WE ustanawiającą system handlu przydziałami emisji gazów cieplarnianych w Unii, decyzję (UE) 2015/1814 w sprawie ustanowienia i funkcjonowania rezerwy stabilności rynkowej dla unijnego systemu handlu uprawnieniami do emisji gazów cieplarnianych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766EEC">
              <w:rPr>
                <w:rFonts w:asciiTheme="minorHAnsi" w:hAnsiTheme="minorHAnsi" w:cstheme="minorHAnsi"/>
                <w:bCs/>
              </w:rPr>
              <w:t>i rozporządzenie (UE) 2015/757.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Założenia do odpowiedzi na uzasadnioną opinię w związku z brakiem wdrożenia dyrektywy Parlamentu Europejskiego i Rady (UE) 2018/2001 w sprawie promowania stosowania energii ze źródeł odnawialnych – naruszenie nr 2021/0317.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>Informacja w sprawie stanowiska Rzeczypospolitej Polskiej w sprawie wyboru</w:t>
            </w:r>
            <w:r w:rsidRPr="00766EEC">
              <w:rPr>
                <w:rFonts w:asciiTheme="minorHAnsi" w:hAnsiTheme="minorHAnsi" w:cstheme="minorHAnsi"/>
                <w:bCs/>
              </w:rPr>
              <w:br/>
              <w:t>na stanowisko Zastępcy Dyrektora Wykonawczego Agencji Unii Europejskiej</w:t>
            </w:r>
            <w:r w:rsidRPr="00766EEC">
              <w:rPr>
                <w:rFonts w:asciiTheme="minorHAnsi" w:hAnsiTheme="minorHAnsi" w:cstheme="minorHAnsi"/>
                <w:bCs/>
              </w:rPr>
              <w:br/>
              <w:t>ds. Współpracy Organów Ścigania (Europol).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 xml:space="preserve">Założenia do odpowiedzi na zarzuty formalne w związku z nieprawidłowym stosowaniem dyrektywy 2000/60/WE Parlamentu Europejskiego i Rady ustanawiającej ramy wspólnotowego działania w dziedzinie polityki wodnej w związku z brakiem przekazania aktualnych planów gospodarowania wodami w dorzeczach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766EEC">
              <w:rPr>
                <w:rFonts w:asciiTheme="minorHAnsi" w:hAnsiTheme="minorHAnsi" w:cstheme="minorHAnsi"/>
                <w:bCs/>
              </w:rPr>
              <w:t>– naruszenie nr 2022/2196.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>Założenia do odpowiedzi na dodatkowe zarzuty formalne w związku z nieprawidłową transpozycją dyrektywy 2011/93/UE w sprawie zwalczania niegodziwego traktowania w celach seksualnych i wykorzystywania seksualnego dzieci oraz pornografii dziecięcej - naruszenie nr 2019/2238.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>Aktualizacja procedury Mechanizm Wymiany Poparć z państwami europejskimi.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Instrukcja na nieformalne posiedzenie Rady ds. Środowiska w dniach 18-19 kwietnia 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</w:rPr>
              <w:br/>
            </w:r>
            <w:r w:rsidRPr="00766EEC">
              <w:rPr>
                <w:rFonts w:asciiTheme="minorHAnsi" w:hAnsiTheme="minorHAnsi" w:cstheme="minorHAnsi"/>
              </w:rPr>
              <w:t>5 kwietnia 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 xml:space="preserve">Projekt stanowiska Rządu w odniesieniu do dokumentu pozalegislacyjnego UE </w:t>
            </w:r>
            <w:r w:rsidRPr="00766EEC">
              <w:rPr>
                <w:rFonts w:asciiTheme="minorHAnsi" w:hAnsiTheme="minorHAnsi" w:cstheme="minorHAnsi"/>
                <w:bCs/>
                <w:i/>
                <w:iCs/>
              </w:rPr>
              <w:t xml:space="preserve">Komunikat Komisji do Parlamentu Europejskiego, Rady, Europejskiego Komitetu Ekonomiczno-Społecznego i Komitetu Regionów - Plan działania UE: ochrona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766EEC">
              <w:rPr>
                <w:rFonts w:asciiTheme="minorHAnsi" w:hAnsiTheme="minorHAnsi" w:cstheme="minorHAnsi"/>
                <w:bCs/>
                <w:i/>
                <w:iCs/>
              </w:rPr>
              <w:t>i odbudowa ekosystemów morskich w celu zapewnienia zrównoważonego i odpornego rybołówstwa</w:t>
            </w:r>
            <w:r w:rsidRPr="00766EEC">
              <w:rPr>
                <w:rFonts w:asciiTheme="minorHAnsi" w:hAnsiTheme="minorHAnsi" w:cstheme="minorHAnsi"/>
                <w:bCs/>
              </w:rPr>
              <w:t xml:space="preserve"> (COM(2023) 102).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Informacja w sprawie zatwierdzenia przedłużenia okresu oddelegowania pracownika Urzędu Marszałkowskiego W</w:t>
            </w:r>
            <w:r>
              <w:rPr>
                <w:rFonts w:asciiTheme="minorHAnsi" w:hAnsiTheme="minorHAnsi" w:cstheme="minorHAnsi"/>
              </w:rPr>
              <w:t xml:space="preserve">ojewództwa Zachodniopomorskiego </w:t>
            </w:r>
            <w:r w:rsidRPr="00766EEC">
              <w:rPr>
                <w:rFonts w:asciiTheme="minorHAnsi" w:hAnsiTheme="minorHAnsi" w:cstheme="minorHAnsi"/>
              </w:rPr>
              <w:t>na stanowisku eksperta narodowego w Europejskim Komitecie Regionów.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 w dniach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766EEC">
              <w:rPr>
                <w:rFonts w:asciiTheme="minorHAnsi" w:hAnsiTheme="minorHAnsi" w:cstheme="minorHAnsi"/>
                <w:bCs/>
              </w:rPr>
              <w:t>24 i 27 marca 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>
              <w:rPr>
                <w:rFonts w:asciiTheme="minorHAnsi" w:hAnsiTheme="minorHAnsi" w:cstheme="minorHAnsi"/>
              </w:rPr>
              <w:br/>
            </w:r>
            <w:r w:rsidRPr="00766EEC">
              <w:rPr>
                <w:rFonts w:asciiTheme="minorHAnsi" w:hAnsiTheme="minorHAnsi" w:cstheme="minorHAnsi"/>
              </w:rPr>
              <w:t>19 kwietnia 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Informacja w sprawie refundacji kosztów podróży przedstawicieli Polski biorących udział w posiedzeniach Rady Europejskiej, Rad sektorowych oraz organów pomocniczych Rady UE oraz gremiów wyznaczonych przez Sekretariat Generalny Rady UE w I semestrze 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Informacja w sprawie zatwierdzenia kandydatur Ministerstwa Spraw Zagranicznych na stanowisko eksperta narodowego w Wydziale Politycznym i RB ONZ w Delegaturze UE w Nowym Jorku.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 xml:space="preserve">Informacja delegacji Polski w imieniu Bułgarii, Polski, Rumunii, Słowacji </w:t>
            </w:r>
            <w:r w:rsidRPr="00766EEC">
              <w:rPr>
                <w:rFonts w:asciiTheme="minorHAnsi" w:hAnsiTheme="minorHAnsi" w:cstheme="minorHAnsi"/>
              </w:rPr>
              <w:br/>
              <w:t>i Węgier ws. koniecznych działań do podjęcia celem przeciwdziałania zakłóceniom rynkowym w krajach członkowskich UE ponoszących ciężar skutków zwiększonego importu artykułów rolno-spożywczych z Ukrainy.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 xml:space="preserve">Instrukcja na posiedzenie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766EEC">
              <w:rPr>
                <w:rFonts w:asciiTheme="minorHAnsi" w:hAnsiTheme="minorHAnsi" w:cstheme="minorHAnsi"/>
              </w:rPr>
              <w:t>19 kwietnia 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766EEC">
              <w:rPr>
                <w:rFonts w:asciiTheme="minorHAnsi" w:hAnsiTheme="minorHAnsi" w:cstheme="minorHAnsi"/>
                <w:bCs/>
                <w:i/>
                <w:iCs/>
              </w:rPr>
              <w:t>Wniosek dotyczący dyrektywy Parlamentu Europejskiego i Rady w sprawie wspólnych zasad promujących naprawę towarów, zmieniającej rozporządzenie (UE) 2017/2394 oraz dyrektywy (UE) 2019/771 i (UE) 2020/1828</w:t>
            </w:r>
            <w:r w:rsidRPr="00766EEC">
              <w:rPr>
                <w:rFonts w:asciiTheme="minorHAnsi" w:hAnsiTheme="minorHAnsi" w:cstheme="minorHAnsi"/>
                <w:bCs/>
              </w:rPr>
              <w:t xml:space="preserve"> (COM(2023) 155).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Półroczne sprawozdanie dot. wyników monitorowania pomocy udzielonej beneficjentom prowadzącym działalność na terenie specjalnych stref ekonomicznych w sektorze motoryzacyjnym za II półrocze 2022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Non-paper na temat udoskonalenia wskaźnika Digital Economy and Society Index (DESI).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iCs/>
                <w:lang w:val="fr-FR"/>
              </w:rPr>
            </w:pPr>
            <w:r w:rsidRPr="00766EEC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</w:t>
            </w:r>
            <w:r w:rsidRPr="00766EEC">
              <w:rPr>
                <w:rFonts w:asciiTheme="minorHAnsi" w:hAnsiTheme="minorHAnsi" w:cstheme="minorHAnsi"/>
                <w:bCs/>
                <w:lang w:val="fr-FR"/>
              </w:rPr>
              <w:t xml:space="preserve">C-8/23 </w:t>
            </w:r>
            <w:r w:rsidRPr="00766EEC">
              <w:rPr>
                <w:rFonts w:asciiTheme="minorHAnsi" w:hAnsiTheme="minorHAnsi" w:cstheme="minorHAnsi"/>
                <w:bCs/>
                <w:i/>
                <w:iCs/>
                <w:lang w:val="fr-FR"/>
              </w:rPr>
              <w:t>Conseil national de l'ordre des médecins</w:t>
            </w:r>
            <w:r w:rsidRPr="00766EEC">
              <w:rPr>
                <w:rFonts w:asciiTheme="minorHAnsi" w:hAnsiTheme="minorHAnsi" w:cstheme="minorHAnsi"/>
                <w:bCs/>
                <w:iCs/>
                <w:lang w:val="fr-FR"/>
              </w:rPr>
              <w:t>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>Instrukcja dla przedstawiciela Polski na posiedzenie Komitetu Odwoławczego</w:t>
            </w:r>
            <w:r w:rsidRPr="00766EEC">
              <w:rPr>
                <w:rFonts w:asciiTheme="minorHAnsi" w:hAnsiTheme="minorHAnsi" w:cstheme="minorHAnsi"/>
                <w:bCs/>
              </w:rPr>
              <w:br/>
              <w:t xml:space="preserve">w dniu 24 kwietnia 2023 r. dot. decyzji wykonawczej Komisji w sprawie środków naprawczych, które mają zostać podjęte przez Belgię i Luksemburg w odniesieniu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766EEC">
              <w:rPr>
                <w:rFonts w:asciiTheme="minorHAnsi" w:hAnsiTheme="minorHAnsi" w:cstheme="minorHAnsi"/>
                <w:bCs/>
              </w:rPr>
              <w:t>do niektórych docelowych parametrów skuteczności działania na trzeci okres odniesienia zgodnie z rozporządzeniem (WE) nr 549/2004 Parlamentu Europejskiego i Rady.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lang w:val="en-GB"/>
              </w:rPr>
            </w:pPr>
            <w:r w:rsidRPr="00766EEC">
              <w:rPr>
                <w:rFonts w:asciiTheme="minorHAnsi" w:hAnsiTheme="minorHAnsi" w:cstheme="minorHAnsi"/>
                <w:bCs/>
                <w:lang w:val="en-GB"/>
              </w:rPr>
              <w:t xml:space="preserve">Projekt stanowiska Rządu w odniesieniu do dokumentu pozalegislacyjnego UE </w:t>
            </w:r>
            <w:r w:rsidRPr="00766EEC">
              <w:rPr>
                <w:rFonts w:asciiTheme="minorHAnsi" w:hAnsiTheme="minorHAnsi" w:cstheme="minorHAnsi"/>
                <w:bCs/>
                <w:i/>
                <w:lang w:val="en-GB"/>
              </w:rPr>
              <w:t>Report from the Commission to the European Parliament, the Council, the European Economic and Social Committee and the Committee of the Regions: New European Bauhaus Progress Report)</w:t>
            </w:r>
            <w:r w:rsidRPr="00766EEC">
              <w:rPr>
                <w:rFonts w:asciiTheme="minorHAnsi" w:hAnsiTheme="minorHAnsi" w:cstheme="minorHAnsi"/>
                <w:bCs/>
                <w:lang w:val="en-GB"/>
              </w:rPr>
              <w:t xml:space="preserve"> (COM(2023) 024).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 xml:space="preserve">Projekt stanowiska Rządu w odniesieniu do dokumentu pozalegislacyjnego UE </w:t>
            </w:r>
            <w:r w:rsidRPr="00766EEC">
              <w:rPr>
                <w:rFonts w:asciiTheme="minorHAnsi" w:hAnsiTheme="minorHAnsi" w:cstheme="minorHAnsi"/>
                <w:bCs/>
                <w:i/>
                <w:iCs/>
              </w:rPr>
              <w:t xml:space="preserve">Komunikat Komisji do Parlamentu Europejskiego i Rady Instrument </w:t>
            </w:r>
            <w:r w:rsidRPr="00766EEC">
              <w:rPr>
                <w:rFonts w:asciiTheme="minorHAnsi" w:hAnsiTheme="minorHAnsi" w:cstheme="minorHAnsi"/>
                <w:bCs/>
                <w:i/>
                <w:iCs/>
              </w:rPr>
              <w:br/>
              <w:t>na rzecz Odbudowy i Zwiększania Odporności: dwa lata później Wyjątkowy instrument leżący u podstaw zielonej i cyfrowej transformacji UE</w:t>
            </w:r>
            <w:r w:rsidRPr="00766EEC">
              <w:rPr>
                <w:rFonts w:asciiTheme="minorHAnsi" w:hAnsiTheme="minorHAnsi" w:cstheme="minorHAnsi"/>
                <w:bCs/>
              </w:rPr>
              <w:t xml:space="preserve"> (COM(2023) 99).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 xml:space="preserve">Projekt stanowiska Rządu w odniesieniu do dokumentu pozalegislacyjnego UE </w:t>
            </w:r>
            <w:r w:rsidRPr="00766EEC">
              <w:rPr>
                <w:rFonts w:asciiTheme="minorHAnsi" w:hAnsiTheme="minorHAnsi" w:cstheme="minorHAnsi"/>
                <w:bCs/>
                <w:i/>
                <w:iCs/>
              </w:rPr>
              <w:t>Sprawozdanie Komisji dla Parlamentu Europejskiego i Rady: Półroczne sprawozdanie z realizacji operacji zaciągania pożyczek, zarządzania długiem i powiązanych operacji udzielania pożyczek sporządzone na podstawie art. 12 decyzji wykonawczej Komisji C(2022)9700</w:t>
            </w:r>
            <w:r w:rsidRPr="00766EEC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766EEC">
              <w:rPr>
                <w:rFonts w:asciiTheme="minorHAnsi" w:hAnsiTheme="minorHAnsi" w:cstheme="minorHAnsi"/>
                <w:bCs/>
              </w:rPr>
              <w:t>(COM(2023) 93).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>Instrukcja na posiedzenie Rady do Spraw Zagranicznych w dniu 24 kwietnia 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 xml:space="preserve">Instrukcja na posiedzenie Rady ds. Rolnictwa i Rybołówstwa w dniu 25 kwietnia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766EEC">
              <w:rPr>
                <w:rFonts w:asciiTheme="minorHAnsi" w:hAnsiTheme="minorHAnsi" w:cstheme="minorHAnsi"/>
                <w:bCs/>
              </w:rPr>
              <w:t>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 xml:space="preserve">Wykaz dokumentów niezrealizowanych przez Komitet do Spraw Europejskich </w:t>
            </w:r>
            <w:r>
              <w:rPr>
                <w:rFonts w:asciiTheme="minorHAnsi" w:hAnsiTheme="minorHAnsi" w:cstheme="minorHAnsi"/>
              </w:rPr>
              <w:br/>
            </w:r>
            <w:r w:rsidRPr="00766EEC">
              <w:rPr>
                <w:rFonts w:asciiTheme="minorHAnsi" w:hAnsiTheme="minorHAnsi" w:cstheme="minorHAnsi"/>
              </w:rPr>
              <w:t>w okresie styczeń – marzec 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 xml:space="preserve">Oświadczenie Polski w sprawie przyjęcia przez Radę UE projektu zmiany Rozporządzenia Parlamentu Europejskiego i Rady (UE) 2015/757 z dnia </w:t>
            </w:r>
            <w:r w:rsidRPr="00766EEC">
              <w:rPr>
                <w:rFonts w:asciiTheme="minorHAnsi" w:hAnsiTheme="minorHAnsi" w:cstheme="minorHAnsi"/>
                <w:bCs/>
              </w:rPr>
              <w:br/>
              <w:t>29 kwietnia 2015 r. w sprawie monitorowania, raportowania i weryfikacji emisji dwutlenku węgla z transportu morskiego.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Informacja w sprawie zatwierdzenia kandydata Ministerstwa Finansów na stanowisko eksperta narodowego w Komisji Europejskiej w Dyrekcji Generalnej ds. Stabilności Finansowej, Usług Finansowych i Unii Rynków Kapitałowych (DG FISMA, Unit C-1).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</w:rPr>
              <w:br/>
            </w:r>
            <w:r w:rsidRPr="00766EEC">
              <w:rPr>
                <w:rFonts w:asciiTheme="minorHAnsi" w:hAnsiTheme="minorHAnsi" w:cstheme="minorHAnsi"/>
              </w:rPr>
              <w:t>19 kwietnia 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 xml:space="preserve">Informacja wyprzedzająca ws. wyborów do organizacji europejskich </w:t>
            </w:r>
            <w:r w:rsidRPr="00766EEC">
              <w:rPr>
                <w:rFonts w:asciiTheme="minorHAnsi" w:hAnsiTheme="minorHAnsi" w:cstheme="minorHAnsi"/>
              </w:rPr>
              <w:br/>
              <w:t>w perspektywie rocznej począwszy od II kw. 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Informacja na temat postępowań formalnych prowadzonych przez Komisję Europejską na podstawie art. 258 TFUE i art. 260 TFUE.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 xml:space="preserve">Informacja na temat stanu wdrożenia dyrektyw unijnych i zobowiązań legislacyjnych wynikających z orzeczeń Trybunału Sprawiedliwości UE oraz uwag Komisji Europejskiej przekazywanych w ramach postępowania w trybie art. 258 TFUE </w:t>
            </w:r>
            <w:r>
              <w:rPr>
                <w:rFonts w:asciiTheme="minorHAnsi" w:hAnsiTheme="minorHAnsi" w:cstheme="minorHAnsi"/>
              </w:rPr>
              <w:br/>
            </w:r>
            <w:r w:rsidRPr="00766EEC">
              <w:rPr>
                <w:rFonts w:asciiTheme="minorHAnsi" w:hAnsiTheme="minorHAnsi" w:cstheme="minorHAnsi"/>
              </w:rPr>
              <w:t>lub art. 260 TFUE.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766EEC">
              <w:rPr>
                <w:rFonts w:asciiTheme="minorHAnsi" w:hAnsiTheme="minorHAnsi" w:cstheme="minorHAnsi"/>
              </w:rPr>
              <w:t>19 kwietnia 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766EEC">
              <w:rPr>
                <w:rFonts w:asciiTheme="minorHAnsi" w:hAnsiTheme="minorHAnsi" w:cstheme="minorHAnsi"/>
                <w:bCs/>
                <w:i/>
                <w:iCs/>
              </w:rPr>
              <w:t>Wniosek dotyczący Dyrektywy Parlamentu Europejskiego i Rady w sprawie praw jazdy, zmieniającej dyrektywę Parlamentu Europejskiego i Rady (UE) 2022/2561 i rozporządzenie Parlamentu Euro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pejskiego i Rady (UE) 2018/1724 </w:t>
            </w:r>
            <w:r w:rsidRPr="00766EEC">
              <w:rPr>
                <w:rFonts w:asciiTheme="minorHAnsi" w:hAnsiTheme="minorHAnsi" w:cstheme="minorHAnsi"/>
                <w:bCs/>
                <w:i/>
                <w:iCs/>
              </w:rPr>
              <w:t xml:space="preserve">oraz uchylającej dyrektywę 2006/126/WE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Parlamentu Europejskiego i Rady </w:t>
            </w:r>
            <w:r w:rsidRPr="00766EEC">
              <w:rPr>
                <w:rFonts w:asciiTheme="minorHAnsi" w:hAnsiTheme="minorHAnsi" w:cstheme="minorHAnsi"/>
                <w:bCs/>
                <w:i/>
                <w:iCs/>
              </w:rPr>
              <w:t>i rozporządzenie Komisji (UE) nr 383/2012</w:t>
            </w:r>
            <w:r w:rsidRPr="00766EEC">
              <w:rPr>
                <w:rFonts w:asciiTheme="minorHAnsi" w:hAnsiTheme="minorHAnsi" w:cstheme="minorHAnsi"/>
                <w:bCs/>
                <w:iCs/>
              </w:rPr>
              <w:t xml:space="preserve"> (</w:t>
            </w:r>
            <w:r w:rsidRPr="00766EEC">
              <w:rPr>
                <w:rFonts w:asciiTheme="minorHAnsi" w:hAnsiTheme="minorHAnsi" w:cstheme="minorHAnsi"/>
                <w:bCs/>
              </w:rPr>
              <w:t>COM(2023) 127).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iCs/>
              </w:rPr>
            </w:pPr>
            <w:r w:rsidRPr="00766EEC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C-4/23 </w:t>
            </w:r>
            <w:r w:rsidRPr="00766EEC">
              <w:rPr>
                <w:rFonts w:asciiTheme="minorHAnsi" w:hAnsiTheme="minorHAnsi" w:cstheme="minorHAnsi"/>
                <w:bCs/>
                <w:i/>
                <w:iCs/>
              </w:rPr>
              <w:t>Asociaţia Accept</w:t>
            </w:r>
            <w:r w:rsidRPr="00766EEC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 xml:space="preserve">Informacja Ministerstwa Spraw Zagranicznych w sprawie zatwierdzenia kandydata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766EEC">
              <w:rPr>
                <w:rFonts w:asciiTheme="minorHAnsi" w:hAnsiTheme="minorHAnsi" w:cstheme="minorHAnsi"/>
                <w:bCs/>
              </w:rPr>
              <w:t>na stanowisko eksperta narodowego ds. Ukrainy w Komisji Europejskiej (DG NEAR).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Wieloletni Plan Finansowy Państwa na lata 2023-2026, zawierający Program konwergencji - Aktualizacja 2023.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 xml:space="preserve">Informacja w sprawie zatwierdzenia kandydata Ministerstwa Finansów na stanowisko eksperta narodowego w Dyrekcji Generalnej ds. Europejskiej Polityki Sąsiedztwa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766EEC">
              <w:rPr>
                <w:rFonts w:asciiTheme="minorHAnsi" w:hAnsiTheme="minorHAnsi" w:cstheme="minorHAnsi"/>
                <w:bCs/>
              </w:rPr>
              <w:t>i Negocjacji w Sprawie Rozszerzenia (DG NEAR).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 xml:space="preserve">Instrukcja na nieformalne spotkanie ministrów UE ds. gospodarczych i finansowych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766EEC">
              <w:rPr>
                <w:rFonts w:asciiTheme="minorHAnsi" w:hAnsiTheme="minorHAnsi" w:cstheme="minorHAnsi"/>
                <w:bCs/>
              </w:rPr>
              <w:t>w dniach 28-29 kwietnia 2023 r. uwzględniająca instrukcję na posiedzenie Eurogrupy w dniu 28 kwietnia 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>Informacja o wynikach naboru kandydatów na staż długoterminowy w Komisji Europejskiej NEPT (</w:t>
            </w:r>
            <w:r w:rsidRPr="00766EEC">
              <w:rPr>
                <w:rFonts w:asciiTheme="minorHAnsi" w:hAnsiTheme="minorHAnsi" w:cstheme="minorHAnsi"/>
                <w:bCs/>
                <w:i/>
                <w:iCs/>
              </w:rPr>
              <w:t>National Experts in Professional Training</w:t>
            </w:r>
            <w:r w:rsidRPr="00766EEC">
              <w:rPr>
                <w:rFonts w:asciiTheme="minorHAnsi" w:hAnsiTheme="minorHAnsi" w:cstheme="minorHAnsi"/>
                <w:bCs/>
              </w:rPr>
              <w:t>) dla pracowników administracji publ</w:t>
            </w:r>
            <w:r>
              <w:rPr>
                <w:rFonts w:asciiTheme="minorHAnsi" w:hAnsiTheme="minorHAnsi" w:cstheme="minorHAnsi"/>
                <w:bCs/>
              </w:rPr>
              <w:t xml:space="preserve">icznej państw członkowskich UE </w:t>
            </w:r>
            <w:r w:rsidRPr="00766EEC">
              <w:rPr>
                <w:rFonts w:asciiTheme="minorHAnsi" w:hAnsiTheme="minorHAnsi" w:cstheme="minorHAnsi"/>
                <w:bCs/>
              </w:rPr>
              <w:t>w II połowie 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 xml:space="preserve">Informacja dla Sejmu i Senatu RP o stanowisku RP w odniesieniu do projektów aktów prawnych przewidzianych do rozpatrzenia podczas posiedzenia Rady ds. Rolnictwa </w:t>
            </w:r>
            <w:r>
              <w:rPr>
                <w:rFonts w:asciiTheme="minorHAnsi" w:hAnsiTheme="minorHAnsi" w:cstheme="minorHAnsi"/>
              </w:rPr>
              <w:br/>
            </w:r>
            <w:r w:rsidRPr="00766EEC">
              <w:rPr>
                <w:rFonts w:asciiTheme="minorHAnsi" w:hAnsiTheme="minorHAnsi" w:cstheme="minorHAnsi"/>
              </w:rPr>
              <w:t>i Rybołówstwa w dniu 25 kwietnia 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Instrukcja na posiedzenie Komitetu Stałych P</w:t>
            </w:r>
            <w:r>
              <w:rPr>
                <w:rFonts w:asciiTheme="minorHAnsi" w:hAnsiTheme="minorHAnsi" w:cstheme="minorHAnsi"/>
              </w:rPr>
              <w:t xml:space="preserve">rzedstawicieli COREPER II </w:t>
            </w:r>
            <w:r w:rsidRPr="00766EEC">
              <w:rPr>
                <w:rFonts w:asciiTheme="minorHAnsi" w:hAnsiTheme="minorHAnsi" w:cstheme="minorHAnsi"/>
              </w:rPr>
              <w:t xml:space="preserve">w dniach </w:t>
            </w:r>
            <w:r>
              <w:rPr>
                <w:rFonts w:asciiTheme="minorHAnsi" w:hAnsiTheme="minorHAnsi" w:cstheme="minorHAnsi"/>
              </w:rPr>
              <w:br/>
            </w:r>
            <w:r w:rsidRPr="00766EEC">
              <w:rPr>
                <w:rFonts w:asciiTheme="minorHAnsi" w:hAnsiTheme="minorHAnsi" w:cstheme="minorHAnsi"/>
              </w:rPr>
              <w:t>26 i 28 kwietnia 2023 r.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Projekt noty na temat sytuacji sektora kultury i sektora kreatywnego na Ukrainie (Rada ds. Edukacji, Młodzieży, Kultury i Sportu, Bruksela, 16 maja 2023 r.)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Projekt noty na temat sytuacji języka i kultury białoruskiej (Rada ds. Edukacji, Młodzieży, Kultury i Sportu, Bruksela, 16 maja 2023 r.)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</w:rPr>
              <w:t xml:space="preserve">Instrukcja na posiedzenie Komitetu Stałych Przedstawicieli COREPER I w dniach </w:t>
            </w:r>
            <w:r>
              <w:rPr>
                <w:rFonts w:asciiTheme="minorHAnsi" w:hAnsiTheme="minorHAnsi" w:cstheme="minorHAnsi"/>
              </w:rPr>
              <w:br/>
            </w:r>
            <w:r w:rsidRPr="00766EEC">
              <w:rPr>
                <w:rFonts w:asciiTheme="minorHAnsi" w:hAnsiTheme="minorHAnsi" w:cstheme="minorHAnsi"/>
              </w:rPr>
              <w:t>26 i 28 kwietnia 2023 r.</w:t>
            </w:r>
          </w:p>
          <w:p w:rsidR="00D93A6D" w:rsidRPr="00766EEC" w:rsidRDefault="00D93A6D" w:rsidP="00766EEC">
            <w:pPr>
              <w:pStyle w:val="Akapitzlist"/>
              <w:ind w:left="714"/>
              <w:mirrorIndents/>
              <w:rPr>
                <w:rFonts w:asciiTheme="minorHAnsi" w:hAnsiTheme="minorHAnsi" w:cstheme="minorHAnsi"/>
                <w:b/>
              </w:rPr>
            </w:pPr>
          </w:p>
          <w:p w:rsidR="00C754E0" w:rsidRPr="00766EEC" w:rsidRDefault="00BD7A98" w:rsidP="00766EEC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766EEC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  <w:r w:rsidR="00D93A6D" w:rsidRPr="00766EEC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Projekt ustawy o zatrudnianiu cudzoziemców (UD400).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766EEC">
              <w:rPr>
                <w:rFonts w:asciiTheme="minorHAnsi" w:hAnsiTheme="minorHAnsi" w:cstheme="minorHAnsi"/>
                <w:shd w:val="clear" w:color="auto" w:fill="FFFFFF"/>
              </w:rPr>
              <w:t xml:space="preserve">Projekt ustawy o zmianie ustawy o działaniach antyterrorystycznych oraz ustawy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766EEC">
              <w:rPr>
                <w:rFonts w:asciiTheme="minorHAnsi" w:hAnsiTheme="minorHAnsi" w:cstheme="minorHAnsi"/>
                <w:shd w:val="clear" w:color="auto" w:fill="FFFFFF"/>
              </w:rPr>
              <w:t>o Agencji Bezpieczeństwa Wewnętrznego oraz Agencji Wywiadu (UC138).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 xml:space="preserve">Projekt ustawy </w:t>
            </w:r>
            <w:r w:rsidRPr="00766EEC">
              <w:rPr>
                <w:rFonts w:asciiTheme="minorHAnsi" w:hAnsiTheme="minorHAnsi" w:cstheme="minorHAnsi"/>
                <w:bCs/>
              </w:rPr>
              <w:t>o zmianie ustawy o rachunkowości oraz niektórych innych ustaw</w:t>
            </w:r>
            <w:r w:rsidRPr="00766EEC">
              <w:rPr>
                <w:rFonts w:asciiTheme="minorHAnsi" w:hAnsiTheme="minorHAnsi" w:cstheme="minorHAnsi"/>
              </w:rPr>
              <w:t xml:space="preserve"> (UC134).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>Projekt ustawy o zmianie ustawy o ochronie konkurencji i konsumentów (UC15).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Projekt ustawy o delegowaniu kierowców w transporcie drogowym (UC124).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>Projekt rozporządzenia Rady Ministrów w sprawie wykazu prac wzbronionych młodocianym i warunków ich zatrudniania przy niektórych z tych prac (RC10).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Projekt zmiany Programu Operacyjnego Infrastruktura i Środowisko 2014-2020.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766EEC">
              <w:rPr>
                <w:rFonts w:asciiTheme="minorHAnsi" w:hAnsiTheme="minorHAnsi" w:cstheme="minorHAnsi"/>
                <w:shd w:val="clear" w:color="auto" w:fill="FFFFFF"/>
              </w:rPr>
              <w:t>Projekt sprawozdania z wykonania Krajowego Programu Oczyszczania Ścieków Komunalnych (KPOŚK) za lata 2020-2021.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Projekt stanowiska Rzeczypospolitej Polskiej w sprawie udziału Polski w konsorcjum na rzecz europejskiej infrastruktury badawczej E-RIHS ERIC.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766EEC">
              <w:rPr>
                <w:rFonts w:asciiTheme="minorHAnsi" w:hAnsiTheme="minorHAnsi" w:cstheme="minorHAnsi"/>
              </w:rPr>
              <w:t>Projekt stanowiska Rzeczypospolitej Polskiej w sprawie udziału Polski w konsorcjum na rzecz europejskiej infrastruktury</w:t>
            </w:r>
            <w:r>
              <w:rPr>
                <w:rFonts w:asciiTheme="minorHAnsi" w:hAnsiTheme="minorHAnsi" w:cstheme="minorHAnsi"/>
              </w:rPr>
              <w:t xml:space="preserve"> badawczej </w:t>
            </w:r>
            <w:r w:rsidRPr="00766EEC">
              <w:rPr>
                <w:rFonts w:asciiTheme="minorHAnsi" w:hAnsiTheme="minorHAnsi" w:cstheme="minorHAnsi"/>
              </w:rPr>
              <w:t>Euro-Argo ERIC.</w:t>
            </w:r>
          </w:p>
          <w:p w:rsidR="00766EEC" w:rsidRPr="00766EEC" w:rsidRDefault="00766EEC" w:rsidP="00766EE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bCs/>
              </w:rPr>
            </w:pPr>
            <w:r w:rsidRPr="00766EEC">
              <w:rPr>
                <w:rFonts w:asciiTheme="minorHAnsi" w:hAnsiTheme="minorHAnsi" w:cstheme="minorHAnsi"/>
                <w:bCs/>
              </w:rPr>
              <w:t>Projekt stanowiska Rzeczypospolitej Polskiej w sprawie udziału Polski w konsorcjum na rzecz europejskiej infrastruktury badawczej LOFAR ERIC.</w:t>
            </w:r>
          </w:p>
          <w:p w:rsidR="009E3D0B" w:rsidRPr="00766EEC" w:rsidRDefault="00766EEC" w:rsidP="00766EEC">
            <w:pPr>
              <w:pStyle w:val="Akapitzlist"/>
              <w:numPr>
                <w:ilvl w:val="0"/>
                <w:numId w:val="38"/>
              </w:numPr>
              <w:ind w:left="714" w:hanging="357"/>
              <w:mirrorIndents/>
              <w:rPr>
                <w:rFonts w:asciiTheme="minorHAnsi" w:hAnsiTheme="minorHAnsi" w:cstheme="minorHAnsi"/>
                <w:b/>
              </w:rPr>
            </w:pPr>
            <w:r w:rsidRPr="00766EEC">
              <w:rPr>
                <w:rFonts w:asciiTheme="minorHAnsi" w:hAnsiTheme="minorHAnsi" w:cstheme="minorHAnsi"/>
              </w:rPr>
              <w:t>Krajowy Program Reform – Aktualizacja 2023/2024</w:t>
            </w:r>
          </w:p>
        </w:tc>
      </w:tr>
    </w:tbl>
    <w:p w:rsidR="005B7044" w:rsidRPr="00766EEC" w:rsidRDefault="005B7044" w:rsidP="00766EEC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766EEC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7F" w:rsidRDefault="008A767F">
      <w:r>
        <w:separator/>
      </w:r>
    </w:p>
  </w:endnote>
  <w:endnote w:type="continuationSeparator" w:id="0">
    <w:p w:rsidR="008A767F" w:rsidRDefault="008A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0349">
      <w:rPr>
        <w:rStyle w:val="Numerstrony"/>
        <w:noProof/>
      </w:rPr>
      <w:t>6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7F" w:rsidRDefault="008A767F">
      <w:r>
        <w:separator/>
      </w:r>
    </w:p>
  </w:footnote>
  <w:footnote w:type="continuationSeparator" w:id="0">
    <w:p w:rsidR="008A767F" w:rsidRDefault="008A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2D2"/>
    <w:multiLevelType w:val="hybridMultilevel"/>
    <w:tmpl w:val="2AF6A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10CD1"/>
    <w:multiLevelType w:val="hybridMultilevel"/>
    <w:tmpl w:val="A4F84DB6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F07AC"/>
    <w:multiLevelType w:val="hybridMultilevel"/>
    <w:tmpl w:val="2AE27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C0462"/>
    <w:multiLevelType w:val="hybridMultilevel"/>
    <w:tmpl w:val="ADD07D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8D58B1"/>
    <w:multiLevelType w:val="hybridMultilevel"/>
    <w:tmpl w:val="AE50C898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E0A2D"/>
    <w:multiLevelType w:val="hybridMultilevel"/>
    <w:tmpl w:val="3F1C87E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53CA8"/>
    <w:multiLevelType w:val="hybridMultilevel"/>
    <w:tmpl w:val="4DD698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C013A"/>
    <w:multiLevelType w:val="hybridMultilevel"/>
    <w:tmpl w:val="72FED30A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4274C"/>
    <w:multiLevelType w:val="hybridMultilevel"/>
    <w:tmpl w:val="83EA1B5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A2088"/>
    <w:multiLevelType w:val="hybridMultilevel"/>
    <w:tmpl w:val="5FD2988C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EDC078A"/>
    <w:multiLevelType w:val="hybridMultilevel"/>
    <w:tmpl w:val="D294F4F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96417"/>
    <w:multiLevelType w:val="hybridMultilevel"/>
    <w:tmpl w:val="4400461C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8004AC"/>
    <w:multiLevelType w:val="hybridMultilevel"/>
    <w:tmpl w:val="BE32109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5280C"/>
    <w:multiLevelType w:val="hybridMultilevel"/>
    <w:tmpl w:val="2634140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40FAC"/>
    <w:multiLevelType w:val="hybridMultilevel"/>
    <w:tmpl w:val="E378319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53240"/>
    <w:multiLevelType w:val="hybridMultilevel"/>
    <w:tmpl w:val="F26EFEB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F7281"/>
    <w:multiLevelType w:val="hybridMultilevel"/>
    <w:tmpl w:val="345C2EFE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505218"/>
    <w:multiLevelType w:val="hybridMultilevel"/>
    <w:tmpl w:val="745C87A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32796"/>
    <w:multiLevelType w:val="hybridMultilevel"/>
    <w:tmpl w:val="AE1AA25A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85A70"/>
    <w:multiLevelType w:val="hybridMultilevel"/>
    <w:tmpl w:val="9FDE9E0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4390"/>
    <w:multiLevelType w:val="hybridMultilevel"/>
    <w:tmpl w:val="74A2F2C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93756"/>
    <w:multiLevelType w:val="hybridMultilevel"/>
    <w:tmpl w:val="25F6C5C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661AE"/>
    <w:multiLevelType w:val="hybridMultilevel"/>
    <w:tmpl w:val="1F94C57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50609"/>
    <w:multiLevelType w:val="hybridMultilevel"/>
    <w:tmpl w:val="638A379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537A4"/>
    <w:multiLevelType w:val="hybridMultilevel"/>
    <w:tmpl w:val="9D7C428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B3BF0"/>
    <w:multiLevelType w:val="hybridMultilevel"/>
    <w:tmpl w:val="7018A21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30270"/>
    <w:multiLevelType w:val="hybridMultilevel"/>
    <w:tmpl w:val="4ECA2F9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E40"/>
    <w:multiLevelType w:val="hybridMultilevel"/>
    <w:tmpl w:val="99DE628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10FB3"/>
    <w:multiLevelType w:val="hybridMultilevel"/>
    <w:tmpl w:val="54BC35A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569AC"/>
    <w:multiLevelType w:val="hybridMultilevel"/>
    <w:tmpl w:val="75ACE47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F6CD1"/>
    <w:multiLevelType w:val="hybridMultilevel"/>
    <w:tmpl w:val="DD68806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8385E"/>
    <w:multiLevelType w:val="hybridMultilevel"/>
    <w:tmpl w:val="489ACA82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E1BB1"/>
    <w:multiLevelType w:val="hybridMultilevel"/>
    <w:tmpl w:val="13C26B7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15D33"/>
    <w:multiLevelType w:val="hybridMultilevel"/>
    <w:tmpl w:val="4E70B5C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33BFD"/>
    <w:multiLevelType w:val="hybridMultilevel"/>
    <w:tmpl w:val="11C2894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22346"/>
    <w:multiLevelType w:val="hybridMultilevel"/>
    <w:tmpl w:val="BB44B6C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977B3"/>
    <w:multiLevelType w:val="hybridMultilevel"/>
    <w:tmpl w:val="A2AE88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C58EB"/>
    <w:multiLevelType w:val="hybridMultilevel"/>
    <w:tmpl w:val="F2F4264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97FD6"/>
    <w:multiLevelType w:val="hybridMultilevel"/>
    <w:tmpl w:val="F92467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D42DC5"/>
    <w:multiLevelType w:val="hybridMultilevel"/>
    <w:tmpl w:val="1DBAC95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72EA0"/>
    <w:multiLevelType w:val="hybridMultilevel"/>
    <w:tmpl w:val="CFCC5F4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3"/>
  </w:num>
  <w:num w:numId="4">
    <w:abstractNumId w:val="11"/>
  </w:num>
  <w:num w:numId="5">
    <w:abstractNumId w:val="32"/>
  </w:num>
  <w:num w:numId="6">
    <w:abstractNumId w:val="27"/>
  </w:num>
  <w:num w:numId="7">
    <w:abstractNumId w:val="0"/>
  </w:num>
  <w:num w:numId="8">
    <w:abstractNumId w:val="36"/>
  </w:num>
  <w:num w:numId="9">
    <w:abstractNumId w:val="38"/>
  </w:num>
  <w:num w:numId="10">
    <w:abstractNumId w:val="14"/>
  </w:num>
  <w:num w:numId="11">
    <w:abstractNumId w:val="20"/>
  </w:num>
  <w:num w:numId="12">
    <w:abstractNumId w:val="37"/>
  </w:num>
  <w:num w:numId="13">
    <w:abstractNumId w:val="39"/>
  </w:num>
  <w:num w:numId="14">
    <w:abstractNumId w:val="19"/>
  </w:num>
  <w:num w:numId="15">
    <w:abstractNumId w:val="40"/>
  </w:num>
  <w:num w:numId="16">
    <w:abstractNumId w:val="33"/>
  </w:num>
  <w:num w:numId="17">
    <w:abstractNumId w:val="23"/>
  </w:num>
  <w:num w:numId="18">
    <w:abstractNumId w:val="35"/>
  </w:num>
  <w:num w:numId="19">
    <w:abstractNumId w:val="26"/>
  </w:num>
  <w:num w:numId="20">
    <w:abstractNumId w:val="10"/>
  </w:num>
  <w:num w:numId="21">
    <w:abstractNumId w:val="8"/>
  </w:num>
  <w:num w:numId="22">
    <w:abstractNumId w:val="15"/>
  </w:num>
  <w:num w:numId="23">
    <w:abstractNumId w:val="6"/>
  </w:num>
  <w:num w:numId="24">
    <w:abstractNumId w:val="4"/>
  </w:num>
  <w:num w:numId="25">
    <w:abstractNumId w:val="7"/>
  </w:num>
  <w:num w:numId="26">
    <w:abstractNumId w:val="5"/>
  </w:num>
  <w:num w:numId="27">
    <w:abstractNumId w:val="21"/>
  </w:num>
  <w:num w:numId="28">
    <w:abstractNumId w:val="25"/>
  </w:num>
  <w:num w:numId="29">
    <w:abstractNumId w:val="9"/>
  </w:num>
  <w:num w:numId="30">
    <w:abstractNumId w:val="16"/>
  </w:num>
  <w:num w:numId="31">
    <w:abstractNumId w:val="22"/>
  </w:num>
  <w:num w:numId="32">
    <w:abstractNumId w:val="13"/>
  </w:num>
  <w:num w:numId="33">
    <w:abstractNumId w:val="17"/>
  </w:num>
  <w:num w:numId="34">
    <w:abstractNumId w:val="12"/>
  </w:num>
  <w:num w:numId="35">
    <w:abstractNumId w:val="31"/>
  </w:num>
  <w:num w:numId="36">
    <w:abstractNumId w:val="1"/>
  </w:num>
  <w:num w:numId="37">
    <w:abstractNumId w:val="18"/>
  </w:num>
  <w:num w:numId="38">
    <w:abstractNumId w:val="24"/>
  </w:num>
  <w:num w:numId="39">
    <w:abstractNumId w:val="34"/>
  </w:num>
  <w:num w:numId="40">
    <w:abstractNumId w:val="30"/>
  </w:num>
  <w:num w:numId="41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013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5F5A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44F2"/>
    <w:rsid w:val="00246BC9"/>
    <w:rsid w:val="002470CD"/>
    <w:rsid w:val="00247BBE"/>
    <w:rsid w:val="002502C9"/>
    <w:rsid w:val="00251E28"/>
    <w:rsid w:val="00251F79"/>
    <w:rsid w:val="002523C9"/>
    <w:rsid w:val="00252DE7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8C0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1E52"/>
    <w:rsid w:val="00352133"/>
    <w:rsid w:val="00354C5E"/>
    <w:rsid w:val="00361320"/>
    <w:rsid w:val="003615FB"/>
    <w:rsid w:val="0036202E"/>
    <w:rsid w:val="003627D8"/>
    <w:rsid w:val="00362A4C"/>
    <w:rsid w:val="0036321A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D73FE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3429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79D"/>
    <w:rsid w:val="00424E2F"/>
    <w:rsid w:val="00426784"/>
    <w:rsid w:val="004267E2"/>
    <w:rsid w:val="00427334"/>
    <w:rsid w:val="00427474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531D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0E22"/>
    <w:rsid w:val="00521F79"/>
    <w:rsid w:val="00524678"/>
    <w:rsid w:val="0052580A"/>
    <w:rsid w:val="005269A9"/>
    <w:rsid w:val="00530E44"/>
    <w:rsid w:val="005322EE"/>
    <w:rsid w:val="00534330"/>
    <w:rsid w:val="00535715"/>
    <w:rsid w:val="00535A80"/>
    <w:rsid w:val="00536791"/>
    <w:rsid w:val="0053792B"/>
    <w:rsid w:val="005379B2"/>
    <w:rsid w:val="00537D36"/>
    <w:rsid w:val="0054032D"/>
    <w:rsid w:val="00540368"/>
    <w:rsid w:val="00540607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5450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604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2090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6EEC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349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395B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74A0"/>
    <w:rsid w:val="008603E8"/>
    <w:rsid w:val="00860857"/>
    <w:rsid w:val="00861B41"/>
    <w:rsid w:val="00862B37"/>
    <w:rsid w:val="008632D7"/>
    <w:rsid w:val="008636CC"/>
    <w:rsid w:val="008675B1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67F"/>
    <w:rsid w:val="008A79FB"/>
    <w:rsid w:val="008B0E4D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33BC"/>
    <w:rsid w:val="009434B6"/>
    <w:rsid w:val="00944712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D0B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67F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7E6"/>
    <w:rsid w:val="00B86841"/>
    <w:rsid w:val="00B86D42"/>
    <w:rsid w:val="00B872EE"/>
    <w:rsid w:val="00B914DB"/>
    <w:rsid w:val="00B92D1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754E0"/>
    <w:rsid w:val="00C76081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3A6D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6F7"/>
    <w:rsid w:val="00E9524D"/>
    <w:rsid w:val="00E97A4B"/>
    <w:rsid w:val="00EA2372"/>
    <w:rsid w:val="00EA23DC"/>
    <w:rsid w:val="00EA3382"/>
    <w:rsid w:val="00EA380D"/>
    <w:rsid w:val="00EA3ABE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BE6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67A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6FF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AC5F9-B092-4234-B001-28866FD9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2134</Words>
  <Characters>12809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3</cp:revision>
  <cp:lastPrinted>2019-04-17T12:04:00Z</cp:lastPrinted>
  <dcterms:created xsi:type="dcterms:W3CDTF">2023-05-15T09:14:00Z</dcterms:created>
  <dcterms:modified xsi:type="dcterms:W3CDTF">2023-05-15T09:23:00Z</dcterms:modified>
</cp:coreProperties>
</file>